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D600C7">
      <w:pPr>
        <w:jc w:val="center"/>
        <w:rPr>
          <w:rFonts w:hint="eastAsia"/>
        </w:rPr>
      </w:pPr>
      <w:r>
        <w:rPr>
          <w:rFonts w:hint="eastAsia"/>
        </w:rPr>
        <w:t>湖北省荆州市中级人民法院</w:t>
      </w:r>
    </w:p>
    <w:p w14:paraId="46BF06E9">
      <w:pPr>
        <w:jc w:val="center"/>
        <w:rPr>
          <w:rFonts w:hint="eastAsia"/>
        </w:rPr>
      </w:pPr>
      <w:r>
        <w:rPr>
          <w:rFonts w:hint="eastAsia"/>
        </w:rPr>
        <w:t>刑 事 裁 定 书</w:t>
      </w:r>
    </w:p>
    <w:p w14:paraId="14422327">
      <w:pPr>
        <w:jc w:val="center"/>
        <w:rPr>
          <w:rFonts w:hint="eastAsia"/>
        </w:rPr>
      </w:pPr>
      <w:r>
        <w:rPr>
          <w:rFonts w:hint="eastAsia"/>
        </w:rPr>
        <w:t>（2023）鄂10刑终210号</w:t>
      </w:r>
    </w:p>
    <w:p w14:paraId="743A344A">
      <w:pPr>
        <w:ind w:firstLine="420" w:firstLineChars="200"/>
        <w:rPr>
          <w:rFonts w:hint="eastAsia"/>
        </w:rPr>
      </w:pPr>
      <w:r>
        <w:rPr>
          <w:rFonts w:hint="eastAsia"/>
        </w:rPr>
        <w:t>原公诉机关湖北省荆州市沙市区人民检察院。</w:t>
      </w:r>
    </w:p>
    <w:p w14:paraId="1432AD9E">
      <w:pPr>
        <w:ind w:firstLine="420" w:firstLineChars="200"/>
        <w:rPr>
          <w:rFonts w:hint="eastAsia"/>
        </w:rPr>
      </w:pPr>
      <w:r>
        <w:rPr>
          <w:rFonts w:hint="eastAsia"/>
        </w:rPr>
        <w:t>上诉人（原审被告人）邓某强，曾用名邓小娃，男，1996年6月15日出生，初中文化，务工，户籍地四川省广安市岳池县,住重庆市江北区。因涉嫌犯帮助信息网络犯罪活动罪，于2022年6月29日被荆州市公安取保候审，2023年2月22日被荆州市沙市区人民法院决定取保候审，由重庆市公安渝北区公安分执行。</w:t>
      </w:r>
    </w:p>
    <w:p w14:paraId="0770004E">
      <w:pPr>
        <w:ind w:firstLine="420" w:firstLineChars="200"/>
        <w:rPr>
          <w:rFonts w:hint="eastAsia"/>
        </w:rPr>
      </w:pPr>
      <w:r>
        <w:rPr>
          <w:rFonts w:hint="eastAsia"/>
        </w:rPr>
        <w:t>辩护人万国亮，湖北思捷律师事务所律师。</w:t>
      </w:r>
    </w:p>
    <w:p w14:paraId="5E9D0A15">
      <w:pPr>
        <w:ind w:firstLine="420" w:firstLineChars="200"/>
        <w:rPr>
          <w:rFonts w:hint="eastAsia"/>
        </w:rPr>
      </w:pPr>
      <w:r>
        <w:rPr>
          <w:rFonts w:hint="eastAsia"/>
        </w:rPr>
        <w:t>湖北省荆州市沙市区人民法院审理湖北省荆州市沙市区人民检察院指控原审被告人邓某强犯帮助信息网络犯罪活动罪一案，于2023年7月15日作出（2023）鄂1002刑初137号刑事判决。宣判后，原审被告人邓某强不服，在法定期限内提出上诉。本院受理后，依法组成合议庭，于2023年11月6日公开开庭进行了审理。本案经合议庭评议决定，现已审理终结。</w:t>
      </w:r>
    </w:p>
    <w:p w14:paraId="7306006D">
      <w:pPr>
        <w:ind w:firstLine="420" w:firstLineChars="200"/>
        <w:rPr>
          <w:rFonts w:hint="eastAsia"/>
        </w:rPr>
      </w:pPr>
      <w:bookmarkStart w:id="0" w:name="_GoBack"/>
      <w:bookmarkEnd w:id="0"/>
      <w:r>
        <w:rPr>
          <w:rFonts w:hint="eastAsia"/>
        </w:rPr>
        <w:t>原审认定，2021年12月起，被告人邓某强明知他人利用信息网络实施犯罪，仍将自己名下的卡号为6217和卡号为6222的银行卡出借给“大春”（另一绰号“银河”）等人使用。经公安立案侦查，被告人邓某强名下的2张银行卡被境外赌博网站用于支付结算。经审计，卡号为6217的银行卡自2021年12月23日至2021年12月27日流入资金2314627.29元，流出资金969292.00元；卡号为6222的银行卡自2021年12月25日至2021年12月29日流入资金900161.29元，流出资金308672.00元，以上资金流进流出合计4492752.58元。2021年11月3日，被告人邓某强在农业银行开户（卡号6228），银行开户时已告知邓某强买卖、出租、出借银行卡可能涉嫌违法犯罪，不得买卖、转借、出租个人银行卡，邓某强签名确认知晓告知书内容。2022年6月29日，荆州市公安沙市区分民警于重庆市渝北区重庆某公司将被告人抓获。认定上述事实的证据如下1.受案登记表、立案决定书、到案经过，被告人的身份证明材料，前科情况。证明①本案发、破案经过，被告人邓某强具备完全刑事责任能力。②被告人邓某强无违法犯罪经历。③被告人系抓获到案。2.公安讯问材料。证明①被告人邓某强出借银行卡给“大春”用于赌博等违法犯罪事实。②被告人在出借银行卡后，因银行卡使用异常，银行及公安都电话通知被告人说明相关情况。③被告人在公安笔录中是认罪认罚的态度。3.中国银行6217××××7706及交通银行6222××××6204流水及说明，证明指控两张涉罪银行卡流进流出金额为4492752.58元。4.农业银行卡6228××××7079开户时告知书及相关材料，证明银行已经向被告人告知买卖、出租、出借银行卡可能涉嫌违法犯罪的事实。5.审计报告电子光盘，证明本案帮助信息网络犯罪活动罪系针对3.24跨境赌博案中赌博资金的去向，证明指控银行卡中资金的来源。6.认罪认罚具结书及量刑建议书，证明被告人邓某强在公诉机关签署了认罪认罚具结书，认罪认罚具结书载明量刑建议为有期徒刑七个月，并处罚金，被告人表示认可。</w:t>
      </w:r>
    </w:p>
    <w:p w14:paraId="230E9B18">
      <w:pPr>
        <w:ind w:firstLine="420" w:firstLineChars="200"/>
        <w:rPr>
          <w:rFonts w:hint="eastAsia"/>
        </w:rPr>
      </w:pPr>
      <w:r>
        <w:rPr>
          <w:rFonts w:hint="eastAsia"/>
        </w:rPr>
        <w:t>原审认为，被告人邓某强明知他人利用信息网络实施犯罪，仍为他人犯罪提供支付结算帮助，情节严重，应当以帮助信息网络犯罪活动罪追究其刑事责任。被告人邓某强认罪认罚，依法可以从宽处理。依照《中华人民共和国刑法》第二百八十七条之二第一款、第五十二条、第五十三条，《中华人民共和国刑事诉讼法》第十五条、第二百零一条的规定，判决：被告人邓某强犯帮助信息网络犯罪活动罪，判处有期徒刑七个月，并处罚金人民币五千元。</w:t>
      </w:r>
    </w:p>
    <w:p w14:paraId="183AB05C">
      <w:pPr>
        <w:ind w:firstLine="420" w:firstLineChars="200"/>
        <w:rPr>
          <w:rFonts w:hint="eastAsia"/>
        </w:rPr>
      </w:pPr>
      <w:r>
        <w:rPr>
          <w:rFonts w:hint="eastAsia"/>
        </w:rPr>
        <w:t>上诉人邓某强及其辩护人提出：邓某强有自首情节，认罪认罚，主动缴纳罚金，一贯表现好，系初犯、偶犯，同案人员大部分判处了缓刑。恳请二审法院考虑邓某强家庭困难的特殊情况，对其适用缓刑。</w:t>
      </w:r>
    </w:p>
    <w:p w14:paraId="21066341">
      <w:pPr>
        <w:ind w:firstLine="420" w:firstLineChars="200"/>
        <w:rPr>
          <w:rFonts w:hint="eastAsia"/>
        </w:rPr>
      </w:pPr>
      <w:r>
        <w:rPr>
          <w:rFonts w:hint="eastAsia"/>
        </w:rPr>
        <w:t>本院经审理查明的事实与原审判决认定的事实一致。原审判决所列证据，均经一审庭审举证、质证和二审审查核实，其来源合法有效，所证内容客观真实，与待证事实具有关联性，本院依法予以确认。</w:t>
      </w:r>
    </w:p>
    <w:p w14:paraId="37D91433">
      <w:pPr>
        <w:ind w:firstLine="420" w:firstLineChars="200"/>
        <w:rPr>
          <w:rFonts w:hint="eastAsia"/>
        </w:rPr>
      </w:pPr>
      <w:r>
        <w:rPr>
          <w:rFonts w:hint="eastAsia"/>
        </w:rPr>
        <w:t>本院认为，上诉人邓某强明知他人利用信息网络实施犯罪，仍为他人犯罪提供支付结算帮助，情节严重，其行为构成帮助信息网络犯罪活动罪。上诉人邓某强认罪认罚，依法可以从宽处理。关于上诉人及辩护人提出的邓某强构成自首的上诉理由和辩护意见。经查，邓某强被同事通知到公司保卫科，随后即被公安抓获后传唤到办案机关，其并无主动投案的主观意愿，不符合自首，对上诉人邓某强及其辩护人的上诉理由和辩护意见不予采纳。关于上诉人邓某强及其辩护人提出的对邓某强适用缓刑的上诉理由和辩护意见。经查，原审量刑并无不当，且其无固定居住地，不宜社区矫正，对该上诉理由和辩护意见，本院不予采纳。关于上诉人及辩护人提出的原审未同案同判的上诉理由和辩护意见。经查，上诉人邓某强出借多张银行卡为他人犯罪提供帮助，其账户内赌博资金流水远超他人，一审量刑并无不当。对该上诉理由和辩护意见不予采纳。原判认定事实清楚，定罪准确，量刑适当，审判程序合法。依照《中华人民共和国刑事诉讼法》第二百三十六条第一款第（一）项之规定，裁定如下：</w:t>
      </w:r>
    </w:p>
    <w:p w14:paraId="679B5C68">
      <w:pPr>
        <w:ind w:firstLine="420" w:firstLineChars="200"/>
        <w:rPr>
          <w:rFonts w:hint="eastAsia"/>
        </w:rPr>
      </w:pPr>
      <w:r>
        <w:rPr>
          <w:rFonts w:hint="eastAsia"/>
        </w:rPr>
        <w:t>驳回上诉，维持原判。</w:t>
      </w:r>
    </w:p>
    <w:p w14:paraId="4D2AE59C">
      <w:pPr>
        <w:ind w:firstLine="420" w:firstLineChars="200"/>
      </w:pPr>
      <w:r>
        <w:rPr>
          <w:rFonts w:hint="eastAsia"/>
        </w:rPr>
        <w:t>本裁定为终审裁定。</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89705D"/>
    <w:rsid w:val="45576E3F"/>
    <w:rsid w:val="6D972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1963</Words>
  <Characters>2122</Characters>
  <Lines>0</Lines>
  <Paragraphs>0</Paragraphs>
  <TotalTime>1</TotalTime>
  <ScaleCrop>false</ScaleCrop>
  <LinksUpToDate>false</LinksUpToDate>
  <CharactersWithSpaces>2126</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2026-08-25T16:30:00Z</dcterms:created>
  <dc:creator>27355</dc:creator>
  <cp:lastModifiedBy>杨可依</cp:lastModifiedBy>
  <dcterms:modified xsi:type="dcterms:W3CDTF">2026-08-29T06:11:42Z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KSOTemplateDocerSaveRecord">
    <vt:lpwstr>eyJoZGlkIjoiYjgyOGQyODI3NTAyMDJjYmRjZmFkZWE1NDI5Y2Q4NDIiLCJ1c2VySWQiOiIxNzY2NzgwODg4In0=</vt:lpwstr>
  </property>
  <property fmtid="{D5CDD505-2E9C-101B-9397-08002B2CF9AE}" pid="4" name="ICV">
    <vt:lpwstr>E971857CF6F9447C8A2E667684CBB388_12</vt:lpwstr>
  </property>
</Properties>
</file>