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FFCC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center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A案 起诉意见书节选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合成卷宗材料</w:t>
      </w:r>
      <w:r>
        <w:rPr>
          <w:rFonts w:hint="eastAsia"/>
          <w:sz w:val="24"/>
          <w:szCs w:val="24"/>
          <w:lang w:eastAsia="zh-CN"/>
        </w:rPr>
        <w:t>）</w:t>
      </w:r>
    </w:p>
    <w:p w14:paraId="713272B0">
      <w:pPr>
        <w:ind w:firstLine="420" w:firstLineChars="200"/>
        <w:rPr>
          <w:rFonts w:hint="eastAsia"/>
        </w:rPr>
      </w:pPr>
      <w:r>
        <w:rPr>
          <w:rFonts w:hint="eastAsia"/>
        </w:rPr>
        <w:t>犯罪嫌疑人官某，男，1995年X月X日出生，汉族，高中文化，无业，住湖北省荆州市沙市区。</w:t>
      </w:r>
      <w:bookmarkStart w:id="0" w:name="_GoBack"/>
      <w:bookmarkEnd w:id="0"/>
    </w:p>
    <w:p w14:paraId="4AC15CE3">
      <w:pPr>
        <w:ind w:firstLine="420" w:firstLineChars="200"/>
        <w:rPr>
          <w:rFonts w:hint="eastAsia"/>
        </w:rPr>
      </w:pPr>
      <w:r>
        <w:rPr>
          <w:rFonts w:hint="eastAsia"/>
        </w:rPr>
        <w:t>犯罪嫌疑人刘某，男，1997年X月X日出生，汉族，中专文化，无业，住湖北省荆州市沙市区。</w:t>
      </w:r>
    </w:p>
    <w:p w14:paraId="6AC51BC2">
      <w:pPr>
        <w:ind w:firstLine="420" w:firstLineChars="200"/>
        <w:rPr>
          <w:rFonts w:hint="eastAsia"/>
        </w:rPr>
      </w:pPr>
      <w:r>
        <w:rPr>
          <w:rFonts w:hint="eastAsia"/>
        </w:rPr>
        <w:t>2022年2月至3月期间，犯罪嫌疑人官某、刘某为谋取非法利益，明知他人利用信息网络实施犯罪，仍将本人名下银行卡出租给李某（另案处理）用于违法犯罪活动资金转账（俗称“跑分”）。其中官某提供本人名下湖北某某社银行卡、中国某某银行卡、上海银行卡、泰隆银行卡等4张银行卡；刘某提供本人名下湖北某某社银行卡、交通银行卡、上海银行卡、南京银行卡等4张银行卡。银行卡被冻结后，二人应李某要求前往上海市办理新卡继续用于“跑分”。</w:t>
      </w:r>
    </w:p>
    <w:p w14:paraId="60AFA291">
      <w:pPr>
        <w:ind w:firstLine="420" w:firstLineChars="200"/>
        <w:rPr>
          <w:rFonts w:hint="eastAsia"/>
        </w:rPr>
      </w:pPr>
      <w:r>
        <w:rPr>
          <w:rFonts w:hint="eastAsia"/>
        </w:rPr>
        <w:t>经查，官某名下银行卡涉及电信诈骗案件10余起，涉案转入资金共计51万余元；刘某名下银行卡涉及电信诈骗案件20余起，涉案转入资金共计57万余元。官某非法获利8000元，刘某非法获利8500元。</w:t>
      </w:r>
    </w:p>
    <w:p w14:paraId="612D0283">
      <w:pPr>
        <w:ind w:firstLine="420" w:firstLineChars="200"/>
        <w:rPr>
          <w:rFonts w:hint="eastAsia"/>
        </w:rPr>
      </w:pPr>
      <w:r>
        <w:rPr>
          <w:rFonts w:hint="eastAsia"/>
        </w:rPr>
        <w:t>以上事实有犯罪嫌疑人供述、被害人报案材料、银行卡交易流水、公安部电信网络诈骗平台查询结果、电子数据检查笔录等证据证实。</w:t>
      </w:r>
    </w:p>
    <w:p w14:paraId="6FC15CA9">
      <w:pPr>
        <w:ind w:firstLine="420" w:firstLineChars="200"/>
      </w:pPr>
      <w:r>
        <w:rPr>
          <w:rFonts w:hint="eastAsia"/>
        </w:rPr>
        <w:t>犯罪嫌疑人官某、刘某的行为触犯《中华人民共和国刑法》第二百八十七条之二，涉嫌帮助信息网络犯罪活动罪。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E5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2026-08-27T02:05:28Z</dcterms:created>
  <dc:creator>27355</dc:creator>
  <cp:lastModifiedBy>杨可依</cp:lastModifiedBy>
  <dcterms:modified xsi:type="dcterms:W3CDTF">2026-08-27T02:06:28Z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47FC0508821247A6824C75E40B79A767_12</vt:lpwstr>
  </property>
</Properties>
</file>