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6183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center"/>
        <w:rPr>
          <w:rFonts w:hint="eastAsia" w:eastAsia="宋体"/>
          <w:sz w:val="24"/>
          <w:szCs w:val="24"/>
          <w:lang w:eastAsia="zh-CN"/>
        </w:rPr>
      </w:pPr>
      <w:r>
        <w:rPr>
          <w:rFonts w:hint="default"/>
          <w:sz w:val="24"/>
          <w:szCs w:val="24"/>
        </w:rPr>
        <w:t>B案 起诉意见书节选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合成卷宗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材料</w:t>
      </w:r>
      <w:r>
        <w:rPr>
          <w:rFonts w:hint="eastAsia"/>
          <w:sz w:val="24"/>
          <w:szCs w:val="24"/>
          <w:lang w:eastAsia="zh-CN"/>
        </w:rPr>
        <w:t>）</w:t>
      </w:r>
    </w:p>
    <w:p w14:paraId="5EF0B306">
      <w:pPr>
        <w:ind w:firstLine="420" w:firstLineChars="200"/>
        <w:rPr>
          <w:rFonts w:hint="default"/>
        </w:rPr>
      </w:pPr>
      <w:r>
        <w:rPr>
          <w:rFonts w:hint="default"/>
        </w:rPr>
        <w:t>犯罪嫌疑人邓某强，男，1996年6月15日出生，初中文化，务工，户籍地四川省广安市岳池县，住重庆市江北区。</w:t>
      </w:r>
    </w:p>
    <w:p w14:paraId="23BB3E8F">
      <w:pPr>
        <w:ind w:firstLine="420" w:firstLineChars="200"/>
        <w:rPr>
          <w:rFonts w:hint="default"/>
        </w:rPr>
      </w:pPr>
      <w:r>
        <w:rPr>
          <w:rFonts w:hint="default"/>
        </w:rPr>
        <w:t>2021年12月起，犯罪嫌疑人邓某强明知他人利用信息网络实施犯罪，仍将自己名下的中国银行卡（卡号62177706）和交通银行卡（卡号62226204）出借给绰号“大春”（又名“银河”）的男子等人使用。经查，上述2张银行卡被境外赌博网站用于支付结算，资金流进流出合计449万余元。其中中国银行卡自2021年12月23日至12月27日流入231万余元、流出96万余元；交通银行卡自2021年12月25日至12月29日流入90万余元、流出30万余元。</w:t>
      </w:r>
    </w:p>
    <w:p w14:paraId="3CEBBEEC">
      <w:pPr>
        <w:ind w:firstLine="420" w:firstLineChars="200"/>
        <w:rPr>
          <w:rFonts w:hint="default"/>
        </w:rPr>
      </w:pPr>
      <w:r>
        <w:rPr>
          <w:rFonts w:hint="default"/>
        </w:rPr>
        <w:t>2021年11月3日，邓某强在农业银行开户时，银行已告知买卖、出租、出借银行卡可能涉嫌违法犯罪，邓某强签名确认知晓。</w:t>
      </w:r>
    </w:p>
    <w:p w14:paraId="24A48D72">
      <w:pPr>
        <w:ind w:firstLine="420" w:firstLineChars="200"/>
        <w:rPr>
          <w:rFonts w:hint="default"/>
        </w:rPr>
      </w:pPr>
      <w:r>
        <w:rPr>
          <w:rFonts w:hint="default"/>
        </w:rPr>
        <w:t>以上事实有犯罪嫌疑人供述、银行卡交易流水、银行开户告知书等证据证实。</w:t>
      </w:r>
    </w:p>
    <w:p w14:paraId="271160F0">
      <w:pPr>
        <w:ind w:firstLine="420" w:firstLineChars="200"/>
        <w:rPr>
          <w:rFonts w:hint="default"/>
        </w:rPr>
      </w:pPr>
      <w:r>
        <w:rPr>
          <w:rFonts w:hint="default"/>
        </w:rPr>
        <w:t>犯罪嫌疑人邓某强的行为触犯《中华人民共和国刑法》第二百八十七条之二，涉嫌帮助信息网络犯罪活动罪。</w:t>
      </w:r>
    </w:p>
    <w:p w14:paraId="172A15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D0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2026-08-27T02:11:28Z</dcterms:created>
  <dc:creator>27355</dc:creator>
  <cp:lastModifiedBy>杨可依</cp:lastModifiedBy>
  <dcterms:modified xsi:type="dcterms:W3CDTF">2026-08-27T02:12:13Z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B4106BDF9372499DB24FC0E92CC8440A_12</vt:lpwstr>
  </property>
</Properties>
</file>