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E4B0B">
      <w:r>
        <w:rPr>
          <w:rFonts w:ascii="Times New Roman" w:hAnsi="Times New Roman" w:eastAsia="黑体"/>
          <w:b/>
          <w:sz w:val="26"/>
        </w:rPr>
        <w:t>问题一 · 应发现的跨案关联是什么？</w:t>
      </w:r>
    </w:p>
    <w:p w14:paraId="3A2C242F">
      <w:r>
        <w:rPr>
          <w:rFonts w:ascii="Times New Roman" w:hAnsi="Times New Roman" w:eastAsia="宋体"/>
          <w:b w:val="0"/>
          <w:sz w:val="24"/>
        </w:rPr>
        <w:t>答：本案为困难负例，经逐条比对，甲、乙两案之间不存在任何应发现的跨案关联。两案在被告人实名（刘斌/陈峰）、上线身份（阿强/阿勇）、银行卡号、手机号、身份证号、户籍等全部要素上均无重合，属彼此独立的案件；作案手法相同、地区相同、时间接近，仅是容易"误判为关联"的干扰条件。</w:t>
      </w:r>
    </w:p>
    <w:p w14:paraId="360F8E2E">
      <w:r>
        <w:rPr>
          <w:rFonts w:ascii="Times New Roman" w:hAnsi="Times New Roman" w:eastAsia="黑体"/>
          <w:b/>
          <w:sz w:val="26"/>
        </w:rPr>
        <w:t>问题二 · 关联对应的原文出处？</w:t>
      </w:r>
    </w:p>
    <w:p w14:paraId="59EF936D">
      <w:r>
        <w:rPr>
          <w:rFonts w:ascii="Times New Roman" w:hAnsi="Times New Roman" w:eastAsia="宋体"/>
          <w:b w:val="0"/>
          <w:sz w:val="24"/>
        </w:rPr>
        <w:t>答：因两案无关联，此处列出比对锚点供核验——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2416"/>
        <w:gridCol w:w="2416"/>
        <w:gridCol w:w="1862"/>
      </w:tblGrid>
      <w:tr w14:paraId="2E4B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4B97A9E6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比对项</w:t>
            </w:r>
          </w:p>
        </w:tc>
        <w:tc>
          <w:tcPr>
            <w:tcW w:w="2416" w:type="dxa"/>
          </w:tcPr>
          <w:p w14:paraId="1924D8A7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甲案</w:t>
            </w:r>
          </w:p>
        </w:tc>
        <w:tc>
          <w:tcPr>
            <w:tcW w:w="2416" w:type="dxa"/>
          </w:tcPr>
          <w:p w14:paraId="7332DCEE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乙案</w:t>
            </w:r>
          </w:p>
        </w:tc>
        <w:tc>
          <w:tcPr>
            <w:tcW w:w="2020" w:type="dxa"/>
          </w:tcPr>
          <w:p w14:paraId="51EF7DF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 w14:paraId="7E7D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4CE3666C">
            <w:r>
              <w:rPr>
                <w:rFonts w:ascii="Times New Roman" w:hAnsi="Times New Roman" w:eastAsia="宋体"/>
                <w:b w:val="0"/>
                <w:sz w:val="18"/>
              </w:rPr>
              <w:t>被告人实名</w:t>
            </w:r>
          </w:p>
        </w:tc>
        <w:tc>
          <w:tcPr>
            <w:tcW w:w="2416" w:type="dxa"/>
          </w:tcPr>
          <w:p w14:paraId="33E10BE8">
            <w:r>
              <w:rPr>
                <w:rFonts w:ascii="Times New Roman" w:hAnsi="Times New Roman" w:eastAsia="宋体"/>
                <w:b w:val="0"/>
                <w:sz w:val="18"/>
              </w:rPr>
              <w:t>刘斌（身份证3702XXXXXXXXXX2045）</w:t>
            </w:r>
          </w:p>
        </w:tc>
        <w:tc>
          <w:tcPr>
            <w:tcW w:w="2416" w:type="dxa"/>
          </w:tcPr>
          <w:p w14:paraId="2B246C5E">
            <w:r>
              <w:rPr>
                <w:rFonts w:ascii="Times New Roman" w:hAnsi="Times New Roman" w:eastAsia="宋体"/>
                <w:b w:val="0"/>
                <w:sz w:val="18"/>
              </w:rPr>
              <w:t>陈峰（身份证3702XXXXXXXXXX3178）</w:t>
            </w:r>
          </w:p>
        </w:tc>
        <w:tc>
          <w:tcPr>
            <w:tcW w:w="2020" w:type="dxa"/>
          </w:tcPr>
          <w:p w14:paraId="5F663228">
            <w:r>
              <w:rPr>
                <w:rFonts w:ascii="Times New Roman" w:hAnsi="Times New Roman" w:eastAsia="宋体"/>
                <w:b w:val="0"/>
                <w:sz w:val="18"/>
              </w:rPr>
              <w:t>不重合</w:t>
            </w:r>
          </w:p>
        </w:tc>
      </w:tr>
      <w:tr w14:paraId="2CAC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5C362681">
            <w:r>
              <w:rPr>
                <w:rFonts w:ascii="Times New Roman" w:hAnsi="Times New Roman" w:eastAsia="宋体"/>
                <w:b w:val="0"/>
                <w:sz w:val="18"/>
              </w:rPr>
              <w:t>上线</w:t>
            </w:r>
          </w:p>
        </w:tc>
        <w:tc>
          <w:tcPr>
            <w:tcW w:w="2416" w:type="dxa"/>
          </w:tcPr>
          <w:p w14:paraId="4E8E12F5">
            <w:r>
              <w:rPr>
                <w:rFonts w:ascii="Times New Roman" w:hAnsi="Times New Roman" w:eastAsia="宋体"/>
                <w:b w:val="0"/>
                <w:sz w:val="18"/>
              </w:rPr>
              <w:t>阿强</w:t>
            </w:r>
          </w:p>
        </w:tc>
        <w:tc>
          <w:tcPr>
            <w:tcW w:w="2416" w:type="dxa"/>
          </w:tcPr>
          <w:p w14:paraId="3E2557AF">
            <w:r>
              <w:rPr>
                <w:rFonts w:ascii="Times New Roman" w:hAnsi="Times New Roman" w:eastAsia="宋体"/>
                <w:b w:val="0"/>
                <w:sz w:val="18"/>
              </w:rPr>
              <w:t>阿勇</w:t>
            </w:r>
          </w:p>
        </w:tc>
        <w:tc>
          <w:tcPr>
            <w:tcW w:w="2020" w:type="dxa"/>
          </w:tcPr>
          <w:p w14:paraId="7CB8A8BE">
            <w:r>
              <w:rPr>
                <w:rFonts w:ascii="Times New Roman" w:hAnsi="Times New Roman" w:eastAsia="宋体"/>
                <w:b w:val="0"/>
                <w:sz w:val="18"/>
              </w:rPr>
              <w:t>不重合</w:t>
            </w:r>
          </w:p>
        </w:tc>
      </w:tr>
      <w:tr w14:paraId="51C7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01042F32">
            <w:r>
              <w:rPr>
                <w:rFonts w:ascii="Times New Roman" w:hAnsi="Times New Roman" w:eastAsia="宋体"/>
                <w:b w:val="0"/>
                <w:sz w:val="18"/>
              </w:rPr>
              <w:t>银行卡</w:t>
            </w:r>
          </w:p>
        </w:tc>
        <w:tc>
          <w:tcPr>
            <w:tcW w:w="2416" w:type="dxa"/>
          </w:tcPr>
          <w:p w14:paraId="72D73FEA">
            <w:r>
              <w:rPr>
                <w:rFonts w:ascii="Times New Roman" w:hAnsi="Times New Roman" w:eastAsia="宋体"/>
                <w:b w:val="0"/>
                <w:sz w:val="18"/>
              </w:rPr>
              <w:t>建设银行62270001234567721（尾号7721）</w:t>
            </w:r>
          </w:p>
        </w:tc>
        <w:tc>
          <w:tcPr>
            <w:tcW w:w="2416" w:type="dxa"/>
          </w:tcPr>
          <w:p w14:paraId="515A9922">
            <w:r>
              <w:rPr>
                <w:rFonts w:ascii="Times New Roman" w:hAnsi="Times New Roman" w:eastAsia="宋体"/>
                <w:b w:val="0"/>
                <w:sz w:val="18"/>
              </w:rPr>
              <w:t>建设银行62270008765443356（尾号3356）</w:t>
            </w:r>
          </w:p>
        </w:tc>
        <w:tc>
          <w:tcPr>
            <w:tcW w:w="2020" w:type="dxa"/>
          </w:tcPr>
          <w:p w14:paraId="42F72C65">
            <w:r>
              <w:rPr>
                <w:rFonts w:ascii="Times New Roman" w:hAnsi="Times New Roman" w:eastAsia="宋体"/>
                <w:b w:val="0"/>
                <w:sz w:val="18"/>
              </w:rPr>
              <w:t>不同卡</w:t>
            </w:r>
          </w:p>
        </w:tc>
      </w:tr>
      <w:tr w14:paraId="5840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1CE8E325"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  <w:tc>
          <w:tcPr>
            <w:tcW w:w="2416" w:type="dxa"/>
          </w:tcPr>
          <w:p w14:paraId="482F6195">
            <w:r>
              <w:rPr>
                <w:rFonts w:ascii="Times New Roman" w:hAnsi="Times New Roman" w:eastAsia="宋体"/>
                <w:b w:val="0"/>
                <w:sz w:val="18"/>
              </w:rPr>
              <w:t>139****8821</w:t>
            </w:r>
          </w:p>
        </w:tc>
        <w:tc>
          <w:tcPr>
            <w:tcW w:w="2416" w:type="dxa"/>
          </w:tcPr>
          <w:p w14:paraId="48A45739">
            <w:r>
              <w:rPr>
                <w:rFonts w:ascii="Times New Roman" w:hAnsi="Times New Roman" w:eastAsia="宋体"/>
                <w:b w:val="0"/>
                <w:sz w:val="18"/>
              </w:rPr>
              <w:t>150****6633</w:t>
            </w:r>
          </w:p>
        </w:tc>
        <w:tc>
          <w:tcPr>
            <w:tcW w:w="2020" w:type="dxa"/>
          </w:tcPr>
          <w:p w14:paraId="48AC2C1A">
            <w:r>
              <w:rPr>
                <w:rFonts w:ascii="Times New Roman" w:hAnsi="Times New Roman" w:eastAsia="宋体"/>
                <w:b w:val="0"/>
                <w:sz w:val="18"/>
              </w:rPr>
              <w:t>不同</w:t>
            </w:r>
          </w:p>
        </w:tc>
      </w:tr>
      <w:tr w14:paraId="7892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6696F99B">
            <w:r>
              <w:rPr>
                <w:rFonts w:ascii="Times New Roman" w:hAnsi="Times New Roman" w:eastAsia="宋体"/>
                <w:b w:val="0"/>
                <w:sz w:val="18"/>
              </w:rPr>
              <w:t>作案手法</w:t>
            </w:r>
          </w:p>
        </w:tc>
        <w:tc>
          <w:tcPr>
            <w:tcW w:w="2416" w:type="dxa"/>
          </w:tcPr>
          <w:p w14:paraId="51D310C2">
            <w:r>
              <w:rPr>
                <w:rFonts w:ascii="Times New Roman" w:hAnsi="Times New Roman" w:eastAsia="宋体"/>
                <w:b w:val="0"/>
                <w:sz w:val="18"/>
              </w:rPr>
              <w:t>售卡＋跑分＋解封，提成约1.2%</w:t>
            </w:r>
          </w:p>
        </w:tc>
        <w:tc>
          <w:tcPr>
            <w:tcW w:w="2416" w:type="dxa"/>
          </w:tcPr>
          <w:p w14:paraId="3F713C3B">
            <w:r>
              <w:rPr>
                <w:rFonts w:ascii="Times New Roman" w:hAnsi="Times New Roman" w:eastAsia="宋体"/>
                <w:b w:val="0"/>
                <w:sz w:val="18"/>
              </w:rPr>
              <w:t>售卡＋跑分＋解封，提成约1.2%</w:t>
            </w:r>
          </w:p>
        </w:tc>
        <w:tc>
          <w:tcPr>
            <w:tcW w:w="2020" w:type="dxa"/>
          </w:tcPr>
          <w:p w14:paraId="6BC644B0">
            <w:r>
              <w:rPr>
                <w:rFonts w:ascii="Times New Roman" w:hAnsi="Times New Roman" w:eastAsia="宋体"/>
                <w:b w:val="0"/>
                <w:sz w:val="18"/>
              </w:rPr>
              <w:t>雷同（干扰）</w:t>
            </w:r>
          </w:p>
        </w:tc>
      </w:tr>
      <w:tr w14:paraId="78B3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5A032B94">
            <w:r>
              <w:rPr>
                <w:rFonts w:ascii="Times New Roman" w:hAnsi="Times New Roman" w:eastAsia="宋体"/>
                <w:b w:val="0"/>
                <w:sz w:val="18"/>
              </w:rPr>
              <w:t>时段</w:t>
            </w:r>
          </w:p>
        </w:tc>
        <w:tc>
          <w:tcPr>
            <w:tcW w:w="2416" w:type="dxa"/>
          </w:tcPr>
          <w:p w14:paraId="69A5A8FA">
            <w:r>
              <w:rPr>
                <w:rFonts w:ascii="Times New Roman" w:hAnsi="Times New Roman" w:eastAsia="宋体"/>
                <w:b w:val="0"/>
                <w:sz w:val="18"/>
              </w:rPr>
              <w:t>3月10日至5月8日</w:t>
            </w:r>
          </w:p>
        </w:tc>
        <w:tc>
          <w:tcPr>
            <w:tcW w:w="2416" w:type="dxa"/>
          </w:tcPr>
          <w:p w14:paraId="68F0013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eastAsia="zh-CN"/>
              </w:rPr>
              <w:t>3月6日至5月12日</w:t>
            </w:r>
          </w:p>
        </w:tc>
        <w:tc>
          <w:tcPr>
            <w:tcW w:w="2020" w:type="dxa"/>
          </w:tcPr>
          <w:p w14:paraId="1D55709E">
            <w:r>
              <w:rPr>
                <w:rFonts w:ascii="Times New Roman" w:hAnsi="Times New Roman" w:eastAsia="宋体"/>
                <w:b w:val="0"/>
                <w:sz w:val="18"/>
              </w:rPr>
              <w:t>相邻（干扰）</w:t>
            </w:r>
          </w:p>
        </w:tc>
      </w:tr>
    </w:tbl>
    <w:p w14:paraId="00297195">
      <w:r>
        <w:rPr>
          <w:rFonts w:ascii="Times New Roman" w:hAnsi="Times New Roman" w:eastAsia="黑体"/>
          <w:b/>
          <w:sz w:val="26"/>
        </w:rPr>
        <w:t>问题三 · 哪些是假关联（干扰特征）？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2844"/>
        <w:gridCol w:w="2841"/>
      </w:tblGrid>
      <w:tr w14:paraId="7FAE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FCF8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880" w:type="dxa"/>
          </w:tcPr>
          <w:p w14:paraId="57C114A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干扰维度</w:t>
            </w:r>
          </w:p>
        </w:tc>
        <w:tc>
          <w:tcPr>
            <w:tcW w:w="2880" w:type="dxa"/>
          </w:tcPr>
          <w:p w14:paraId="61A54D6B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为何为假</w:t>
            </w:r>
          </w:p>
        </w:tc>
      </w:tr>
      <w:tr w14:paraId="6A74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755F0A">
            <w:r>
              <w:rPr>
                <w:rFonts w:ascii="Times New Roman" w:hAnsi="Times New Roman" w:eastAsia="宋体"/>
                <w:b w:val="0"/>
                <w:sz w:val="18"/>
              </w:rPr>
              <w:t>F1</w:t>
            </w:r>
          </w:p>
        </w:tc>
        <w:tc>
          <w:tcPr>
            <w:tcW w:w="2880" w:type="dxa"/>
          </w:tcPr>
          <w:p w14:paraId="2C98B54F">
            <w:r>
              <w:rPr>
                <w:rFonts w:ascii="Times New Roman" w:hAnsi="Times New Roman" w:eastAsia="宋体"/>
                <w:b w:val="0"/>
                <w:sz w:val="18"/>
              </w:rPr>
              <w:t>同案由（均帮信罪）</w:t>
            </w:r>
          </w:p>
        </w:tc>
        <w:tc>
          <w:tcPr>
            <w:tcW w:w="2880" w:type="dxa"/>
          </w:tcPr>
          <w:p w14:paraId="3B3D158A">
            <w:r>
              <w:rPr>
                <w:rFonts w:ascii="Times New Roman" w:hAnsi="Times New Roman" w:eastAsia="宋体"/>
                <w:b w:val="0"/>
                <w:sz w:val="18"/>
              </w:rPr>
              <w:t>罪名相同不等于同一案件，属高频通用案由</w:t>
            </w:r>
          </w:p>
        </w:tc>
      </w:tr>
      <w:tr w14:paraId="6CFA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AF8706">
            <w:r>
              <w:rPr>
                <w:rFonts w:ascii="Times New Roman" w:hAnsi="Times New Roman" w:eastAsia="宋体"/>
                <w:b w:val="0"/>
                <w:sz w:val="18"/>
              </w:rPr>
              <w:t>F2</w:t>
            </w:r>
          </w:p>
        </w:tc>
        <w:tc>
          <w:tcPr>
            <w:tcW w:w="2880" w:type="dxa"/>
          </w:tcPr>
          <w:p w14:paraId="0D9093B9">
            <w:r>
              <w:rPr>
                <w:rFonts w:ascii="Times New Roman" w:hAnsi="Times New Roman" w:eastAsia="宋体"/>
                <w:b w:val="0"/>
                <w:sz w:val="18"/>
              </w:rPr>
              <w:t>作案手法相同（售卡＋跑分＋解封）</w:t>
            </w:r>
          </w:p>
        </w:tc>
        <w:tc>
          <w:tcPr>
            <w:tcW w:w="2880" w:type="dxa"/>
          </w:tcPr>
          <w:p w14:paraId="3B134F7F">
            <w:r>
              <w:rPr>
                <w:rFonts w:ascii="Times New Roman" w:hAnsi="Times New Roman" w:eastAsia="宋体"/>
                <w:b w:val="0"/>
                <w:sz w:val="18"/>
              </w:rPr>
              <w:t>同类犯罪常见模式，非身份/实体关联</w:t>
            </w:r>
          </w:p>
        </w:tc>
      </w:tr>
      <w:tr w14:paraId="6CE0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4D765">
            <w:r>
              <w:rPr>
                <w:rFonts w:ascii="Times New Roman" w:hAnsi="Times New Roman" w:eastAsia="宋体"/>
                <w:b w:val="0"/>
                <w:sz w:val="18"/>
              </w:rPr>
              <w:t>F3</w:t>
            </w:r>
          </w:p>
        </w:tc>
        <w:tc>
          <w:tcPr>
            <w:tcW w:w="2880" w:type="dxa"/>
          </w:tcPr>
          <w:p w14:paraId="121916A9">
            <w:r>
              <w:rPr>
                <w:rFonts w:ascii="Times New Roman" w:hAnsi="Times New Roman" w:eastAsia="宋体"/>
                <w:b w:val="0"/>
                <w:sz w:val="18"/>
              </w:rPr>
              <w:t>地区相同（同属一市）</w:t>
            </w:r>
          </w:p>
        </w:tc>
        <w:tc>
          <w:tcPr>
            <w:tcW w:w="2880" w:type="dxa"/>
          </w:tcPr>
          <w:p w14:paraId="304D82F3">
            <w:r>
              <w:rPr>
                <w:rFonts w:ascii="Times New Roman" w:hAnsi="Times New Roman" w:eastAsia="宋体"/>
                <w:b w:val="0"/>
                <w:sz w:val="18"/>
              </w:rPr>
              <w:t>地域相近不构成本案关联</w:t>
            </w:r>
          </w:p>
        </w:tc>
      </w:tr>
      <w:tr w14:paraId="1809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A7FDBB">
            <w:r>
              <w:rPr>
                <w:rFonts w:ascii="Times New Roman" w:hAnsi="Times New Roman" w:eastAsia="宋体"/>
                <w:b w:val="0"/>
                <w:sz w:val="18"/>
              </w:rPr>
              <w:t>F4</w:t>
            </w:r>
          </w:p>
        </w:tc>
        <w:tc>
          <w:tcPr>
            <w:tcW w:w="2880" w:type="dxa"/>
          </w:tcPr>
          <w:p w14:paraId="4E75D211">
            <w:r>
              <w:rPr>
                <w:rFonts w:ascii="Times New Roman" w:hAnsi="Times New Roman" w:eastAsia="宋体"/>
                <w:b w:val="0"/>
                <w:sz w:val="18"/>
              </w:rPr>
              <w:t>时间接近</w:t>
            </w:r>
          </w:p>
        </w:tc>
        <w:tc>
          <w:tcPr>
            <w:tcW w:w="2880" w:type="dxa"/>
          </w:tcPr>
          <w:p w14:paraId="2AEFBBE2">
            <w:r>
              <w:rPr>
                <w:rFonts w:ascii="Times New Roman" w:hAnsi="Times New Roman" w:eastAsia="宋体"/>
                <w:b w:val="0"/>
                <w:sz w:val="18"/>
              </w:rPr>
              <w:t>时段相邻不等于同一案件</w:t>
            </w:r>
          </w:p>
        </w:tc>
      </w:tr>
      <w:tr w14:paraId="1B33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AA534"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w="2880" w:type="dxa"/>
          </w:tcPr>
          <w:p w14:paraId="23EC051E">
            <w:r>
              <w:rPr>
                <w:rFonts w:ascii="Times New Roman" w:hAnsi="Times New Roman" w:eastAsia="宋体"/>
                <w:b w:val="0"/>
                <w:sz w:val="18"/>
              </w:rPr>
              <w:t>提成比率相近（均约1.2%）</w:t>
            </w:r>
          </w:p>
        </w:tc>
        <w:tc>
          <w:tcPr>
            <w:tcW w:w="2880" w:type="dxa"/>
          </w:tcPr>
          <w:p w14:paraId="775124DA">
            <w:r>
              <w:rPr>
                <w:rFonts w:ascii="Times New Roman" w:hAnsi="Times New Roman" w:eastAsia="宋体"/>
                <w:b w:val="0"/>
                <w:sz w:val="18"/>
              </w:rPr>
              <w:t>同类犯罪常见分成比例，非关联证据</w:t>
            </w:r>
          </w:p>
        </w:tc>
      </w:tr>
    </w:tbl>
    <w:p w14:paraId="17EDDF2F">
      <w:r>
        <w:rPr>
          <w:rFonts w:ascii="Times New Roman" w:hAnsi="Times New Roman" w:eastAsia="黑体"/>
          <w:b/>
          <w:sz w:val="26"/>
        </w:rPr>
        <w:t>问题四 · 是否存在同名不同人、别名，或其他未到案主体？</w:t>
      </w:r>
    </w:p>
    <w:p w14:paraId="6CFEE82E">
      <w:r>
        <w:rPr>
          <w:rFonts w:ascii="Times New Roman" w:hAnsi="Times New Roman" w:eastAsia="宋体"/>
          <w:b w:val="0"/>
          <w:sz w:val="24"/>
        </w:rPr>
        <w:t>① 同名不同人：否。甲、乙两案被告人实名分别为刘斌、陈峰，身份证、手机、户籍五项要素互不相同，不存在同名情形。</w:t>
      </w:r>
    </w:p>
    <w:p w14:paraId="2E96068A">
      <w:r>
        <w:rPr>
          <w:rFonts w:ascii="Times New Roman" w:hAnsi="Times New Roman" w:eastAsia="宋体"/>
          <w:b w:val="0"/>
          <w:sz w:val="24"/>
        </w:rPr>
        <w:t>② 别名/绰号归并：否。两案上线分别称"阿强""阿勇"，被告人均无绰号与本名归并需求；"阿强"与"阿勇"系不同案件的独立上线，非同一对象的不同称呼。</w:t>
      </w:r>
    </w:p>
    <w:p w14:paraId="512CC2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CE219C7"/>
    <w:rsid w:val="4E566916"/>
    <w:rsid w:val="6F3569E5"/>
    <w:rsid w:val="75B40320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940</Characters>
  <Lines>0</Lines>
  <Paragraphs>0</Paragraphs>
  <TotalTime>0</TotalTime>
  <ScaleCrop>false</ScaleCrop>
  <LinksUpToDate>false</LinksUpToDate>
  <CharactersWithSpaces>952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