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CB2C2">
      <w:pPr>
        <w:spacing w:before="80" w:after="40"/>
        <w:jc w:val="center"/>
      </w:pPr>
      <w:bookmarkStart w:id="0" w:name="_GoBack"/>
      <w:bookmarkEnd w:id="0"/>
      <w:r>
        <w:rPr>
          <w:rFonts w:ascii="Times New Roman" w:hAnsi="Times New Roman" w:eastAsia="黑体"/>
          <w:b/>
          <w:sz w:val="26"/>
        </w:rPr>
        <w:t>代理词</w:t>
      </w:r>
    </w:p>
    <w:p w14:paraId="69064F1D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受被告人家属委托并承</w:t>
      </w:r>
      <w:r>
        <w:rPr>
          <w:rFonts w:hint="eastAsia"/>
          <w:b w:val="0"/>
          <w:sz w:val="24"/>
          <w:lang w:val="en-US" w:eastAsia="zh-CN"/>
        </w:rPr>
        <w:t>林森</w:t>
      </w:r>
      <w:r>
        <w:rPr>
          <w:rFonts w:ascii="Times New Roman" w:hAnsi="Times New Roman" w:eastAsia="宋体"/>
          <w:b w:val="0"/>
          <w:sz w:val="24"/>
        </w:rPr>
        <w:t>市</w:t>
      </w:r>
      <w:r>
        <w:rPr>
          <w:rFonts w:hint="eastAsia"/>
          <w:b w:val="0"/>
          <w:sz w:val="24"/>
          <w:lang w:val="en-US" w:eastAsia="zh-CN"/>
        </w:rPr>
        <w:t>数字</w:t>
      </w:r>
      <w:r>
        <w:rPr>
          <w:rFonts w:ascii="Times New Roman" w:hAnsi="Times New Roman" w:eastAsia="宋体"/>
          <w:b w:val="0"/>
          <w:sz w:val="24"/>
        </w:rPr>
        <w:t>区法律援助中心指派，本人担任被告人刘斌涉嫌帮助信息网络犯罪活动罪一案的辩护人，参与本案诉讼。经查阅案卷、会见被告人并参与庭审，现发表如下辩护意见，供合议庭参考：</w:t>
      </w:r>
    </w:p>
    <w:p w14:paraId="0CD70DD9">
      <w:pPr>
        <w:numPr>
          <w:ilvl w:val="0"/>
          <w:numId w:val="1"/>
        </w:num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被告人刘斌在本案中的地位属于从犯，依法应当从轻、减轻处罚。</w:t>
      </w:r>
    </w:p>
    <w:p w14:paraId="4E54DC33">
      <w:pPr>
        <w:numPr>
          <w:ilvl w:val="0"/>
          <w:numId w:val="0"/>
        </w:num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刘斌并非资金的最终受益人，亦未参与上游犯罪的通谋与组织，其仅按上线阿强要求提供本人银行卡、收款码并协助解封账号，在整个犯罪链条中处于被支配、被利用的末端环节，作用次要、地位从属，恳请合议庭认定其为从犯并依法从宽处理。</w:t>
      </w:r>
    </w:p>
    <w:p w14:paraId="20387A2C">
      <w:pPr>
        <w:numPr>
          <w:ilvl w:val="0"/>
          <w:numId w:val="1"/>
        </w:numPr>
        <w:ind w:left="0" w:leftChars="0" w:firstLine="0" w:firstLineChars="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被告人经电话通知后主动到案，如实供述主要事实，依法构成自首，且自愿认罪认罚。</w:t>
      </w:r>
    </w:p>
    <w:p w14:paraId="320883BB">
      <w:pPr>
        <w:numPr>
          <w:ilvl w:val="0"/>
          <w:numId w:val="0"/>
        </w:numPr>
        <w:ind w:leftChars="0" w:firstLine="480" w:firstLineChars="200"/>
      </w:pPr>
      <w:r>
        <w:rPr>
          <w:rFonts w:ascii="Times New Roman" w:hAnsi="Times New Roman" w:eastAsia="宋体"/>
          <w:b w:val="0"/>
          <w:sz w:val="24"/>
        </w:rPr>
        <w:t>刘斌在未被采取强制措施前即经公安机关电话通知主动到案，到案后如实供述提供银行卡、收款码、解封账号的主要事实，并主动提供与阿强的聊天记录，符合自首的成立条件；其当庭自愿认罪认罚，悔罪态度较好，依法可以从宽处罚。</w:t>
      </w:r>
    </w:p>
    <w:p w14:paraId="5E68FA4F">
      <w:pPr>
        <w:numPr>
          <w:ilvl w:val="0"/>
          <w:numId w:val="1"/>
        </w:numPr>
        <w:ind w:left="0" w:leftChars="0" w:firstLine="0" w:firstLineChars="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被告人犯罪情节相对较轻，社会危害性有限。</w:t>
      </w:r>
    </w:p>
    <w:p w14:paraId="39563E2B">
      <w:pPr>
        <w:numPr>
          <w:ilvl w:val="0"/>
          <w:numId w:val="0"/>
        </w:numPr>
        <w:ind w:leftChars="0" w:firstLine="480" w:firstLineChars="200"/>
      </w:pPr>
      <w:r>
        <w:rPr>
          <w:rFonts w:ascii="Times New Roman" w:hAnsi="Times New Roman" w:eastAsia="宋体"/>
          <w:b w:val="0"/>
          <w:sz w:val="24"/>
        </w:rPr>
        <w:t>刘斌对资金的具体来源和去向并不知情，亦未直接参与诈骗等核心犯罪环节，其非法获利共计 82</w:t>
      </w:r>
      <w:r>
        <w:rPr>
          <w:rFonts w:hint="eastAsia"/>
          <w:b w:val="0"/>
          <w:sz w:val="24"/>
          <w:lang w:val="en-US" w:eastAsia="zh-CN"/>
        </w:rPr>
        <w:t>12</w:t>
      </w:r>
      <w:r>
        <w:rPr>
          <w:rFonts w:ascii="Times New Roman" w:hAnsi="Times New Roman" w:eastAsia="宋体"/>
          <w:b w:val="0"/>
          <w:sz w:val="24"/>
        </w:rPr>
        <w:t>元，金额较小，案发后已主动表示愿意退缴全部违法所得，主观恶性和再犯可能性均较低。</w:t>
      </w:r>
    </w:p>
    <w:p w14:paraId="2949DA4D">
      <w:r>
        <w:rPr>
          <w:rFonts w:ascii="Times New Roman" w:hAnsi="Times New Roman" w:eastAsia="宋体"/>
          <w:b w:val="0"/>
          <w:sz w:val="24"/>
        </w:rPr>
        <w:t>4. 被告人系初犯、偶犯，此前无任何违法犯罪记录，其家庭具备良好的监管条件，适用缓刑不致再危害社会。恳请合议庭综合考虑其从犯、自首、认罪认罚、退赃退赔、初犯偶犯等法定及酌定从宽情节，对其依法从轻、减轻处罚并酌情适用缓刑。</w:t>
      </w:r>
    </w:p>
    <w:p w14:paraId="63B48203">
      <w:r>
        <w:rPr>
          <w:rFonts w:ascii="Times New Roman" w:hAnsi="Times New Roman" w:eastAsia="宋体"/>
          <w:b w:val="0"/>
          <w:sz w:val="24"/>
        </w:rPr>
        <w:t>以上意见，请予采纳。</w:t>
      </w:r>
    </w:p>
    <w:p w14:paraId="16970F7F">
      <w:r>
        <w:rPr>
          <w:rFonts w:ascii="Times New Roman" w:hAnsi="Times New Roman" w:eastAsia="宋体"/>
          <w:b w:val="0"/>
          <w:sz w:val="24"/>
        </w:rPr>
        <w:t>辩护人：    日期：2025年7月18日（教学虚构）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76B9B4"/>
    <w:multiLevelType w:val="singleLevel"/>
    <w:tmpl w:val="7976B9B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25017C4D"/>
    <w:rsid w:val="3A2C08FF"/>
    <w:rsid w:val="45D04998"/>
    <w:rsid w:val="49562FE0"/>
    <w:rsid w:val="4CA566E2"/>
    <w:rsid w:val="4E566916"/>
    <w:rsid w:val="778E22F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717</Words>
  <Characters>739</Characters>
  <Lines>0</Lines>
  <Paragraphs>0</Paragraphs>
  <TotalTime>0</TotalTime>
  <ScaleCrop>false</ScaleCrop>
  <LinksUpToDate>false</LinksUpToDate>
  <CharactersWithSpaces>741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2026-08-27T12:20:30Z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