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思源黑体" w:hAnsi="Times New Roman"/>
          <w:b/>
          <w:bCs/>
          <w:sz w:val="30"/>
          <w:szCs w:val="30"/>
        </w:rPr>
        <w:t xml:space="preserve">四个问题</w:t>
      </w:r>
    </w:p>
    <w:p>
      <w:pPr>
        <w:spacing w:after="240"/>
      </w:pPr>
      <w:r>
        <w:rPr>
          <w:rFonts w:ascii="Times New Roman" w:cs="Times New Roman" w:eastAsia="思源黑体" w:hAnsi="Times New Roman"/>
          <w:sz w:val="20"/>
          <w:szCs w:val="20"/>
        </w:rPr>
        <w:t xml:space="preserve">任务编号：G014　主题：作案手法高度相似＋不同区域（困难负例）　三案：A-G014-001 李嘉豪／B-G014-002 王俊杰／C-G014-003 陈思远</w:t>
      </w:r>
    </w:p>
    <w:p>
      <w:pPr>
        <w:spacing w:after="140" w:before="260"/>
      </w:pPr>
      <w:r>
        <w:rPr>
          <w:rFonts w:ascii="Times New Roman" w:cs="Times New Roman" w:eastAsia="思源黑体" w:hAnsi="Times New Roman"/>
          <w:b/>
          <w:bCs/>
          <w:sz w:val="24"/>
          <w:szCs w:val="24"/>
        </w:rPr>
        <w:t xml:space="preserve">问题一 · 应发现的跨案关联是什么？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①结论：本组不存在应当发现的跨案关联，正确处理结论为“三案不构成关联，属同类犯罪但不同案”。G014 为困难负例组，其设计意图正是检验识别者在作案手法高度雷同的情况下，能否拒绝并案。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②全维度均不成立。经比对 20 项关键要素（涉案银行卡、绑定手机号、卡主与上线身份证、上线姓名与绰号、作案地点、作案期间、上游资金性质、已查实被害人、下游二级账户、办案与审判主体等），跨案重合要素为 0，重合率 0.0%（详见表B《三案关键要素分布明细表》）。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③关联真值表所列 L1—L13 共 13 个关联维度，判定结果全部为“否”。其中 L5（作案手法）、L6（计酬方式）、L9（下游收款账户）三项难度为“困难”，L3（人员链）、L10（作案时间）为“中等”，其余为常规干扰特征。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④与正例组的区别：正例中同一张银行卡在不同案件间流转、或同一人以不同绰号跨案出现，构成应当发现的关联；本组三案各持一张不同银行的卡、各有三名不同上线，不存在任何可供串联的实体或账户，属于典型的“形似而神不似”。</w:t>
      </w:r>
    </w:p>
    <w:p>
      <w:pPr>
        <w:spacing w:after="140" w:before="260"/>
      </w:pPr>
      <w:r>
        <w:rPr>
          <w:rFonts w:ascii="Times New Roman" w:cs="Times New Roman" w:eastAsia="思源黑体" w:hAnsi="Times New Roman"/>
          <w:b/>
          <w:bCs/>
          <w:sz w:val="24"/>
          <w:szCs w:val="24"/>
        </w:rPr>
        <w:t xml:space="preserve">问题二 · 为何容易被误判为关联（相似特征的具体表现与原文出处）？</w:t>
      </w:r>
    </w:p>
    <w:p>
      <w:pPr>
        <w:spacing w:after="140" w:before="0" w:line="32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本组三案在作案手法、计酬结构、到案与量刑情节上高度雷同，是本组最主要的误报来源。下表逐项列出相似特征及其原文锚点：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相似特征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A案原文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B案原文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C案原文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转账模式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“以‘人脸识别+短信验证码’方式完成转账验证，将到账资金拆分转出至赵启明指定的多个二级账户”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“以‘人脸识别+短信验证码’方式完成转账验证，将到账资金拆分转出至孙德海指定的多个二级账户”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“以‘人脸识别+短信验证码’方式完成转账验证，将到账资金拆分转出至蔺志强指定的多个二级账户”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上线招揽话术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“后者以‘借卡走账、按笔给钱’为由，劝说李嘉豪提供本人银行卡并配合刷脸转账”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“后者以‘借卡走账、按笔给钱’为由，劝说王俊杰提供本人银行卡并配合刷脸转账”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“后者以‘借卡走账、按笔给钱’为由，劝说陈思远提供本人银行卡并配合刷脸转账”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计酬结构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“按流水0.9%抽取提成，另按刷脸出勤（操作）次数领取报酬”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“按流水1.0%抽取提成，另按刷脸出勤（操作）次数领取报酬”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“按流水0.8%抽取提成，另按刷脸出勤（操作）次数领取报酬”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单日笔数约束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单日操作1笔，控制在银行限额内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“一天最多不超过十笔，多了他说卡会被限额”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单日操作1笔，控制在银行限额内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主观明知表述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“明知他人利用信息网络实施犯罪”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“明知他人利用信息网络实施犯罪”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“明知他人利用信息网络实施犯罪”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到案与量刑情节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电话通知主动到案、认罪认罚、退缴全部违法所得；判处有期徒刑七个月，缓刑一年，并处罚金六千元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电话通知主动到案、认罪认罚、退缴全部违法所得；判处有期徒刑六个月，缓刑一年，并处罚金五千元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电话通知主动到案、认罪认罚、退缴全部违法所得；判处拘役五个月，缓刑八个月，并处罚金四千元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人员画像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1998年生、中专文化、外卖骑手，流入48万、获利6720元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1996年生、高中文化、网约车司机，流入36万、获利6800元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2001年生、大专肄业、无业，流入52万、获利5600元</w:t>
            </w:r>
          </w:p>
        </w:tc>
      </w:tr>
    </w:tbl>
    <w:p>
      <w:pPr>
        <w:spacing w:after="120" w:before="14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上述相似均属“同类犯罪的共性特征”，即不同犯罪团伙在同一时期采用同一套成熟操作模式所致，属于犯罪手法趋同，而非同一案件。判断是否关联，必须回到人、卡、号、资金四项硬要素上。</w:t>
      </w:r>
    </w:p>
    <w:p>
      <w:pPr>
        <w:spacing w:after="140" w:before="260"/>
      </w:pPr>
      <w:r>
        <w:rPr>
          <w:rFonts w:ascii="Times New Roman" w:cs="Times New Roman" w:eastAsia="思源黑体" w:hAnsi="Times New Roman"/>
          <w:b/>
          <w:bCs/>
          <w:sz w:val="24"/>
          <w:szCs w:val="24"/>
        </w:rPr>
        <w:t xml:space="preserve">问题三 · 哪些是假关联（干扰特征）？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500"/>
        <w:gridCol w:w="3126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干扰维度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表现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为何为假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同案由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三案均定帮信罪，均援引《刑法》第二百八十七条之二第一款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罪名相同不等于同一案件，帮信罪属高频通用案由，同一时期同类案件大量并行存在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作案手法雷同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三案均为“银行卡＋刷脸”转账、按流水抽成、限定单日笔数、拆分转出二级账户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系犯罪手法趋同。跑分模式已高度标准化，不同团伙采用同一操作模板属常态，手法相同不构成同案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计酬结构一致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均为“走账提成＋刷脸出勤计酬”，费率0.9%／1.0%／0.8%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费率数值本身并不相同（0.8%—1.0%区间），且该区间为跑分行业通行行情，不能指向特定组织者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作案时间重叠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A 3.10–4.20、B 4.5–5.28、C 5.8–6.25，A与B、B与C存在时间重叠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时间重叠只能说明同期发案。三地相距逾千公里，同一卡农不可能同时出现在湖南、贵州、甘肃三地操作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人员画像相近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三名被告人均呈现“低龄化、低学历、低收入、高流水”的帮信罪典型特征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“三低一高”是帮信罪的群体统计特征，指向的是易被招募的同类人群，而非同一犯罪组织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绰号结构相似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三案上线均有绰号：“眼镜”“胖哥”“老蔺”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三个绰号字面与构词互不相干，各自唯一对应赵启明、孙德海、蔺志强，不存在同一人异称；卷宗内已直接写明绰号对应本名，无需跨案归并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文书体例一致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三案卷宗的文书种类、证据排列、判决结构完全相同</w:t>
            </w:r>
          </w:p>
        </w:tc>
        <w:tc>
          <w:tcPr>
            <w:tcW w:type="dxa" w:w="3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系本材料统一模板所致，属卷宗制作特征，不是案件事实特征，不能作为关联依据</w:t>
            </w:r>
          </w:p>
        </w:tc>
      </w:tr>
    </w:tbl>
    <w:p>
      <w:pPr>
        <w:spacing w:after="140" w:before="260"/>
      </w:pPr>
      <w:r>
        <w:rPr>
          <w:rFonts w:ascii="Times New Roman" w:cs="Times New Roman" w:eastAsia="思源黑体" w:hAnsi="Times New Roman"/>
          <w:b/>
          <w:bCs/>
          <w:sz w:val="24"/>
          <w:szCs w:val="24"/>
        </w:rPr>
        <w:t xml:space="preserve">问题四 · 是否存在同名不同人、别名，或其他未到案主体？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①同名不同人：否。三案被告人实名分别为李嘉豪、王俊杰、陈思远，三人身份证号（430211…1017／520303…0035／620502…0517）、手机号（138****4417／187****9032／176****2284）、户籍地（湖南株洲／贵州遵义／甘肃天水）三项身份要素互不相同，不存在“两个王俊杰”或“两个陈思远”式的同名不同人情形。三名上线赵启明、孙德海、蔺志强亦为三个不同自然人。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②别名归并：无需归并。三个绰号“眼镜”“胖哥”“老蔺”各自唯一对应一名本名，且各案卷宗在绰号首次出现处即已写明“绰号××，身份证号码××××，另案处理”，绰号与本名的对应关系在案内即可闭合。这与需跨案比对的别名结构（如甲案称“郑哥”、乙案称“老郑”，实为同一人）有本质区别：本组各绰号连字面都不相似，不存在误并风险。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③未到案主体：三案上线赵启明、孙德海、蔺志强均标注“另案处理”，属未到案主体，但三人均仅出现在各自所属案件的卷宗中，未见任何一人的姓名、绰号、身份证号或手机号出现在另外两案，故未到案主体同样不构成跨案连接点。此外，A案上游尚有未被查实的诈骗行为人、B案境外赌博平台运营方、C案虚假投资平台运营方，均为各案上游的独立主体，彼此无交集。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结论：本组不存在任何应当发现的跨案关联，全部相似特征均可由“同类犯罪手法趋同”解释，无需引入卷宗外的未知人员或共有账户。误将本组三案并案，即构成本组设定的典型误报情形。</w:t>
      </w:r>
    </w:p>
    <w:p>
      <w:pPr>
        <w:spacing w:before="300"/>
      </w:pPr>
      <w:r>
        <w:rPr>
          <w:rFonts w:ascii="Times New Roman" w:cs="Times New Roman" w:eastAsia="思源黑体" w:hAnsi="Times New Roman"/>
          <w:sz w:val="19"/>
          <w:szCs w:val="19"/>
        </w:rPr>
        <w:t xml:space="preserve">备注：以上分析基于教学合成卷宗，人物、案号、金额、机构均为虚构，仅供实训使用。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2026-09-02T01:29:44.941Z</dcterms:created>
  <dcterms:modified xsi:type="dcterms:W3CDTF">2026-09-02T01:29:44.941Z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{"Label":"1","ContentProducer":"001191440300708461136T1WFUO","ProduceID":"a870f6cff3c8a6c1abb53801c5fd228b-PqS0","ReservedCode1":"{\"Type\":\" TC260PG\",\"Version\":1,\"Bindings\":[{\"Type\":\"soft\",\"AlgID\":\"sm3\",\"Value\":\"04d3f95843374c9a7484f1e846f9e0d87b22485c44c04c8fca20004eddcf5234\"},{\"Type\":\"hash\",\"AlgID\":\"sm3\",\"Value\":\"34265c2621fb16cd5710084948cab8eb81875586b30acbd7368f1fc60222aef0\"}],\"PubSD\":[{\"Type\":\"DS\",\"AlgID\":\"sm2\",\"TBSData\":{\"Type\":\"Binding\",\"BType\":\"hash\"},\"Signature\":\"3045022100e6fb669bf0449149268ae7ddf34470a3abb743ab89f24bb845b7944f01d86d170220554a1ce37118e55f4fc9df6bd3946f579a4b7d23090aab94fe98233d4afcb197\"},{\"Type\":\"PubKey\",\"AlgID\":\"sm2\",\"KeyValue\":\"0407f79b28a17a752b3aae4305c98b48978213832729a2571850b1310b2bc9fe8fee039ccf25ebfeac27502414d9fcef792d777183c98893d226171c2f7a3289a2\"}],\"Extension\":{\"Timestamp\":1788312623,\"KeyVersion\":\"v1-TxLeOmf7bqU223\"}}","ContentPropagator":"001191440300708461136T1WFUO","PropagateID":"a870f6cff3c8a6c1abb53801c5fd228b-PqS0","ReservedCode2":"{\"Type\":\" TC260PG\",\"Version\":1,\"Bindings\":[{\"Type\":\"soft\",\"AlgID\":\"sm3\",\"Value\":\"04d3f95843374c9a7484f1e846f9e0d87b22485c44c04c8fca20004eddcf5234\"},{\"Type\":\"hash\",\"AlgID\":\"sm3\",\"Value\":\"34265c2621fb16cd5710084948cab8eb81875586b30acbd7368f1fc60222aef0\"}],\"PubSD\":[{\"Type\":\"DS\",\"AlgID\":\"sm2\",\"TBSData\":{\"Type\":\"Binding\",\"BType\":\"hash\"},\"Signature\":\"304402200381777abc67e2c6b345e7d79d8b583c49fdb34da3ce1044deff039ab118591502202ccaca16fe6beea299f521279055d3055c7fc6eebec972419f388036bc2d0d4c\"},{\"Type\":\"PubKey\",\"AlgID\":\"sm2\",\"KeyValue\":\"0407f79b28a17a752b3aae4305c98b48978213832729a2571850b1310b2bc9fe8fee039ccf25ebfeac27502414d9fcef792d777183c98893d226171c2f7a3289a2\"}],\"Extension\":{\"Timestamp\":1788312623,\"KeyVersion\":\"v1-TxLeOmf7bqU223\"}}"}</vt:lpwstr>
  </property>
</Properties>
</file>