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00"/>
        <w:jc w:val="center"/>
      </w:pPr>
      <w:r>
        <w:rPr>
          <w:rFonts w:ascii="Times New Roman" w:cs="Times New Roman" w:eastAsia="思源黑体" w:hAnsi="Times New Roman"/>
          <w:b/>
          <w:bCs/>
          <w:sz w:val="28"/>
          <w:szCs w:val="28"/>
        </w:rPr>
        <w:t xml:space="preserve">A案·手写转账指令便签（物证）</w:t>
      </w:r>
    </w:p>
    <w:p>
      <w:pPr>
        <w:spacing w:after="60" w:before="0" w:line="32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案件：李嘉豪涉嫌帮助信息网络犯罪活动罪一案</w:t>
      </w:r>
    </w:p>
    <w:p>
      <w:pPr>
        <w:spacing w:after="160" w:before="0" w:line="32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办案单位：株洲市公安局天元分局　　案号：株天公（刑）诉字〔2025〕第014号</w:t>
      </w:r>
    </w:p>
    <w:p>
      <w:pPr>
        <w:spacing w:after="120" w:before="120" w:line="32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一、扣押情况</w:t>
      </w:r>
    </w:p>
    <w:p>
      <w:pPr>
        <w:spacing w:after="120" w:before="0" w:line="320"/>
        <w:ind w:firstLine="44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2025年4月26日，侦查人员从李嘉豪处查获并扣押手写便签一份（详见《A案·扣押清单》第3项）。该便签为横格便签纸一页，记载二级账户收款人姓名、收款账号及转出金额若干条，其中3条字迹清晰可辨，另有2条字迹潦草、无法辨认。</w:t>
      </w:r>
    </w:p>
    <w:p>
      <w:pPr>
        <w:spacing w:after="120" w:before="200" w:line="32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二、便签原件（影印件）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5276850"/>
            <wp:effectExtent t="0" r="0" b="0" l="0"/>
            <wp:docPr id="1" name="A案手写转账指令便签" descr="李嘉豪被扣押的手写转账指令便签影印件，记载二级账户收款人姓名、账号及金额" title="A案手写转账指令便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20"/>
      </w:pPr>
      <w:r>
        <w:rPr>
          <w:rFonts w:ascii="Times New Roman" w:cs="Times New Roman" w:eastAsia="思源黑体" w:hAnsi="Times New Roman"/>
          <w:b w:val="false"/>
          <w:bCs w:val="false"/>
          <w:sz w:val="19"/>
          <w:szCs w:val="19"/>
        </w:rPr>
        <w:t xml:space="preserve">（教学合成材料，非真实物证）</w:t>
      </w:r>
    </w:p>
    <w:p>
      <w:pPr>
        <w:spacing w:after="120" w:before="200" w:line="32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三、内容摘录（字迹清晰部分）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200"/>
        <w:gridCol w:w="2866"/>
        <w:gridCol w:w="1200"/>
        <w:gridCol w:w="2000"/>
      </w:tblGrid>
      <w:tr>
        <w:trPr>
          <w:tblHeader/>
        </w:trPr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收款人姓名</w:t>
            </w:r>
          </w:p>
        </w:tc>
        <w:tc>
          <w:tcPr>
            <w:tcW w:type="dxa" w:w="28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收款账号（部分掩码）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金额（元）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对应转账操作日期</w:t>
            </w:r>
          </w:p>
        </w:tc>
      </w:tr>
      <w:tr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周立波</w:t>
            </w:r>
          </w:p>
        </w:tc>
        <w:tc>
          <w:tcPr>
            <w:tcW w:type="dxa" w:w="28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6217 **** **** 3391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48000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2025-03-11</w:t>
            </w:r>
          </w:p>
        </w:tc>
      </w:tr>
      <w:tr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吴国庆</w:t>
            </w:r>
          </w:p>
        </w:tc>
        <w:tc>
          <w:tcPr>
            <w:tcW w:type="dxa" w:w="28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6222 **** **** 7718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36000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2025-03-13</w:t>
            </w:r>
          </w:p>
        </w:tc>
      </w:tr>
      <w:tr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郑晓东</w:t>
            </w:r>
          </w:p>
        </w:tc>
        <w:tc>
          <w:tcPr>
            <w:tcW w:type="dxa" w:w="28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6013 **** **** 2054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52000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sz w:val="20"/>
                <w:szCs w:val="20"/>
              </w:rPr>
              <w:t xml:space="preserve">2025-03-22</w:t>
            </w:r>
          </w:p>
        </w:tc>
      </w:tr>
      <w:tr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3人</w:t>
            </w:r>
          </w:p>
        </w:tc>
        <w:tc>
          <w:tcPr>
            <w:tcW w:type="dxa" w:w="28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136000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思源黑体" w:hAnsi="Times New Roman"/>
                <w:b/>
                <w:b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120" w:line="32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说明：上表3笔合计136000元，占该卡（卡号6228480266123301）单边流入资金480000元的28.3%。便签中另有4条收款账户记载因字迹潦草未能辨认，未予摘录。</w:t>
      </w:r>
    </w:p>
    <w:p>
      <w:pPr>
        <w:spacing w:after="120" w:before="200" w:line="320"/>
      </w:pPr>
      <w:r>
        <w:rPr>
          <w:rFonts w:ascii="Times New Roman" w:cs="Times New Roman" w:eastAsia="思源黑体" w:hAnsi="Times New Roman"/>
          <w:b/>
          <w:bCs/>
          <w:sz w:val="22"/>
          <w:szCs w:val="22"/>
        </w:rPr>
        <w:t xml:space="preserve">四、与在案其他证据的印证关系</w:t>
      </w:r>
    </w:p>
    <w:p>
      <w:pPr>
        <w:spacing w:after="120" w:before="0" w:line="32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1.与讯问笔录、人脸识别操作记录印证。李嘉豪供述“到账之后他报收款人名字和卡号，我用我自己的手机登农业银行的手机银行……对着镜头刷脸，再输短信验证码，钱就转出去了”；本便签所载3笔金额（48000元、36000元、52000元）及日期（2025年3月11日、3月13日、3月22日），与《A案·手机银行登录日志与人脸识别操作记录》第1笔、第2笔、第5笔的转出金额、操作时间及收款人、收款账号完全一致。</w:t>
      </w:r>
    </w:p>
    <w:p>
      <w:pPr>
        <w:spacing w:after="120" w:before="0" w:line="320"/>
      </w:pPr>
      <w:r>
        <w:rPr>
          <w:rFonts w:ascii="Times New Roman" w:cs="Times New Roman" w:eastAsia="思源黑体" w:hAnsi="Times New Roman"/>
          <w:b w:val="false"/>
          <w:bCs w:val="false"/>
          <w:sz w:val="21"/>
          <w:szCs w:val="21"/>
        </w:rPr>
        <w:t xml:space="preserve">2.与通话录音转写、银行交易明细印证。2025年4月20日通话中赵启明称“到账我报名字，你刷脸转……转完把截图删了”，与便签记载的指令传递方式一致；上述3笔转出均能在卡号6228480266123301的交易明细中对应查见。</w:t>
      </w:r>
    </w:p>
    <w:p>
      <w:pPr>
        <w:spacing w:after="120" w:before="240" w:line="320"/>
      </w:pPr>
      <w:r>
        <w:rPr>
          <w:rFonts w:ascii="Times New Roman" w:cs="Times New Roman" w:eastAsia="思源黑体" w:hAnsi="Times New Roman"/>
          <w:b w:val="false"/>
          <w:bCs w:val="false"/>
          <w:sz w:val="20"/>
          <w:szCs w:val="20"/>
        </w:rPr>
        <w:t xml:space="preserve">备注：本材料为教学合成卷宗的组成部分，便签图片系模拟生成，人物、账号、金额、日期均为虚构，仅供实训使用。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ddf124655132ffb9a338badfa100312b6c37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2026-09-02T01:00:57.177Z</dcterms:created>
  <dcterms:modified xsi:type="dcterms:W3CDTF">2026-09-02T01:00:57.177Z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{"Label":"1","ContentProducer":"001191440300708461136T1WFUO","ProduceID":"981819e6f9f090490372434893381ed8-YtBt","ReservedCode1":"{\"Type\":\" TC260PG\",\"Version\":1,\"Bindings\":[{\"Type\":\"soft\",\"AlgID\":\"sm3\",\"Value\":\"29d1899ffcc2da654ce5ecf27667480498d142cf3e681794991866a84248dd74\"},{\"Type\":\"hash\",\"AlgID\":\"sm3\",\"Value\":\"0995d8ca2398374f3348207aefb33b3f9dc99948c6c349c8736c6b03959cb72f\"}],\"PubSD\":[{\"Type\":\"DS\",\"AlgID\":\"sm2\",\"TBSData\":{\"Type\":\"Binding\",\"BType\":\"hash\"},\"Signature\":\"3046022100f60b82912740c55dd11e19934116f20402c6d6b1b46046758eca377c8431311f022100e298c33fadfdbf96297911fc0b1c5bf8d67c84f2e2bf03680aa4dce392e39a50\"},{\"Type\":\"PubKey\",\"AlgID\":\"sm2\",\"KeyValue\":\"0407f79b28a17a752b3aae4305c98b48978213832729a2571850b1310b2bc9fe8fee039ccf25ebfeac27502414d9fcef792d777183c98893d226171c2f7a3289a2\"}],\"Extension\":{\"Timestamp\":1788310951,\"KeyVersion\":\"v1-TxLeOmf7bqU223\"}}","ContentPropagator":"001191440300708461136T1WFUO","PropagateID":"981819e6f9f090490372434893381ed8-YtBt","ReservedCode2":"{\"Type\":\" TC260PG\",\"Version\":1,\"Bindings\":[{\"Type\":\"soft\",\"AlgID\":\"sm3\",\"Value\":\"29d1899ffcc2da654ce5ecf27667480498d142cf3e681794991866a84248dd74\"},{\"Type\":\"hash\",\"AlgID\":\"sm3\",\"Value\":\"0995d8ca2398374f3348207aefb33b3f9dc99948c6c349c8736c6b03959cb72f\"}],\"PubSD\":[{\"Type\":\"DS\",\"AlgID\":\"sm2\",\"TBSData\":{\"Type\":\"Binding\",\"BType\":\"hash\"},\"Signature\":\"3045022100c2654037e2f38fff53653002c07f03a6a1a0e04b7f118f11d0df57d19cc263ff0220056a73bcfbede912b9aacf463a97bdbdbfa4a71680a4a62ea770f62a602bb2b1\"},{\"Type\":\"PubKey\",\"AlgID\":\"sm2\",\"KeyValue\":\"0407f79b28a17a752b3aae4305c98b48978213832729a2571850b1310b2bc9fe8fee039ccf25ebfeac27502414d9fcef792d777183c98893d226171c2f7a3289a2\"}],\"Extension\":{\"Timestamp\":1788310951,\"KeyVersion\":\"v1-TxLeOmf7bqU223\"}}"}</vt:lpwstr>
  </property>
</Properties>
</file>