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48632">
      <w:pPr>
        <w:spacing w:before="180" w:after="100" w:line="320" w:lineRule="auto"/>
      </w:pPr>
      <w:r>
        <w:rPr>
          <w:rFonts w:ascii="Times New Roman" w:hAnsi="Times New Roman" w:eastAsia="黑体" w:cs="Times New Roman"/>
          <w:b/>
          <w:bCs/>
          <w:sz w:val="26"/>
          <w:szCs w:val="26"/>
        </w:rPr>
        <w:t>问题一 · 应发现的跨案关联是什么？</w:t>
      </w:r>
    </w:p>
    <w:p w14:paraId="7EAFC103">
      <w:pPr>
        <w:spacing w:before="50" w:after="100" w:line="32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答：本案为正例，两案被告人为同一人陈立业，两案系其先后实施的两起帮助信息网络犯罪活动罪，应予关联。识别分三层递进：</w:t>
      </w:r>
    </w:p>
    <w:p w14:paraId="5BCC1FA6">
      <w:pPr>
        <w:spacing w:before="50" w:after="50" w:line="320" w:lineRule="auto"/>
        <w:ind w:left="480"/>
        <w:jc w:val="both"/>
      </w:pPr>
      <w:r>
        <w:rPr>
          <w:rFonts w:ascii="Times New Roman" w:hAnsi="Times New Roman" w:eastAsia="宋体" w:cs="Times New Roman"/>
          <w:sz w:val="23"/>
          <w:szCs w:val="23"/>
        </w:rPr>
        <w:t>一是强标识直连。两案讯问笔录身份栏所载姓名、出生日期、身份证号码（362426199704181815）、户籍地（江西省吉安市泰和县澄江镇中山路28号3栋2单元501室）四项要素完全一致。</w:t>
      </w:r>
    </w:p>
    <w:p w14:paraId="7CA14139">
      <w:pPr>
        <w:spacing w:before="50" w:after="50" w:line="320" w:lineRule="auto"/>
        <w:ind w:left="480"/>
        <w:jc w:val="both"/>
      </w:pPr>
      <w:r>
        <w:rPr>
          <w:rFonts w:ascii="Times New Roman" w:hAnsi="Times New Roman" w:eastAsia="宋体" w:cs="Times New Roman"/>
          <w:sz w:val="23"/>
          <w:szCs w:val="23"/>
        </w:rPr>
        <w:t>二是本人名下账户串联。两案好处费均提现至同一张邮储卡：A册账户摘录与好处费表载明卡号 6210987654321001，B册讯问笔录口供称“卡号尾号1001”“那张卡是2021年开的，一直是我的工资卡”，指向同一账户。</w:t>
      </w:r>
    </w:p>
    <w:p w14:paraId="16EF7FE0">
      <w:pPr>
        <w:spacing w:before="50" w:after="50" w:line="320" w:lineRule="auto"/>
        <w:ind w:left="480"/>
        <w:jc w:val="both"/>
      </w:pPr>
      <w:r>
        <w:rPr>
          <w:rFonts w:ascii="Times New Roman" w:hAnsi="Times New Roman" w:eastAsia="宋体" w:cs="Times New Roman"/>
          <w:sz w:val="23"/>
          <w:szCs w:val="23"/>
        </w:rPr>
        <w:t>三是语义弱标识归并。两案微信昵称均为“诚信出卡”、头像均为黑色方形背景中央金色“诚”字、个性签名均为“诚信出卡，走账结算，当面结清”，三项跨案一致。</w:t>
      </w:r>
    </w:p>
    <w:p w14:paraId="15585DEB">
      <w:pPr>
        <w:spacing w:before="50" w:after="100" w:line="32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须特别注意：两案微信号、绑定手机号均不同（A案 wxid_cxck_2025a／138****4417，B案 wxid_cxck_2027b／176****2284），仅按结构化标识匹配会直接判为“不关联”；另需划清界限：现有证据仅能证明被告人同一，两案上线邓建华（华哥）与魏志强（强哥）分属两个团伙，卷内无任何交集信息，不能认定两团伙存在组织关联。</w:t>
      </w:r>
    </w:p>
    <w:p w14:paraId="43FE79AA">
      <w:pPr>
        <w:spacing w:before="180" w:after="100" w:line="320" w:lineRule="auto"/>
      </w:pPr>
      <w:r>
        <w:rPr>
          <w:rFonts w:ascii="Times New Roman" w:hAnsi="Times New Roman" w:eastAsia="黑体" w:cs="Times New Roman"/>
          <w:b/>
          <w:bCs/>
          <w:sz w:val="26"/>
          <w:szCs w:val="26"/>
        </w:rPr>
        <w:t>问题二 · 关联对应的原文出处？</w:t>
      </w:r>
    </w:p>
    <w:p w14:paraId="146BC03D">
      <w:pPr>
        <w:spacing w:before="50" w:after="100" w:line="32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答：关联锚点及原文出处如下——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2"/>
        <w:gridCol w:w="1216"/>
        <w:gridCol w:w="3266"/>
        <w:gridCol w:w="2265"/>
        <w:gridCol w:w="1657"/>
      </w:tblGrid>
      <w:tr w14:paraId="6925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903624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311C1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比对项</w:t>
            </w:r>
          </w:p>
        </w:tc>
        <w:tc>
          <w:tcPr>
            <w:tcW w:w="3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F4683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A案（长沙雨花）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AB1248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B案（南昌红谷滩）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AC4303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出处</w:t>
            </w:r>
          </w:p>
        </w:tc>
      </w:tr>
      <w:tr w14:paraId="0342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D4309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强标识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86826D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身份四要素</w:t>
            </w:r>
          </w:p>
        </w:tc>
        <w:tc>
          <w:tcPr>
            <w:tcW w:w="3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92EEE6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陈立业，1997年4月18日生，身份证 362426199704181815，户籍吉安市泰和县澄江镇中山路28号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D29A2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同左，四项一致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E06B4C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两案讯问笔录“身份情况”问答</w:t>
            </w:r>
          </w:p>
        </w:tc>
      </w:tr>
      <w:tr w14:paraId="3F5E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440F85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强标识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C5E8F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本人收款账户</w:t>
            </w:r>
          </w:p>
        </w:tc>
        <w:tc>
          <w:tcPr>
            <w:tcW w:w="3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5B475A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邮储卡 6210987654321001（尾号1001），2021年8月16日开卡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9F9415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口供：提现至“尾号1001”，“2021年开的，一直是我的工资卡”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0D67F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A案：收款账户摘录；B案：讯问笔录</w:t>
            </w:r>
          </w:p>
        </w:tc>
      </w:tr>
      <w:tr w14:paraId="6C53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50B6B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弱标识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731B5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微信昵称</w:t>
            </w:r>
          </w:p>
        </w:tc>
        <w:tc>
          <w:tcPr>
            <w:tcW w:w="3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C4D47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诚信出卡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02A99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诚信出卡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C4808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两案主页截图、聊天记录</w:t>
            </w:r>
          </w:p>
        </w:tc>
      </w:tr>
      <w:tr w14:paraId="2877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C4B8D0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弱标识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A3E3D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微信头像</w:t>
            </w:r>
          </w:p>
        </w:tc>
        <w:tc>
          <w:tcPr>
            <w:tcW w:w="3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7EF2C9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黑底金色“诚”字；另载 MD5 哈希 3f8a9c2e7b14d605a1c8e93f2b7d4061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AE49C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黑底金色“诚”字（口供＋截图），B册无提取表故无哈希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9D4A86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A案：账号提取表；B案：讯问笔录；两案主页截图</w:t>
            </w:r>
          </w:p>
        </w:tc>
      </w:tr>
      <w:tr w14:paraId="6BFC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52CF1E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弱标识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3FD46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个性签名</w:t>
            </w:r>
          </w:p>
        </w:tc>
        <w:tc>
          <w:tcPr>
            <w:tcW w:w="3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20F30A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诚信出卡，走账结算，当面结清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DD2937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同左，逐字一致</w:t>
            </w:r>
          </w:p>
        </w:tc>
        <w:tc>
          <w:tcPr>
            <w:tcW w:w="1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B23817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两案微信个人主页截图</w:t>
            </w:r>
          </w:p>
        </w:tc>
      </w:tr>
    </w:tbl>
    <w:p w14:paraId="1F3A6464">
      <w:pPr>
        <w:spacing w:before="180" w:after="100" w:line="320" w:lineRule="auto"/>
      </w:pPr>
      <w:r>
        <w:rPr>
          <w:rFonts w:ascii="Times New Roman" w:hAnsi="Times New Roman" w:eastAsia="黑体" w:cs="Times New Roman"/>
          <w:b/>
          <w:bCs/>
          <w:sz w:val="26"/>
          <w:szCs w:val="26"/>
        </w:rPr>
        <w:t>问题三 · 哪些是假关联（干扰特征）？</w:t>
      </w:r>
    </w:p>
    <w:p w14:paraId="2E569995">
      <w:pPr>
        <w:spacing w:before="50" w:after="100" w:line="32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答：本组干扰分两类——【否定型】指形式存在差异、易被误当作“不关联”证据；【肯定型】指表面相似、易被误当作关联依据。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900"/>
        <w:gridCol w:w="5326"/>
      </w:tblGrid>
      <w:tr w14:paraId="0A24F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75C9FC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1557E3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干扰维度</w:t>
            </w:r>
          </w:p>
        </w:tc>
        <w:tc>
          <w:tcPr>
            <w:tcW w:w="5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F90C8"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为何为假</w:t>
            </w:r>
          </w:p>
        </w:tc>
      </w:tr>
      <w:tr w14:paraId="1318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2BF94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F1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E5B36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【否定型】微信号不同：wxid_cxck_2025a／wxid_cxck_2027b</w:t>
            </w:r>
          </w:p>
        </w:tc>
        <w:tc>
          <w:tcPr>
            <w:tcW w:w="5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7A796E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微信号可注销后重新注册，ID 不同不足以否定主体同一。</w:t>
            </w:r>
          </w:p>
        </w:tc>
      </w:tr>
      <w:tr w14:paraId="6142C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EAD22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F2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C4358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【否定型】绑定手机号不同：138****4417／176****2284</w:t>
            </w:r>
          </w:p>
        </w:tc>
        <w:tc>
          <w:tcPr>
            <w:tcW w:w="5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408B4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号码更换属常见情形，且两案口供指向同一张收款卡（尾号1001），账户未变、号码已变，号码差异不否定同一性</w:t>
            </w:r>
          </w:p>
        </w:tc>
      </w:tr>
      <w:tr w14:paraId="7C059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0325BB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F3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79C51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【否定型】涉案走账卡不同：农行 6228480266123301／建行 6217003322004418</w:t>
            </w:r>
          </w:p>
        </w:tc>
        <w:tc>
          <w:tcPr>
            <w:tcW w:w="5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43B4D9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走账卡系作案工具而非主体标识，两案中该卡均由上线持有、仅由本人刷脸操作，更换工具不排除行为人同一</w:t>
            </w:r>
          </w:p>
        </w:tc>
      </w:tr>
      <w:tr w14:paraId="53E6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DE9053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F4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55DF17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【否定型】上线不同、作案地与办案单位不同：邓建华（华哥）·长沙雨花／魏志强（强哥）·南昌红谷滩</w:t>
            </w:r>
          </w:p>
        </w:tc>
        <w:tc>
          <w:tcPr>
            <w:tcW w:w="5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83ED3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仅说明本人先后向两个不同团伙提供银行卡，不影响被告人同一的认定；亦不能反向证明两团伙存在组织关联</w:t>
            </w:r>
          </w:p>
        </w:tc>
      </w:tr>
      <w:tr w14:paraId="4527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FC5FE">
            <w:pPr>
              <w:spacing w:before="20" w:after="20" w:line="28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F</w:t>
            </w:r>
            <w:r>
              <w:rPr>
                <w:rFonts w:hint="eastAsia" w:cs="Times New Roman"/>
                <w:b w:val="0"/>
                <w:bCs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EB0FF0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【肯定型】同案由、手法同类、分成结构相似</w:t>
            </w:r>
          </w:p>
        </w:tc>
        <w:tc>
          <w:tcPr>
            <w:tcW w:w="5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C552D3">
            <w:pPr>
              <w:spacing w:before="20" w:after="20" w:line="28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0"/>
                <w:szCs w:val="20"/>
              </w:rPr>
              <w:t>帮信罪系高频案由，“出借银行卡＋刷脸转账”为同类常见模式；且两案参数并不相同（提成 0.8%／0.6%，报酬 200元每日／70元每次），仅凭手法相似不足以认定关联</w:t>
            </w:r>
          </w:p>
        </w:tc>
      </w:tr>
    </w:tbl>
    <w:p w14:paraId="5615089F">
      <w:pPr>
        <w:spacing w:before="180" w:after="100" w:line="320" w:lineRule="auto"/>
      </w:pPr>
      <w:r>
        <w:rPr>
          <w:rFonts w:ascii="Times New Roman" w:hAnsi="Times New Roman" w:eastAsia="黑体" w:cs="Times New Roman"/>
          <w:b/>
          <w:bCs/>
          <w:sz w:val="26"/>
          <w:szCs w:val="26"/>
        </w:rPr>
        <w:t>问题四 · 是否存在同名不同人、别名？</w:t>
      </w:r>
    </w:p>
    <w:p w14:paraId="59DE03B7">
      <w:pPr>
        <w:spacing w:before="50" w:after="50" w:line="320" w:lineRule="auto"/>
        <w:ind w:left="480"/>
        <w:jc w:val="both"/>
      </w:pPr>
      <w:r>
        <w:rPr>
          <w:rFonts w:ascii="Times New Roman" w:hAnsi="Times New Roman" w:eastAsia="宋体" w:cs="Times New Roman"/>
          <w:sz w:val="23"/>
          <w:szCs w:val="23"/>
        </w:rPr>
        <w:t>① 同名不同人：否。两案被告人在姓名、出生日期、身份证号码、户籍地四项要素上完全一致，应认定为同一人。本案唯一需警惕的核对点是：两案联系电话与微信号均不相同，若仅以号码、微信号建索引极易误作两个主体，须以身份证号码与本人名下收款账户为准据。</w:t>
      </w:r>
    </w:p>
    <w:p w14:paraId="659F95FE">
      <w:pPr>
        <w:spacing w:before="50" w:after="50" w:line="320" w:lineRule="auto"/>
        <w:ind w:left="480"/>
        <w:jc w:val="both"/>
      </w:pPr>
      <w:r>
        <w:rPr>
          <w:rFonts w:ascii="Times New Roman" w:hAnsi="Times New Roman" w:eastAsia="宋体" w:cs="Times New Roman"/>
          <w:sz w:val="23"/>
          <w:szCs w:val="23"/>
        </w:rPr>
        <w:t>② 别名／绰号归并：是。微信昵称“诚信出卡”在两案指向同一自然人，应归并为同一社交身份下的两个账号，不得因 ID 不同而拆分。上线绰号须分别归并：“华哥”即邓建华（仅A案）、“强哥”即魏志强（仅B案），二者系不同自然人，不得相互归并。</w:t>
      </w:r>
    </w:p>
    <w:p w14:paraId="4759A704">
      <w:pPr>
        <w:spacing w:before="50" w:after="50" w:line="320" w:lineRule="auto"/>
        <w:ind w:left="480"/>
        <w:jc w:val="both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jA4YzdlOTVlMjM5ZDY2ZWExMjM0NzExNzlhM2Q5YjcifQ=="/>
  </w:docVars>
  <w:rsids>
    <w:rsidRoot w:val="00000000"/>
    <w:rsid w:val="0CD105EE"/>
    <w:rsid w:val="16A448E1"/>
    <w:rsid w:val="16DA633E"/>
    <w:rsid w:val="47E721BC"/>
    <w:rsid w:val="5A3F0176"/>
    <w:rsid w:val="6AC02C0D"/>
    <w:rsid w:val="7F9041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1992</Words>
  <Characters>2330</Characters>
  <TotalTime>0</TotalTime>
  <ScaleCrop>false</ScaleCrop>
  <LinksUpToDate>false</LinksUpToDate>
  <CharactersWithSpaces>2363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2026-09-05T10:01:00Z</dcterms:created>
  <dc:creator>元宝</dc:creator>
  <dc:description>G015 四个问题（精简版）</dc:description>
  <cp:lastModifiedBy>yd</cp:lastModifiedBy>
  <dcterms:modified xsi:type="dcterms:W3CDTF">2026-09-05T10:10:11Z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{"Label":"1","ContentProducer":"001191440300708461136T1WFUO","ProduceID":"cfad5bbdb719fad7210e2f70a11afe60-poLp","ReservedCode1":"{\"Type\":\" TC260PG\",\"Version\":1,\"Bindings\":[{\"Type\":\"soft\",\"AlgID\":\"sm3\",\"Value\":\"af63b29f35f83663a9beef8b1c81e0b56636c1641c98c8b3722975c53aae1ff3\"},{\"Type\":\"hash\",\"AlgID\":\"sm3\",\"Value\":\"7832366393c1175b52c2d0ec5c2225d31d6581d8434212d47475491ca65ad50f\"}],\"PubSD\":[{\"Type\":\"DS\",\"AlgID\":\"sm2\",\"TBSData\":{\"Type\":\"Binding\",\"BType\":\"hash\"},\"Signature\":\"3044022030c2a72cfdc45ba975a618855c7b2846e6684a3d5c6f503f899e43c73f423ee802205b34e4eb5d59d25a3ec1c12e70e2436bca160f8abaa2b75b77b03fa263efbf10\"},{\"Type\":\"PubKey\",\"AlgID\":\"sm2\",\"KeyValue\":\"0407f79b28a17a752b3aae4305c98b48978213832729a2571850b1310b2bc9fe8fee039ccf25ebfeac27502414d9fcef792d777183c98893d226171c2f7a3289a2\"}],\"Extension\":{\"Timestamp\":1788602511,\"KeyVersion\":\"v1-TxLeOmf7bqU223\"}}","ContentPropagator":"001191440300708461136T1WFUO","PropagateID":"cfad5bbdb719fad7210e2f70a11afe60-poLp","ReservedCode2":"{\"Type\":\" TC260PG\",\"Version\":1,\"Bindings\":[{\"Type\":\"soft\",\"AlgID\":\"sm3\",\"Value\":\"af63b29f35f83663a9beef8b1c81e0b56636c1641c98c8b3722975c53aae1ff3\"},{\"Type\":\"hash\",\"AlgID\":\"sm3\",\"Value\":\"7832366393c1175b52c2d0ec5c2225d31d6581d8434212d47475491ca65ad50f\"}],\"PubSD\":[{\"Type\":\"DS\",\"AlgID\":\"sm2\",\"TBSData\":{\"Type\":\"Binding\",\"BType\":\"hash\"},\"Signature\":\"3046022100a152576130d795449b360cdee04fe337682b1c0c4377aca530b2ea84af6be96e022100a6dc2cc7abc1ff28d9dc70e0b4b8ec80ae1601692e6e95da149e565f7f17e674\"},{\"Type\":\"PubKey\",\"AlgID\":\"sm2\",\"KeyValue\":\"0407f79b28a17a752b3aae4305c98b48978213832729a2571850b1310b2bc9fe8fee039ccf25ebfeac27502414d9fcef792d777183c98893d226171c2f7a3289a2\"}],\"Extension\":{\"Timestamp\":1788602511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39183C7A5D6B45CC8B45B7ADC0599510_12</vt:lpwstr>
  </property>
</Properties>
</file>