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F1CE6">
      <w:pPr>
        <w:spacing w:before="80" w:after="40"/>
        <w:jc w:val="center"/>
        <w:rPr>
          <w:rFonts w:hint="eastAsia" w:eastAsia="思源黑体"/>
          <w:lang w:eastAsia="zh-CN"/>
        </w:rPr>
      </w:pPr>
      <w:bookmarkStart w:id="0" w:name="_GoBack"/>
      <w:bookmarkEnd w:id="0"/>
      <w:r>
        <w:rPr>
          <w:rFonts w:ascii="Times New Roman" w:hAnsi="Times New Roman" w:eastAsia="黑体"/>
          <w:b/>
          <w:sz w:val="26"/>
        </w:rPr>
        <w:t>代理词</w:t>
      </w:r>
    </w:p>
    <w:p w14:paraId="62E336A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受被告人家属委托并经法律援助机构指派，本人担任被告人陈立业涉嫌帮助信息网络犯罪活动罪一案的辩护人，参与本案诉讼。经查阅案卷、会见被告人并参与庭审，现发表如下辩护意见，供合议庭参考：</w:t>
      </w:r>
    </w:p>
    <w:p w14:paraId="181B511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陈立业在共同犯罪中起次要、辅助作用，系从犯。其未参与上游犯罪的组织与通谋，仅按上线邓建华的要求提供本人银行卡并配合刷脸转账，处于被支配、被利用的末端环节，依法应当从轻、减轻处罚。</w:t>
      </w:r>
    </w:p>
    <w:p w14:paraId="5C1C740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二、被告人经电话通知后主动到案，如实供述主要犯罪事实，系自首，且自愿认罪认罚，依法可以从宽处罚。</w:t>
      </w:r>
    </w:p>
    <w:p w14:paraId="66A33BE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三、被告人主观恶性较小。其系快递分拣员，收入不稳定、法律意识淡薄，对上游犯罪的具体情节并不知情，非法获利仅6440元，已于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年7月10日主动退缴全部违法所得，再犯可能性较低。</w:t>
      </w:r>
    </w:p>
    <w:p w14:paraId="20F83FB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四、被告人系初犯、偶犯，认罪悔罪态度诚恳，家庭具备监管条件，适用缓刑不致再危害社会。恳请合议庭对其依法从轻、减轻处罚并适用缓刑。</w:t>
      </w:r>
    </w:p>
    <w:p w14:paraId="4A94EEB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4DDEAF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辩护人：彭志辉（湖南湘行律师事务所律师）　日期：</w:t>
      </w:r>
      <w:r>
        <w:rPr>
          <w:rFonts w:hint="eastAsia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年7月2日</w:t>
      </w:r>
    </w:p>
    <w:p w14:paraId="2F2C4A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347596A"/>
    <w:rsid w:val="25017C4D"/>
    <w:rsid w:val="3A2C08FF"/>
    <w:rsid w:val="45D04998"/>
    <w:rsid w:val="49562FE0"/>
    <w:rsid w:val="4CA566E2"/>
    <w:rsid w:val="4E566916"/>
    <w:rsid w:val="52A37B1A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421</Words>
  <Characters>431</Characters>
  <Lines>0</Lines>
  <Paragraphs>0</Paragraphs>
  <TotalTime>0</TotalTime>
  <ScaleCrop>false</ScaleCrop>
  <LinksUpToDate>false</LinksUpToDate>
  <CharactersWithSpaces>432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