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80" w:line="320"/>
      </w:pPr>
      <w:r>
        <w:rPr>
          <w:rFonts w:ascii="Times New Roman" w:cs="Times New Roman" w:eastAsia="黑体" w:hAnsi="Times New Roman"/>
          <w:b/>
          <w:bCs/>
          <w:sz w:val="26"/>
          <w:szCs w:val="26"/>
        </w:rPr>
        <w:t xml:space="preserve">问题一 · 应发现的跨案关联是什么？</w:t>
      </w:r>
    </w:p>
    <w:p>
      <w:pPr>
        <w:spacing w:after="100" w:before="50" w:line="32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答：本案为负例，经逐条比对，甲、乙两案之间不存在应发现的跨案关联。两案唯一重合点为被害人同一，该重合不向嫌疑人侧传导：</w:t>
      </w:r>
    </w:p>
    <w:p>
      <w:pPr>
        <w:spacing w:after="50" w:before="50" w:line="320"/>
        <w:ind w:left="480"/>
        <w:jc w:val="both"/>
      </w:pPr>
      <w:r>
        <w:rPr>
          <w:rFonts w:ascii="Times New Roman" w:cs="Times New Roman" w:eastAsia="宋体" w:hAnsi="Times New Roman"/>
          <w:sz w:val="23"/>
          <w:szCs w:val="23"/>
        </w:rPr>
        <w:t xml:space="preserve">一是被告人身份完全不同。甲案周立强（身份证 370205199804121236，户籍青屏市云溪区临江路18号3单元502室，联系电话 137****2244）与乙案郑海涛（身份证 320105199511034513，户籍沧澜市滨海区海宁街42号2号楼601室，联系电话 188****7715），姓名、身份证、户籍、电话四项均不同。</w:t>
      </w:r>
    </w:p>
    <w:p>
      <w:pPr>
        <w:spacing w:after="50" w:before="50" w:line="320"/>
        <w:ind w:left="480"/>
        <w:jc w:val="both"/>
      </w:pPr>
      <w:r>
        <w:rPr>
          <w:rFonts w:ascii="Times New Roman" w:cs="Times New Roman" w:eastAsia="宋体" w:hAnsi="Times New Roman"/>
          <w:sz w:val="23"/>
          <w:szCs w:val="23"/>
        </w:rPr>
        <w:t xml:space="preserve">二是上线与涉案账户无交集。上线分别为“阿俊”（wxid_aaa）与“大军”（wxid_bbb）；走账卡分属建设银行尾号 6812、工商银行尾号 4567，两卡之间无任何相互转账记录，亦无共同归集账户。</w:t>
      </w:r>
    </w:p>
    <w:p>
      <w:pPr>
        <w:spacing w:after="50" w:before="50" w:line="320"/>
        <w:ind w:left="480"/>
        <w:jc w:val="both"/>
      </w:pPr>
      <w:r>
        <w:rPr>
          <w:rFonts w:ascii="Times New Roman" w:cs="Times New Roman" w:eastAsia="宋体" w:hAnsi="Times New Roman"/>
          <w:sz w:val="23"/>
          <w:szCs w:val="23"/>
        </w:rPr>
        <w:t xml:space="preserve">三是上游手法与被害时间不重合。甲案系冒充电商物流客服退款，被害人转账发生于 2025年4月9日、11日、14日；乙案系虚假投资理财“鑫源国际”平台入金，转账发生于 2025年7月8日、10日，两次被害相隔近三个月。</w:t>
      </w:r>
    </w:p>
    <w:p>
      <w:pPr>
        <w:spacing w:after="100" w:before="50" w:line="32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须特别注意：两案被害人同为张三（身份证 110105199007192230，某科技有限公司软件工程师，联系电话 136****4412），身份要素完全一致，仅按被害人身份匹配会直接判为“关联”。另需划清界限：被害人重合只能证明同一人先后两次被害，其证明方向是“被害事实”而非“行为主体”；两案被告人、上线、账户、手法、地域、办案单位六项均无重合，正确结论是两案无关。</w:t>
      </w:r>
    </w:p>
    <w:p>
      <w:pPr>
        <w:spacing w:after="100" w:before="180" w:line="320"/>
      </w:pPr>
      <w:r>
        <w:rPr>
          <w:rFonts w:ascii="Times New Roman" w:cs="Times New Roman" w:eastAsia="黑体" w:hAnsi="Times New Roman"/>
          <w:b/>
          <w:bCs/>
          <w:sz w:val="26"/>
          <w:szCs w:val="26"/>
        </w:rPr>
        <w:t xml:space="preserve">问题二 · 关联对应的原文出处？</w:t>
      </w:r>
    </w:p>
    <w:p>
      <w:pPr>
        <w:spacing w:after="100" w:before="50" w:line="32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答：因两案无关联，此处列出比对锚点供核验——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500"/>
        <w:gridCol w:w="2400"/>
        <w:gridCol w:w="18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比对项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甲案（周立强 · 青屏市云溪区）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乙案（郑海涛 · 沧澜市滨海区）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出处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唯一重合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被害人身份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张三，1990年7月19日生，身份证 110105199007192230，某科技有限公司软件工程师，136****4412，户籍北京市朝阳区安苑路15号院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同左，逐字一致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两案被害人询问笔录“身份情况”栏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差异项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被告人身份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周立强，身份证 370205199804121236，青屏市云溪区临江路18号，137****2244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郑海涛，身份证 320105199511034513，沧澜市滨海区海宁街42号，188****7715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两案起诉意见书、讯问笔录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差异项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上线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“阿俊”，微信号 wxid_aaa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“大军”，微信号 wxid_bbb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两案讯问笔录、微信聊天记录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差异项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涉案走账卡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建设银行 6227000135790246812（尾号6812），绑定 137****2244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工商银行 6222020508001234567（尾号4567），绑定 188****7715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两案好处费转账记录表、扣押清单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差异项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上游手法与被害时段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冒充电商物流客服、物流损毁双倍退款；2025年4月9日、11日、14日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虚假投资理财“鑫源国际”平台入金；2025年7月8日、10日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两案被害人询问笔录、案情说明</w:t>
            </w:r>
          </w:p>
        </w:tc>
      </w:tr>
    </w:tbl>
    <w:p>
      <w:pPr>
        <w:spacing w:after="100" w:before="180" w:line="320"/>
      </w:pPr>
      <w:r>
        <w:rPr>
          <w:rFonts w:ascii="Times New Roman" w:cs="Times New Roman" w:eastAsia="黑体" w:hAnsi="Times New Roman"/>
          <w:b/>
          <w:bCs/>
          <w:sz w:val="26"/>
          <w:szCs w:val="26"/>
        </w:rPr>
        <w:t xml:space="preserve">问题三 · 哪些是假关联（干扰特征）？</w:t>
      </w:r>
    </w:p>
    <w:p>
      <w:pPr>
        <w:spacing w:after="100" w:before="50" w:line="32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答：本组干扰分两类——【否定型】指形式存在差异、易被误当作“不关联”证据；【肯定型】指表面相似、易被误当作关联依据。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5326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干扰维度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sz w:val="20"/>
                <w:szCs w:val="20"/>
              </w:rPr>
              <w:t xml:space="preserve">为何为假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【肯定型·核心干扰】被害人同一：姓名、身份证号、职业、联系电话四项完全一致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被害人重合的证明方向是“被害事实”，不是“犯罪行为主体”。同一人先后两次被害，不能推出两个团伙在人员或组织上存在重合，故被害人身份一致不构成关联依据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【肯定型】同案由：两案均定帮助信息网络犯罪活动罪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帮信罪系高频通用案由，罪名相同不等于同一案件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【肯定型】被告人均系“卡农”，角色同质、地位从属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角色同质不等于主体同一。两人身份证、户籍、职业、手机号四项要素互不相同，且分处两地、分属不同上线，无任何交集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【肯定型】获利结构相似：均按走账流水比例抽成＋按次计酬的附加报酬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同类犯罪常见分成模式；且两案参数并不相同（提成 1.5%／1.2%，附加报酬 刷脸25元每次／验证码18元每条），不足以认定关联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【否定型】两案上线、走账卡、上游手法、发案地域与办案单位均不同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差异项本身即为“两案无关”的正面依据，不存在需要桥接解释的空间；本组无误报之外的漏报风险点</w:t>
            </w:r>
          </w:p>
        </w:tc>
      </w:tr>
    </w:tbl>
    <w:p>
      <w:pPr>
        <w:spacing w:after="100" w:before="180" w:line="320"/>
      </w:pPr>
      <w:r>
        <w:rPr>
          <w:rFonts w:ascii="Times New Roman" w:cs="Times New Roman" w:eastAsia="黑体" w:hAnsi="Times New Roman"/>
          <w:b/>
          <w:bCs/>
          <w:sz w:val="26"/>
          <w:szCs w:val="26"/>
        </w:rPr>
        <w:t xml:space="preserve">问题四 · 是否存在同名不同人、别名？</w:t>
      </w:r>
    </w:p>
    <w:p>
      <w:pPr>
        <w:spacing w:after="50" w:before="50" w:line="320"/>
        <w:ind w:left="480"/>
        <w:jc w:val="both"/>
      </w:pPr>
      <w:r>
        <w:rPr>
          <w:rFonts w:ascii="Times New Roman" w:cs="Times New Roman" w:eastAsia="宋体" w:hAnsi="Times New Roman"/>
          <w:sz w:val="23"/>
          <w:szCs w:val="23"/>
        </w:rPr>
        <w:t xml:space="preserve">① 同名不同人：否。被害人张三在两案中姓名、出生日期、身份证号码、职业、联系电话、户籍地六项要素完全一致，应认定为同一人先后两次被害，而非同名不同人；两案被告人周立强、郑海涛在身份证、户籍、职业、手机号四项上互不相同，亦不存在同名混淆。本案唯一需警惕的核对点是：被害人身份同一属被害人维度重合，不向嫌疑人侧传导，不得据此推定两名被告人或两个团伙存在关联。</w:t>
      </w:r>
    </w:p>
    <w:p>
      <w:pPr>
        <w:spacing w:after="50" w:before="50" w:line="320"/>
        <w:ind w:left="480"/>
        <w:jc w:val="both"/>
      </w:pPr>
      <w:r>
        <w:rPr>
          <w:rFonts w:ascii="Times New Roman" w:cs="Times New Roman" w:eastAsia="宋体" w:hAnsi="Times New Roman"/>
          <w:sz w:val="23"/>
          <w:szCs w:val="23"/>
        </w:rPr>
        <w:t xml:space="preserve">② 别名／绰号归并：是。上线绰号须分别归并——“阿俊”（微信号 wxid_aaa，仅甲案）、“大军”（微信号 wxid_bbb，仅乙案），二者系不同自然人，非同一对象的不同称呼，不得相互归并；两名被告人与被害人张三均无绰号与本名归并需求。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元宝</dc:creator>
  <dc:description>G016 四个问题（被害人维度负例）</dc:description>
  <cp:lastModifiedBy>Un-named</cp:lastModifiedBy>
  <cp:revision>1</cp:revision>
  <dcterms:created xsi:type="dcterms:W3CDTF">2026-09-05T12:43:12.784Z</dcterms:created>
  <dcterms:modified xsi:type="dcterms:W3CDTF">2026-09-05T12:43:12.784Z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{"Label":"1","ContentProducer":"001191440300708461136T1WFUO","ProduceID":"e973135fb864b3db2d3b314def77484a-WfrO","ReservedCode1":"{\"Type\":\" TC260PG\",\"Version\":1,\"Bindings\":[{\"Type\":\"soft\",\"AlgID\":\"sm3\",\"Value\":\"0dd53cd2f4f08e6d1ebfdb3856046a5eda8bb00af69572fb28a4facb1cb1d471\"},{\"Type\":\"hash\",\"AlgID\":\"sm3\",\"Value\":\"addfb202c839a804b60a82c27a74a04b4183dd78ed5c3895964316593f14831c\"}],\"PubSD\":[{\"Type\":\"DS\",\"AlgID\":\"sm2\",\"TBSData\":{\"Type\":\"Binding\",\"BType\":\"hash\"},\"Signature\":\"3045022035897a205d12e647dcb7527a3197ba9f1a3f3848d5c8f69ce9ef164ff36c7e5d022100fbb564034d06b9b56be12fb5ec6007142ed579435a1766c93092f9bc97a08e3c\"},{\"Type\":\"PubKey\",\"AlgID\":\"sm2\",\"KeyValue\":\"0407f79b28a17a752b3aae4305c98b48978213832729a2571850b1310b2bc9fe8fee039ccf25ebfeac27502414d9fcef792d777183c98893d226171c2f7a3289a2\"}],\"Extension\":{\"Timestamp\":1788612208,\"KeyVersion\":\"v1-TxLeOmf7bqU223\"}}","ContentPropagator":"001191440300708461136T1WFUO","PropagateID":"e973135fb864b3db2d3b314def77484a-WfrO","ReservedCode2":"{\"Type\":\" TC260PG\",\"Version\":1,\"Bindings\":[{\"Type\":\"soft\",\"AlgID\":\"sm3\",\"Value\":\"0dd53cd2f4f08e6d1ebfdb3856046a5eda8bb00af69572fb28a4facb1cb1d471\"},{\"Type\":\"hash\",\"AlgID\":\"sm3\",\"Value\":\"addfb202c839a804b60a82c27a74a04b4183dd78ed5c3895964316593f14831c\"}],\"PubSD\":[{\"Type\":\"DS\",\"AlgID\":\"sm2\",\"TBSData\":{\"Type\":\"Binding\",\"BType\":\"hash\"},\"Signature\":\"3046022100830bdba06d770d22ed5e52ebaf2678589e416e6c39094a52c89cae71629a7979022100b8ea32243e9b1ea07a1e9fd87961c2c1b078255ead3497c666acf507de3ae5d0\"},{\"Type\":\"PubKey\",\"AlgID\":\"sm2\",\"KeyValue\":\"0407f79b28a17a752b3aae4305c98b48978213832729a2571850b1310b2bc9fe8fee039ccf25ebfeac27502414d9fcef792d777183c98893d226171c2f7a3289a2\"}],\"Extension\":{\"Timestamp\":1788612208,\"KeyVersion\":\"v1-TxLeOmf7bqU223\"}}"}</vt:lpwstr>
  </property>
</Properties>
</file>