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36EE3">
      <w:pPr>
        <w:pStyle w:val="3"/>
      </w:pPr>
      <w:r>
        <w:rPr>
          <w:rFonts w:hint="eastAsia" w:cs="Times New Roman"/>
          <w:b/>
          <w:bCs/>
          <w:sz w:val="30"/>
          <w:szCs w:val="30"/>
          <w:lang w:eastAsia="zh-CN"/>
        </w:rPr>
        <w:t>A案</w:t>
      </w:r>
      <w:r>
        <w:rPr>
          <w:rFonts w:ascii="Times New Roman" w:hAnsi="Times New Roman" w:eastAsia="黑体" w:cs="Times New Roman"/>
          <w:b/>
          <w:bCs/>
          <w:sz w:val="30"/>
          <w:szCs w:val="30"/>
        </w:rPr>
        <w:t xml:space="preserve"> · 周立强（卡农）· 辩护词</w:t>
      </w:r>
    </w:p>
    <w:p w14:paraId="3E7906CB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受被告人家属委托并经青屏市云溪区法律援助中心指派，本人担任被告人周立强涉嫌帮助信息网络犯罪活动罪一案的辩护人，参与本案诉讼。经查阅案卷、会见被告人并参与庭审，现发表如下辩护意见，供合议庭参考：</w:t>
      </w:r>
    </w:p>
    <w:p w14:paraId="770F1451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一、被告人周立强在本案中的地位属于从犯，依法应当从轻、减轻处罚。</w:t>
      </w:r>
    </w:p>
    <w:p w14:paraId="706F7C24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周立强并非资金的最终受益人，亦未参与上游犯罪的通谋与组织，其仅按上线“阿俊”要求提供本人银行卡、收款码并配合刷脸验证，在整个犯罪链条中处于被支配、被利用的末端环节，作用次要、地位从属，恳请合议庭认定其为从犯并依法从宽处理。</w:t>
      </w:r>
    </w:p>
    <w:p w14:paraId="615D1184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二、被告人经电话通知后主动到案，如实供述主要事实，依法构成自首，且自愿认罪认罚。</w:t>
      </w:r>
    </w:p>
    <w:p w14:paraId="3D3B5203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周立强在未被采取强制措施前即经公安机关电话通知主动到案，到案后如实供述提供银行卡、收款码、配合刷脸验证的主要事实，并主动提供与“阿俊”的聊天记录，符合自首的成立条件；其当庭自愿认罪认罚，悔罪态度较好，依法可以从宽处罚。</w:t>
      </w:r>
    </w:p>
    <w:p w14:paraId="121B2AF3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三、被告人犯罪情节相对较轻，社会危害性有限。</w:t>
      </w:r>
    </w:p>
    <w:p w14:paraId="1F2E80E9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周立强对资金的具体来源和去向并不知情，亦未直接参与诈骗等核心犯罪环节，其非法获利共计 6840 元，金额较小，案发后已主动表示愿意退缴全部违法所得，主观恶性和再犯可能性均较低。</w:t>
      </w:r>
    </w:p>
    <w:p w14:paraId="4F991A55">
      <w:pPr>
        <w:spacing w:before="40" w:after="40" w:line="360" w:lineRule="auto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四、被告人系初犯、偶犯，此前无任何违法犯罪记录，其家庭具备良好的监管条件，适用缓刑不致再危害社会。</w:t>
      </w:r>
    </w:p>
    <w:p w14:paraId="64BB2E20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综上，恳请合议庭综合考虑其从犯、自首、认罪认罚、退赃退赔、初犯偶犯等法定及酌定从宽情节，对其依法从轻、减轻处罚并酌情适用缓刑。</w:t>
      </w:r>
    </w:p>
    <w:p w14:paraId="5579190E">
      <w:pPr>
        <w:spacing w:before="40" w:after="4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以上意见，请予采纳。</w:t>
      </w:r>
    </w:p>
    <w:p w14:paraId="0B051575">
      <w:pPr>
        <w:spacing w:after="80"/>
      </w:pPr>
    </w:p>
    <w:p w14:paraId="42150E49">
      <w:pPr>
        <w:spacing w:before="40" w:after="40" w:line="360" w:lineRule="auto"/>
        <w:ind w:right="480"/>
        <w:jc w:val="right"/>
      </w:pPr>
      <w:r>
        <w:rPr>
          <w:rFonts w:ascii="Times New Roman" w:hAnsi="Times New Roman" w:eastAsia="宋体" w:cs="Times New Roman"/>
          <w:sz w:val="24"/>
          <w:szCs w:val="24"/>
        </w:rPr>
        <w:t>辩护人：</w:t>
      </w:r>
    </w:p>
    <w:p w14:paraId="46669FD1">
      <w:r>
        <w:rPr>
          <w:rFonts w:ascii="Times New Roman" w:hAnsi="Times New Roman" w:eastAsia="宋体" w:cs="Times New Roman"/>
          <w:sz w:val="24"/>
          <w:szCs w:val="24"/>
        </w:rPr>
        <w:t>2025年8月28日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84A7E80"/>
    <w:rsid w:val="1C7D485A"/>
    <w:rsid w:val="25017C4D"/>
    <w:rsid w:val="3A2C08FF"/>
    <w:rsid w:val="45D04998"/>
    <w:rsid w:val="49562FE0"/>
    <w:rsid w:val="4CA566E2"/>
    <w:rsid w:val="4E566916"/>
    <w:rsid w:val="778E22F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outlineLvl w:val="0"/>
    </w:pPr>
    <w:rPr>
      <w:rFonts w:ascii="Times New Roman" w:hAnsi="Times New Roman" w:eastAsia="黑体" w:cs="Times New Roman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60"/>
      <w:jc w:val="center"/>
      <w:outlineLvl w:val="1"/>
    </w:pPr>
    <w:rPr>
      <w:rFonts w:ascii="Times New Roman" w:hAnsi="Times New Roman" w:eastAsia="黑体" w:cs="Times New Roman"/>
      <w:b/>
      <w:bCs/>
      <w:sz w:val="30"/>
      <w:szCs w:val="30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657</Words>
  <Characters>665</Characters>
  <Lines>0</Lines>
  <Paragraphs>0</Paragraphs>
  <TotalTime>0</TotalTime>
  <ScaleCrop>false</ScaleCrop>
  <LinksUpToDate>false</LinksUpToDate>
  <CharactersWithSpaces>670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2026-09-05T13:06:39Z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