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5CE9E">
      <w:pPr>
        <w:spacing w:before="240" w:after="240" w:line="360" w:lineRule="auto"/>
        <w:jc w:val="center"/>
      </w:pPr>
      <w:r>
        <w:rPr>
          <w:rFonts w:ascii="Times New Roman" w:hAnsi="Times New Roman" w:eastAsia="黑体"/>
          <w:b/>
          <w:sz w:val="44"/>
        </w:rPr>
        <w:t>案 情 介 绍</w:t>
      </w:r>
    </w:p>
    <w:p w14:paraId="3008A363">
      <w:pPr>
        <w:spacing w:before="120" w:after="120" w:line="360" w:lineRule="auto"/>
      </w:pPr>
      <w:r>
        <w:rPr>
          <w:rFonts w:ascii="Times New Roman" w:hAnsi="Times New Roman" w:eastAsia="黑体"/>
          <w:b/>
          <w:sz w:val="32"/>
        </w:rPr>
        <w:t>一、案件基本信息</w:t>
      </w:r>
    </w:p>
    <w:tbl>
      <w:tblPr>
        <w:tblStyle w:val="32"/>
        <w:tblW w:w="0" w:type="auto"/>
        <w:tblInd w:w="0" w:type="dxa"/>
        <w:tblLayout w:type="fixed"/>
        <w:tblCellMar>
          <w:top w:w="0" w:type="dxa"/>
          <w:left w:w="108" w:type="dxa"/>
          <w:bottom w:w="0" w:type="dxa"/>
          <w:right w:w="108" w:type="dxa"/>
        </w:tblCellMar>
      </w:tblPr>
      <w:tblGrid>
        <w:gridCol w:w="4333"/>
        <w:gridCol w:w="4333"/>
      </w:tblGrid>
      <w:tr w14:paraId="72668360">
        <w:tblPrEx>
          <w:tblCellMar>
            <w:top w:w="0" w:type="dxa"/>
            <w:left w:w="108" w:type="dxa"/>
            <w:bottom w:w="0" w:type="dxa"/>
            <w:right w:w="108" w:type="dxa"/>
          </w:tblCellMar>
        </w:tblPrEx>
        <w:tc>
          <w:tcPr>
            <w:tcW w:w="1984" w:type="dxa"/>
          </w:tcPr>
          <w:p w14:paraId="0AD22052">
            <w:pPr>
              <w:spacing w:line="360" w:lineRule="auto"/>
            </w:pPr>
            <w:r>
              <w:rPr>
                <w:rFonts w:ascii="Times New Roman" w:hAnsi="Times New Roman" w:eastAsia="仿宋"/>
                <w:b/>
                <w:sz w:val="24"/>
              </w:rPr>
              <w:t>案件名称</w:t>
            </w:r>
          </w:p>
        </w:tc>
        <w:tc>
          <w:tcPr>
            <w:tcW w:w="6520" w:type="dxa"/>
          </w:tcPr>
          <w:p w14:paraId="4DE3B427">
            <w:pPr>
              <w:spacing w:line="360" w:lineRule="auto"/>
            </w:pPr>
            <w:r>
              <w:rPr>
                <w:rFonts w:ascii="Times New Roman" w:hAnsi="Times New Roman" w:eastAsia="仿宋"/>
                <w:b w:val="0"/>
                <w:sz w:val="24"/>
              </w:rPr>
              <w:t>王浩帮助信息网络犯罪活动案</w:t>
            </w:r>
          </w:p>
        </w:tc>
      </w:tr>
      <w:tr w14:paraId="6BBDA77C">
        <w:tblPrEx>
          <w:tblCellMar>
            <w:top w:w="0" w:type="dxa"/>
            <w:left w:w="108" w:type="dxa"/>
            <w:bottom w:w="0" w:type="dxa"/>
            <w:right w:w="108" w:type="dxa"/>
          </w:tblCellMar>
        </w:tblPrEx>
        <w:tc>
          <w:tcPr>
            <w:tcW w:w="1984" w:type="dxa"/>
          </w:tcPr>
          <w:p w14:paraId="7BAD128B">
            <w:pPr>
              <w:spacing w:line="360" w:lineRule="auto"/>
            </w:pPr>
            <w:r>
              <w:rPr>
                <w:rFonts w:ascii="Times New Roman" w:hAnsi="Times New Roman" w:eastAsia="仿宋"/>
                <w:b/>
                <w:sz w:val="24"/>
              </w:rPr>
              <w:t>案件编号</w:t>
            </w:r>
          </w:p>
        </w:tc>
        <w:tc>
          <w:tcPr>
            <w:tcW w:w="6520" w:type="dxa"/>
          </w:tcPr>
          <w:p w14:paraId="763111F9">
            <w:pPr>
              <w:spacing w:line="360" w:lineRule="auto"/>
            </w:pPr>
            <w:r>
              <w:rPr>
                <w:rFonts w:ascii="Times New Roman" w:hAnsi="Times New Roman" w:eastAsia="仿宋"/>
                <w:b w:val="0"/>
                <w:sz w:val="24"/>
              </w:rPr>
              <w:t>宁公（江）立字〔2023〕0612号</w:t>
            </w:r>
          </w:p>
        </w:tc>
      </w:tr>
      <w:tr w14:paraId="7C2D3C9B">
        <w:tblPrEx>
          <w:tblCellMar>
            <w:top w:w="0" w:type="dxa"/>
            <w:left w:w="108" w:type="dxa"/>
            <w:bottom w:w="0" w:type="dxa"/>
            <w:right w:w="108" w:type="dxa"/>
          </w:tblCellMar>
        </w:tblPrEx>
        <w:tc>
          <w:tcPr>
            <w:tcW w:w="1984" w:type="dxa"/>
          </w:tcPr>
          <w:p w14:paraId="0AA5E15A">
            <w:pPr>
              <w:spacing w:line="360" w:lineRule="auto"/>
            </w:pPr>
            <w:r>
              <w:rPr>
                <w:rFonts w:ascii="Times New Roman" w:hAnsi="Times New Roman" w:eastAsia="仿宋"/>
                <w:b/>
                <w:sz w:val="24"/>
              </w:rPr>
              <w:t>立案机关</w:t>
            </w:r>
          </w:p>
        </w:tc>
        <w:tc>
          <w:tcPr>
            <w:tcW w:w="6520" w:type="dxa"/>
          </w:tcPr>
          <w:p w14:paraId="5A62E4D0">
            <w:pPr>
              <w:spacing w:line="360" w:lineRule="auto"/>
            </w:pPr>
            <w:r>
              <w:rPr>
                <w:rFonts w:ascii="Times New Roman" w:hAnsi="Times New Roman" w:eastAsia="仿宋"/>
                <w:b w:val="0"/>
                <w:sz w:val="24"/>
              </w:rPr>
              <w:t>南京市公安局江宁分局</w:t>
            </w:r>
          </w:p>
        </w:tc>
      </w:tr>
      <w:tr w14:paraId="06EA73D1">
        <w:tblPrEx>
          <w:tblCellMar>
            <w:top w:w="0" w:type="dxa"/>
            <w:left w:w="108" w:type="dxa"/>
            <w:bottom w:w="0" w:type="dxa"/>
            <w:right w:w="108" w:type="dxa"/>
          </w:tblCellMar>
        </w:tblPrEx>
        <w:tc>
          <w:tcPr>
            <w:tcW w:w="1984" w:type="dxa"/>
          </w:tcPr>
          <w:p w14:paraId="5EFF9A4F">
            <w:pPr>
              <w:spacing w:line="360" w:lineRule="auto"/>
            </w:pPr>
            <w:r>
              <w:rPr>
                <w:rFonts w:ascii="Times New Roman" w:hAnsi="Times New Roman" w:eastAsia="仿宋"/>
                <w:b/>
                <w:sz w:val="24"/>
              </w:rPr>
              <w:t>立案时间</w:t>
            </w:r>
          </w:p>
        </w:tc>
        <w:tc>
          <w:tcPr>
            <w:tcW w:w="6520" w:type="dxa"/>
          </w:tcPr>
          <w:p w14:paraId="5624D0A4">
            <w:pPr>
              <w:spacing w:line="360" w:lineRule="auto"/>
            </w:pPr>
            <w:r>
              <w:rPr>
                <w:rFonts w:ascii="Times New Roman" w:hAnsi="Times New Roman" w:eastAsia="仿宋"/>
                <w:b w:val="0"/>
                <w:sz w:val="24"/>
              </w:rPr>
              <w:t>2023年</w:t>
            </w:r>
            <w:r>
              <w:rPr>
                <w:rFonts w:hint="eastAsia" w:ascii="Times New Roman" w:hAnsi="Times New Roman" w:eastAsia="仿宋"/>
                <w:b w:val="0"/>
                <w:sz w:val="24"/>
                <w:lang w:val="en-US" w:eastAsia="zh-CN"/>
              </w:rPr>
              <w:t>7</w:t>
            </w:r>
            <w:r>
              <w:rPr>
                <w:rFonts w:ascii="Times New Roman" w:hAnsi="Times New Roman" w:eastAsia="仿宋"/>
                <w:b w:val="0"/>
                <w:sz w:val="24"/>
              </w:rPr>
              <w:t>月</w:t>
            </w:r>
            <w:r>
              <w:rPr>
                <w:rFonts w:hint="eastAsia" w:ascii="Times New Roman" w:hAnsi="Times New Roman" w:eastAsia="仿宋"/>
                <w:b w:val="0"/>
                <w:sz w:val="24"/>
                <w:lang w:val="en-US" w:eastAsia="zh-CN"/>
              </w:rPr>
              <w:t>5</w:t>
            </w:r>
            <w:bookmarkStart w:id="0" w:name="_GoBack"/>
            <w:bookmarkEnd w:id="0"/>
            <w:r>
              <w:rPr>
                <w:rFonts w:ascii="Times New Roman" w:hAnsi="Times New Roman" w:eastAsia="仿宋"/>
                <w:b w:val="0"/>
                <w:sz w:val="24"/>
              </w:rPr>
              <w:t>日</w:t>
            </w:r>
          </w:p>
        </w:tc>
      </w:tr>
    </w:tbl>
    <w:p w14:paraId="2F49EAB9">
      <w:pPr>
        <w:spacing w:before="120" w:after="120" w:line="360" w:lineRule="auto"/>
      </w:pPr>
      <w:r>
        <w:rPr>
          <w:rFonts w:ascii="Times New Roman" w:hAnsi="Times New Roman" w:eastAsia="黑体"/>
          <w:b/>
          <w:sz w:val="32"/>
        </w:rPr>
        <w:t>二、犯罪嫌疑人基本情况</w:t>
      </w:r>
    </w:p>
    <w:p w14:paraId="2B57EEA8">
      <w:pPr>
        <w:spacing w:line="360" w:lineRule="auto"/>
        <w:ind w:firstLine="480"/>
      </w:pPr>
      <w:r>
        <w:rPr>
          <w:rFonts w:ascii="Times New Roman" w:hAnsi="Times New Roman" w:eastAsia="仿宋"/>
          <w:b w:val="0"/>
          <w:sz w:val="24"/>
        </w:rPr>
        <w:t>王浩，男，1995年3月10日出生，居民身份证号码3201**********5555，汉族，大专文化，户籍所在地江苏省南京市江宁区XX路XX号，无业。无前科劣迹。</w:t>
      </w:r>
    </w:p>
    <w:p w14:paraId="68983A5B">
      <w:pPr>
        <w:spacing w:before="120" w:after="120" w:line="360" w:lineRule="auto"/>
      </w:pPr>
      <w:r>
        <w:rPr>
          <w:rFonts w:ascii="Times New Roman" w:hAnsi="Times New Roman" w:eastAsia="黑体"/>
          <w:b/>
          <w:sz w:val="32"/>
        </w:rPr>
        <w:t>三、简要案情</w:t>
      </w:r>
    </w:p>
    <w:p w14:paraId="37BB997D">
      <w:pPr>
        <w:spacing w:line="360" w:lineRule="auto"/>
        <w:ind w:firstLine="480"/>
      </w:pPr>
      <w:r>
        <w:rPr>
          <w:rFonts w:ascii="Times New Roman" w:hAnsi="Times New Roman" w:eastAsia="仿宋"/>
          <w:b w:val="0"/>
          <w:sz w:val="24"/>
        </w:rPr>
        <w:t>2023年6月10日，犯罪嫌疑人王浩在南京市江宁区XX银行网点，使用本人真实身份证办理银行卡一张（卡号：6217******1111），并开通网上银行和U盾。办卡当日，王浩在银行门口将该卡及U盾以人民币500元价格出售给一名绰号“阿强”的男子。</w:t>
      </w:r>
    </w:p>
    <w:p w14:paraId="29B43C6E">
      <w:pPr>
        <w:spacing w:line="360" w:lineRule="auto"/>
        <w:ind w:firstLine="480"/>
      </w:pPr>
      <w:r>
        <w:rPr>
          <w:rFonts w:ascii="Times New Roman" w:hAnsi="Times New Roman" w:eastAsia="仿宋"/>
          <w:b w:val="0"/>
          <w:sz w:val="24"/>
        </w:rPr>
        <w:t>经查，该银行卡于2023年6月12日至6月30日期间，累计接收来自多个账户的转入资金共计人民币187万元，其中已核实涉及电信诈骗案件4起。上述资金在到账后24小时内被分散转出至其他账户。</w:t>
      </w:r>
    </w:p>
    <w:p w14:paraId="57569C22">
      <w:pPr>
        <w:spacing w:line="360" w:lineRule="auto"/>
        <w:ind w:firstLine="480"/>
      </w:pPr>
      <w:r>
        <w:rPr>
          <w:rFonts w:ascii="Times New Roman" w:hAnsi="Times New Roman" w:eastAsia="仿宋"/>
          <w:b w:val="0"/>
          <w:sz w:val="24"/>
        </w:rPr>
        <w:t>2023年7月5日，王浩经民警电话传唤到案，如实供述了上述事实。同日，南京市公安局江宁分局依法将该涉案银行卡（卡号：6217******1111）冻结，冻结期限为六个月（自2023年7月5日至2024年1月4日）。</w:t>
      </w:r>
    </w:p>
    <w:p w14:paraId="34F0E25A">
      <w:pPr>
        <w:spacing w:line="360" w:lineRule="auto"/>
        <w:ind w:firstLine="480"/>
      </w:pPr>
      <w:r>
        <w:rPr>
          <w:rFonts w:ascii="Times New Roman" w:hAnsi="Times New Roman" w:eastAsia="仿宋"/>
          <w:b w:val="0"/>
          <w:sz w:val="24"/>
        </w:rPr>
        <w:t>2023年8月20日，南京市江宁区人民检察院以王浩涉嫌帮助信息网络犯罪活动罪向南京市江宁区人民法院提起公诉。</w:t>
      </w:r>
    </w:p>
    <w:p w14:paraId="3488E11E">
      <w:pPr>
        <w:spacing w:line="360" w:lineRule="auto"/>
        <w:ind w:firstLine="480"/>
      </w:pPr>
      <w:r>
        <w:rPr>
          <w:rFonts w:ascii="Times New Roman" w:hAnsi="Times New Roman" w:eastAsia="仿宋"/>
          <w:b w:val="0"/>
          <w:sz w:val="24"/>
        </w:rPr>
        <w:t>2023年9月15日，南京市江宁区人民法院作出判决，因认罪认罚且无社会危险性，王浩于2023年7月6日被取保候审，同年9月15日被判处有期徒刑十个月，缓刑一年，并处罚金人民币五千元。</w:t>
      </w:r>
    </w:p>
    <w:p w14:paraId="516FC15E">
      <w:pPr>
        <w:spacing w:line="360" w:lineRule="auto"/>
        <w:ind w:firstLine="480"/>
      </w:pPr>
      <w:r>
        <w:rPr>
          <w:rFonts w:ascii="Times New Roman" w:hAnsi="Times New Roman" w:eastAsia="仿宋"/>
          <w:b w:val="0"/>
          <w:sz w:val="24"/>
        </w:rPr>
        <w:t>注：该涉案银行卡于2024年1月4日冻结期满，因未收到续冻通知，账户部分功能自动恢复。</w:t>
      </w:r>
    </w:p>
    <w:sectPr>
      <w:footerReference r:id="rId5" w:type="default"/>
      <w:pgSz w:w="11906" w:h="16838"/>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454F9">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5C5F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590</Words>
  <Characters>688</Characters>
  <Lines>0</Lines>
  <Paragraphs>0</Paragraphs>
  <TotalTime>0</TotalTime>
  <ScaleCrop>false</ScaleCrop>
  <LinksUpToDate>false</LinksUpToDate>
  <CharactersWithSpaces>691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WPS_1755520970</cp:lastModifiedBy>
  <dcterms:modified xsi:type="dcterms:W3CDTF">2026-09-06T07:34:43Z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{"Label":"1","ContentProducer":"001191440300708461136T1WFUO","ProduceID":"da83d88cca73b3d05786844d9338d563-DH34","ReservedCode1":"{\"Type\":\" TC260PG\",\"Version\":1,\"Bindings\":[{\"Type\":\"soft\",\"AlgID\":\"sm3\",\"Value\":\"6539e91d8ebe57e87e4127af5433ed5e513d1bc1b686658937b45ddbbf187164\"},{\"Type\":\"hash\",\"AlgID\":\"sm3\",\"Value\":\"8c3e61c11b3aad657f0de617318daf0bd6a2b84162ce35778582736818fdafa9\"}],\"PubSD\":[{\"Type\":\"DS\",\"AlgID\":\"sm2\",\"TBSData\":{\"Type\":\"Binding\",\"BType\":\"hash\"},\"Signature\":\"3045022100d01130f8cc601caa3440d7d1e01296e4d86f7816a3e1071bf8c55010d62f92200220494c575c2deddba4a7e57cf49c7734ec9d86bb642ebfb816e84a3e02887bc515\"},{\"Type\":\"PubKey\",\"AlgID\":\"sm2\",\"KeyValue\":\"0407f79b28a17a752b3aae4305c98b48978213832729a2571850b1310b2bc9fe8fee039ccf25ebfeac27502414d9fcef792d777183c98893d226171c2f7a3289a2\"}],\"Extension\":{\"Timestamp\":1788180414,\"KeyVersion\":\"v1-TxLeOmf7bqU223\"}}","ContentPropagator":"001191440300708461136T1WFUO","PropagateID":"da83d88cca73b3d05786844d9338d563-DH34","ReservedCode2":"{\"Type\":\" TC260PG\",\"Version\":1,\"Bindings\":[{\"Type\":\"soft\",\"AlgID\":\"sm3\",\"Value\":\"6539e91d8ebe57e87e4127af5433ed5e513d1bc1b686658937b45ddbbf187164\"},{\"Type\":\"hash\",\"AlgID\":\"sm3\",\"Value\":\"8c3e61c11b3aad657f0de617318daf0bd6a2b84162ce35778582736818fdafa9\"}],\"PubSD\":[{\"Type\":\"DS\",\"AlgID\":\"sm2\",\"TBSData\":{\"Type\":\"Binding\",\"BType\":\"hash\"},\"Signature\":\"3045022100e66469e9d05e2ba9194d00f23c6911535780189bd0aa6ae521d6226ca877b0b3022068fee3c1e506cda0a1f5502404f056d2dec522bc617b2bcd9902abe5268d65a4\"},{\"Type\":\"PubKey\",\"AlgID\":\"sm2\",\"KeyValue\":\"0407f79b28a17a752b3aae4305c98b48978213832729a2571850b1310b2bc9fe8fee039ccf25ebfeac27502414d9fcef792d777183c98893d226171c2f7a3289a2\"}],\"Extension\":{\"Timestamp\":1788180414,\"KeyVersion\":\"v1-TxLeOmf7bqU223\"}}"}</vt:lpwstr>
  </property>
  <property fmtid="{D5CDD505-2E9C-101B-9397-08002B2CF9AE}" pid="3" name="KSOTemplateDocerSaveRecord">
    <vt:lpwstr>eyJoZGlkIjoiNDE1NGVhMmY0ZDUwMWRmN2RkMzdmNDI0ZGQ0ZmFmY2UiLCJ1c2VySWQiOiIxNzMwMzUwMTI1In0=</vt:lpwstr>
  </property>
  <property fmtid="{D5CDD505-2E9C-101B-9397-08002B2CF9AE}" pid="4" name="KSOProductBuildVer">
    <vt:lpwstr>2052-12.1.0.28505</vt:lpwstr>
  </property>
  <property fmtid="{D5CDD505-2E9C-101B-9397-08002B2CF9AE}" pid="5" name="ICV">
    <vt:lpwstr>EF3C6E06507E4F42B8412E8B5DF89AC9_12</vt:lpwstr>
  </property>
</Properties>
</file>