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证据目录</w:t>
      </w:r>
    </w:p>
    <w:p>
      <w:pPr>
        <w:spacing w:lineRule="auto" w:line="360" w:after="80"/>
      </w:pPr>
      <w:r>
        <w:rPr>
          <w:rFonts w:ascii="黑体" w:hAnsi="黑体" w:eastAsia="黑体"/>
          <w:b/>
          <w:sz w:val="30"/>
        </w:rPr>
        <w:t>一、书证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户籍证明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银行开户记录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银行交易流水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扣押决定书、扣押清单</w:t>
      </w:r>
    </w:p>
    <w:p>
      <w:pPr>
        <w:spacing w:lineRule="auto" w:line="360" w:after="80"/>
      </w:pPr>
      <w:r>
        <w:rPr>
          <w:rFonts w:ascii="黑体" w:hAnsi="黑体" w:eastAsia="黑体"/>
          <w:b/>
          <w:sz w:val="30"/>
        </w:rPr>
        <w:t>二、证人证言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银行柜员询问笔录</w:t>
      </w:r>
    </w:p>
    <w:p>
      <w:pPr>
        <w:spacing w:lineRule="auto" w:line="360" w:after="80"/>
      </w:pPr>
      <w:r>
        <w:rPr>
          <w:rFonts w:ascii="黑体" w:hAnsi="黑体" w:eastAsia="黑体"/>
          <w:b/>
          <w:sz w:val="30"/>
        </w:rPr>
        <w:t>三、被告人供述与辩解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李强讯问笔录</w:t>
      </w:r>
    </w:p>
    <w:p>
      <w:pPr>
        <w:spacing w:lineRule="auto" w:line="360" w:after="80"/>
      </w:pPr>
      <w:r>
        <w:rPr>
          <w:rFonts w:ascii="黑体" w:hAnsi="黑体" w:eastAsia="黑体"/>
          <w:b/>
          <w:sz w:val="30"/>
        </w:rPr>
        <w:t>四、电子数据</w:t>
      </w:r>
    </w:p>
    <w:p>
      <w:pPr>
        <w:spacing w:lineRule="auto" w:line="360" w:after="40" w:before="0"/>
        <w:ind w:firstLine="480"/>
      </w:pPr>
      <w:r>
        <w:rPr>
          <w:rFonts w:ascii="仿宋" w:hAnsi="仿宋" w:eastAsia="仿宋"/>
          <w:b w:val="0"/>
          <w:sz w:val="24"/>
        </w:rPr>
        <w:t>手机电子数据勘验笔录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