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i w:val="0"/>
          <w:color w:val="000000"/>
          <w:sz w:val="32"/>
        </w:rPr>
        <w:t>Appendix A. Controlled Keyword Dictionary</w:t>
      </w:r>
    </w:p>
    <w:p>
      <w:pPr>
        <w:pStyle w:val="Heading2"/>
      </w:pPr>
      <w:r>
        <w:rPr>
          <w:rFonts w:ascii="Times New Roman" w:hAnsi="Times New Roman"/>
          <w:b/>
          <w:i w:val="0"/>
          <w:color w:val="000000"/>
          <w:sz w:val="26"/>
        </w:rPr>
        <w:t>A.1 Scope and matching rules</w:t>
      </w:r>
    </w:p>
    <w:p>
      <w:r>
        <w:rPr>
          <w:rFonts w:ascii="Times New Roman" w:hAnsi="Times New Roman"/>
          <w:b w:val="0"/>
          <w:i w:val="0"/>
          <w:color w:val="000000"/>
          <w:sz w:val="21"/>
        </w:rPr>
        <w:t>This appendix records the frozen controlled dictionary used for retrieval and counting in the final 275-passage, 51,428-word narrative corpus. The dictionary contains 55 canonical analytical entries across five researcher-defined categories: disease (13), sanitation (14), housing (9), governance (10), and inequality (9). A canonical entry may correspond to more than one source-text surface form.</w:t>
      </w:r>
    </w:p>
    <w:p>
      <w:r>
        <w:rPr>
          <w:rFonts w:ascii="Times New Roman" w:hAnsi="Times New Roman"/>
          <w:b w:val="0"/>
          <w:i w:val="0"/>
          <w:color w:val="000000"/>
          <w:sz w:val="21"/>
        </w:rPr>
        <w:t>A limited lexical-normalisation layer maps only a small, frozen set of source-verified lexical variants observed in the reports to their canonical entries. These variants cover hyphenation, spacing and number differences. The layer does not perform fuzzy matching or open-ended OCR correction. OCR-induced misreadings are documented during source verification rather than added to the alias rules.</w:t>
      </w:r>
    </w:p>
    <w:p>
      <w:r>
        <w:rPr>
          <w:rFonts w:ascii="Times New Roman" w:hAnsi="Times New Roman"/>
          <w:b w:val="0"/>
          <w:i w:val="0"/>
          <w:color w:val="000000"/>
          <w:sz w:val="21"/>
        </w:rPr>
        <w:t>The inequality category distinguishes direct socioeconomic vocabulary from indirect administrative or institutional markers. The terms 'lodgers' and 'infirmary' broaden candidate retrieval but do not automatically establish inequality; their hits require contextual review. Material conditions such as lodging-house occupation, crowding, limited storage capacity and displacement are interpreted through close reading rather than encoded as automatic inequality synonyms.</w:t>
      </w:r>
    </w:p>
    <w:p>
      <w:pPr>
        <w:pStyle w:val="Heading2"/>
      </w:pPr>
      <w:r>
        <w:rPr>
          <w:rFonts w:ascii="Times New Roman" w:hAnsi="Times New Roman"/>
          <w:b/>
          <w:i w:val="0"/>
          <w:color w:val="000000"/>
          <w:sz w:val="26"/>
        </w:rPr>
        <w:t>A.2 Dictionary, lexical variants and corpus counts</w:t>
      </w:r>
    </w:p>
    <w:p>
      <w:pPr>
        <w:pStyle w:val="AppendixCaption"/>
      </w:pPr>
      <w:r>
        <w:rPr>
          <w:rFonts w:ascii="Times New Roman" w:hAnsi="Times New Roman"/>
          <w:b w:val="0"/>
          <w:i/>
          <w:color w:val="000000"/>
          <w:sz w:val="20"/>
        </w:rPr>
        <w:t>Table A1. Frozen controlled dictionary, source-verified lexical variants and final-corpus hit counts</w:t>
      </w:r>
    </w:p>
    <w:tbl>
      <w:tblPr>
        <w:tblW w:type="auto" w:w="0"/>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1152"/>
            <w:shd w:fill="E7E6E6"/>
            <w:vAlign w:val="center"/>
          </w:tcPr>
          <w:p>
            <w:pPr>
              <w:spacing w:before="0" w:after="0" w:line="240" w:lineRule="auto"/>
              <w:jc w:val="center"/>
            </w:pPr>
            <w:r>
              <w:rPr>
                <w:rFonts w:ascii="Times New Roman" w:hAnsi="Times New Roman"/>
                <w:b/>
                <w:i w:val="0"/>
                <w:color w:val="000000"/>
                <w:sz w:val="16"/>
              </w:rPr>
              <w:t>Category</w:t>
            </w:r>
          </w:p>
        </w:tc>
        <w:tc>
          <w:tcPr>
            <w:tcW w:type="dxa" w:w="1800"/>
            <w:shd w:fill="E7E6E6"/>
            <w:vAlign w:val="center"/>
          </w:tcPr>
          <w:p>
            <w:pPr>
              <w:spacing w:before="0" w:after="0" w:line="240" w:lineRule="auto"/>
              <w:jc w:val="center"/>
            </w:pPr>
            <w:r>
              <w:rPr>
                <w:rFonts w:ascii="Times New Roman" w:hAnsi="Times New Roman"/>
                <w:b/>
                <w:i w:val="0"/>
                <w:color w:val="000000"/>
                <w:sz w:val="16"/>
              </w:rPr>
              <w:t>Canonical entry</w:t>
            </w:r>
          </w:p>
        </w:tc>
        <w:tc>
          <w:tcPr>
            <w:tcW w:type="dxa" w:w="3096"/>
            <w:shd w:fill="E7E6E6"/>
            <w:vAlign w:val="center"/>
          </w:tcPr>
          <w:p>
            <w:pPr>
              <w:spacing w:before="0" w:after="0" w:line="240" w:lineRule="auto"/>
              <w:jc w:val="center"/>
            </w:pPr>
            <w:r>
              <w:rPr>
                <w:rFonts w:ascii="Times New Roman" w:hAnsi="Times New Roman"/>
                <w:b/>
                <w:i w:val="0"/>
                <w:color w:val="000000"/>
                <w:sz w:val="16"/>
              </w:rPr>
              <w:t>Source-verified lexical variants</w:t>
            </w:r>
          </w:p>
        </w:tc>
        <w:tc>
          <w:tcPr>
            <w:tcW w:type="dxa" w:w="1944"/>
            <w:shd w:fill="E7E6E6"/>
            <w:vAlign w:val="center"/>
          </w:tcPr>
          <w:p>
            <w:pPr>
              <w:spacing w:before="0" w:after="0" w:line="240" w:lineRule="auto"/>
              <w:jc w:val="center"/>
            </w:pPr>
            <w:r>
              <w:rPr>
                <w:rFonts w:ascii="Times New Roman" w:hAnsi="Times New Roman"/>
                <w:b/>
                <w:i w:val="0"/>
                <w:color w:val="000000"/>
                <w:sz w:val="16"/>
              </w:rPr>
              <w:t>Retrieval type</w:t>
            </w:r>
          </w:p>
        </w:tc>
        <w:tc>
          <w:tcPr>
            <w:tcW w:type="dxa" w:w="4824"/>
            <w:shd w:fill="E7E6E6"/>
            <w:vAlign w:val="center"/>
          </w:tcPr>
          <w:p>
            <w:pPr>
              <w:spacing w:before="0" w:after="0" w:line="240" w:lineRule="auto"/>
              <w:jc w:val="center"/>
            </w:pPr>
            <w:r>
              <w:rPr>
                <w:rFonts w:ascii="Times New Roman" w:hAnsi="Times New Roman"/>
                <w:b/>
                <w:i w:val="0"/>
                <w:color w:val="000000"/>
                <w:sz w:val="16"/>
              </w:rPr>
              <w:t>Rationale</w:t>
            </w:r>
          </w:p>
        </w:tc>
        <w:tc>
          <w:tcPr>
            <w:tcW w:type="dxa" w:w="936"/>
            <w:shd w:fill="E7E6E6"/>
            <w:vAlign w:val="center"/>
          </w:tcPr>
          <w:p>
            <w:pPr>
              <w:spacing w:before="0" w:after="0" w:line="240" w:lineRule="auto"/>
              <w:jc w:val="center"/>
            </w:pPr>
            <w:r>
              <w:rPr>
                <w:rFonts w:ascii="Times New Roman" w:hAnsi="Times New Roman"/>
                <w:b/>
                <w:i w:val="0"/>
                <w:color w:val="000000"/>
                <w:sz w:val="16"/>
              </w:rPr>
              <w:t>Raw hits</w:t>
            </w:r>
          </w:p>
        </w:tc>
        <w:tc>
          <w:tcPr>
            <w:tcW w:type="dxa" w:w="1512"/>
            <w:shd w:fill="E7E6E6"/>
            <w:vAlign w:val="center"/>
          </w:tcPr>
          <w:p>
            <w:pPr>
              <w:spacing w:before="0" w:after="0" w:line="240" w:lineRule="auto"/>
              <w:jc w:val="center"/>
            </w:pPr>
            <w:r>
              <w:rPr>
                <w:rFonts w:ascii="Times New Roman" w:hAnsi="Times New Roman"/>
                <w:b/>
                <w:i w:val="0"/>
                <w:color w:val="000000"/>
                <w:sz w:val="16"/>
              </w:rPr>
              <w:t>Hits per 10,000 words</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Disease</w:t>
            </w:r>
          </w:p>
        </w:tc>
        <w:tc>
          <w:tcPr>
            <w:tcW w:type="dxa" w:w="1800"/>
            <w:vAlign w:val="center"/>
          </w:tcPr>
          <w:p>
            <w:pPr>
              <w:spacing w:before="0" w:after="0" w:line="240" w:lineRule="auto"/>
              <w:jc w:val="left"/>
            </w:pPr>
            <w:r>
              <w:rPr>
                <w:rFonts w:ascii="Times New Roman" w:hAnsi="Times New Roman"/>
                <w:b w:val="0"/>
                <w:i w:val="0"/>
                <w:color w:val="000000"/>
                <w:sz w:val="16"/>
              </w:rPr>
              <w:t>fever</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7</w:t>
            </w:r>
          </w:p>
        </w:tc>
        <w:tc>
          <w:tcPr>
            <w:tcW w:type="dxa" w:w="1512"/>
            <w:vAlign w:val="center"/>
          </w:tcPr>
          <w:p>
            <w:pPr>
              <w:spacing w:before="0" w:after="0" w:line="240" w:lineRule="auto"/>
              <w:jc w:val="center"/>
            </w:pPr>
            <w:r>
              <w:rPr>
                <w:rFonts w:ascii="Times New Roman" w:hAnsi="Times New Roman"/>
                <w:b w:val="0"/>
                <w:i w:val="0"/>
                <w:color w:val="000000"/>
                <w:sz w:val="16"/>
              </w:rPr>
              <w:t>1.36</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Disease</w:t>
            </w:r>
          </w:p>
        </w:tc>
        <w:tc>
          <w:tcPr>
            <w:tcW w:type="dxa" w:w="1800"/>
            <w:vAlign w:val="center"/>
          </w:tcPr>
          <w:p>
            <w:pPr>
              <w:spacing w:before="0" w:after="0" w:line="240" w:lineRule="auto"/>
              <w:jc w:val="left"/>
            </w:pPr>
            <w:r>
              <w:rPr>
                <w:rFonts w:ascii="Times New Roman" w:hAnsi="Times New Roman"/>
                <w:b w:val="0"/>
                <w:i w:val="0"/>
                <w:color w:val="000000"/>
                <w:sz w:val="16"/>
              </w:rPr>
              <w:t>scarlet fever</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19</w:t>
            </w:r>
          </w:p>
        </w:tc>
        <w:tc>
          <w:tcPr>
            <w:tcW w:type="dxa" w:w="1512"/>
            <w:vAlign w:val="center"/>
          </w:tcPr>
          <w:p>
            <w:pPr>
              <w:spacing w:before="0" w:after="0" w:line="240" w:lineRule="auto"/>
              <w:jc w:val="center"/>
            </w:pPr>
            <w:r>
              <w:rPr>
                <w:rFonts w:ascii="Times New Roman" w:hAnsi="Times New Roman"/>
                <w:b w:val="0"/>
                <w:i w:val="0"/>
                <w:color w:val="000000"/>
                <w:sz w:val="16"/>
              </w:rPr>
              <w:t>3.69</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Disease</w:t>
            </w:r>
          </w:p>
        </w:tc>
        <w:tc>
          <w:tcPr>
            <w:tcW w:type="dxa" w:w="1800"/>
            <w:vAlign w:val="center"/>
          </w:tcPr>
          <w:p>
            <w:pPr>
              <w:spacing w:before="0" w:after="0" w:line="240" w:lineRule="auto"/>
              <w:jc w:val="left"/>
            </w:pPr>
            <w:r>
              <w:rPr>
                <w:rFonts w:ascii="Times New Roman" w:hAnsi="Times New Roman"/>
                <w:b w:val="0"/>
                <w:i w:val="0"/>
                <w:color w:val="000000"/>
                <w:sz w:val="16"/>
              </w:rPr>
              <w:t>cholera</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9</w:t>
            </w:r>
          </w:p>
        </w:tc>
        <w:tc>
          <w:tcPr>
            <w:tcW w:type="dxa" w:w="1512"/>
            <w:vAlign w:val="center"/>
          </w:tcPr>
          <w:p>
            <w:pPr>
              <w:spacing w:before="0" w:after="0" w:line="240" w:lineRule="auto"/>
              <w:jc w:val="center"/>
            </w:pPr>
            <w:r>
              <w:rPr>
                <w:rFonts w:ascii="Times New Roman" w:hAnsi="Times New Roman"/>
                <w:b w:val="0"/>
                <w:i w:val="0"/>
                <w:color w:val="000000"/>
                <w:sz w:val="16"/>
              </w:rPr>
              <w:t>1.75</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Disease</w:t>
            </w:r>
          </w:p>
        </w:tc>
        <w:tc>
          <w:tcPr>
            <w:tcW w:type="dxa" w:w="1800"/>
            <w:vAlign w:val="center"/>
          </w:tcPr>
          <w:p>
            <w:pPr>
              <w:spacing w:before="0" w:after="0" w:line="240" w:lineRule="auto"/>
              <w:jc w:val="left"/>
            </w:pPr>
            <w:r>
              <w:rPr>
                <w:rFonts w:ascii="Times New Roman" w:hAnsi="Times New Roman"/>
                <w:b w:val="0"/>
                <w:i w:val="0"/>
                <w:color w:val="000000"/>
                <w:sz w:val="16"/>
              </w:rPr>
              <w:t>smallpox</w:t>
            </w:r>
          </w:p>
        </w:tc>
        <w:tc>
          <w:tcPr>
            <w:tcW w:type="dxa" w:w="3096"/>
            <w:vAlign w:val="center"/>
          </w:tcPr>
          <w:p>
            <w:pPr>
              <w:spacing w:before="0" w:after="0" w:line="240" w:lineRule="auto"/>
              <w:jc w:val="left"/>
            </w:pPr>
            <w:r>
              <w:rPr>
                <w:rFonts w:ascii="Times New Roman" w:hAnsi="Times New Roman"/>
                <w:b w:val="0"/>
                <w:i w:val="0"/>
                <w:color w:val="000000"/>
                <w:sz w:val="16"/>
              </w:rPr>
              <w:t>small-pox</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Disease concept with source-verified hyphenated surface form in the corpus.</w:t>
            </w:r>
          </w:p>
        </w:tc>
        <w:tc>
          <w:tcPr>
            <w:tcW w:type="dxa" w:w="936"/>
            <w:vAlign w:val="center"/>
          </w:tcPr>
          <w:p>
            <w:pPr>
              <w:spacing w:before="0" w:after="0" w:line="240" w:lineRule="auto"/>
              <w:jc w:val="center"/>
            </w:pPr>
            <w:r>
              <w:rPr>
                <w:rFonts w:ascii="Times New Roman" w:hAnsi="Times New Roman"/>
                <w:b w:val="0"/>
                <w:i w:val="0"/>
                <w:color w:val="000000"/>
                <w:sz w:val="16"/>
              </w:rPr>
              <w:t>45</w:t>
            </w:r>
          </w:p>
        </w:tc>
        <w:tc>
          <w:tcPr>
            <w:tcW w:type="dxa" w:w="1512"/>
            <w:vAlign w:val="center"/>
          </w:tcPr>
          <w:p>
            <w:pPr>
              <w:spacing w:before="0" w:after="0" w:line="240" w:lineRule="auto"/>
              <w:jc w:val="center"/>
            </w:pPr>
            <w:r>
              <w:rPr>
                <w:rFonts w:ascii="Times New Roman" w:hAnsi="Times New Roman"/>
                <w:b w:val="0"/>
                <w:i w:val="0"/>
                <w:color w:val="000000"/>
                <w:sz w:val="16"/>
              </w:rPr>
              <w:t>8.75</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Disease</w:t>
            </w:r>
          </w:p>
        </w:tc>
        <w:tc>
          <w:tcPr>
            <w:tcW w:type="dxa" w:w="1800"/>
            <w:vAlign w:val="center"/>
          </w:tcPr>
          <w:p>
            <w:pPr>
              <w:spacing w:before="0" w:after="0" w:line="240" w:lineRule="auto"/>
              <w:jc w:val="left"/>
            </w:pPr>
            <w:r>
              <w:rPr>
                <w:rFonts w:ascii="Times New Roman" w:hAnsi="Times New Roman"/>
                <w:b w:val="0"/>
                <w:i w:val="0"/>
                <w:color w:val="000000"/>
                <w:sz w:val="16"/>
              </w:rPr>
              <w:t>typhus</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2</w:t>
            </w:r>
          </w:p>
        </w:tc>
        <w:tc>
          <w:tcPr>
            <w:tcW w:type="dxa" w:w="1512"/>
            <w:vAlign w:val="center"/>
          </w:tcPr>
          <w:p>
            <w:pPr>
              <w:spacing w:before="0" w:after="0" w:line="240" w:lineRule="auto"/>
              <w:jc w:val="center"/>
            </w:pPr>
            <w:r>
              <w:rPr>
                <w:rFonts w:ascii="Times New Roman" w:hAnsi="Times New Roman"/>
                <w:b w:val="0"/>
                <w:i w:val="0"/>
                <w:color w:val="000000"/>
                <w:sz w:val="16"/>
              </w:rPr>
              <w:t>0.39</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Disease</w:t>
            </w:r>
          </w:p>
        </w:tc>
        <w:tc>
          <w:tcPr>
            <w:tcW w:type="dxa" w:w="1800"/>
            <w:vAlign w:val="center"/>
          </w:tcPr>
          <w:p>
            <w:pPr>
              <w:spacing w:before="0" w:after="0" w:line="240" w:lineRule="auto"/>
              <w:jc w:val="left"/>
            </w:pPr>
            <w:r>
              <w:rPr>
                <w:rFonts w:ascii="Times New Roman" w:hAnsi="Times New Roman"/>
                <w:b w:val="0"/>
                <w:i w:val="0"/>
                <w:color w:val="000000"/>
                <w:sz w:val="16"/>
              </w:rPr>
              <w:t>typhoid</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1</w:t>
            </w:r>
          </w:p>
        </w:tc>
        <w:tc>
          <w:tcPr>
            <w:tcW w:type="dxa" w:w="1512"/>
            <w:vAlign w:val="center"/>
          </w:tcPr>
          <w:p>
            <w:pPr>
              <w:spacing w:before="0" w:after="0" w:line="240" w:lineRule="auto"/>
              <w:jc w:val="center"/>
            </w:pPr>
            <w:r>
              <w:rPr>
                <w:rFonts w:ascii="Times New Roman" w:hAnsi="Times New Roman"/>
                <w:b w:val="0"/>
                <w:i w:val="0"/>
                <w:color w:val="000000"/>
                <w:sz w:val="16"/>
              </w:rPr>
              <w:t>0.19</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Disease</w:t>
            </w:r>
          </w:p>
        </w:tc>
        <w:tc>
          <w:tcPr>
            <w:tcW w:type="dxa" w:w="1800"/>
            <w:vAlign w:val="center"/>
          </w:tcPr>
          <w:p>
            <w:pPr>
              <w:spacing w:before="0" w:after="0" w:line="240" w:lineRule="auto"/>
              <w:jc w:val="left"/>
            </w:pPr>
            <w:r>
              <w:rPr>
                <w:rFonts w:ascii="Times New Roman" w:hAnsi="Times New Roman"/>
                <w:b w:val="0"/>
                <w:i w:val="0"/>
                <w:color w:val="000000"/>
                <w:sz w:val="16"/>
              </w:rPr>
              <w:t>measles</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4</w:t>
            </w:r>
          </w:p>
        </w:tc>
        <w:tc>
          <w:tcPr>
            <w:tcW w:type="dxa" w:w="1512"/>
            <w:vAlign w:val="center"/>
          </w:tcPr>
          <w:p>
            <w:pPr>
              <w:spacing w:before="0" w:after="0" w:line="240" w:lineRule="auto"/>
              <w:jc w:val="center"/>
            </w:pPr>
            <w:r>
              <w:rPr>
                <w:rFonts w:ascii="Times New Roman" w:hAnsi="Times New Roman"/>
                <w:b w:val="0"/>
                <w:i w:val="0"/>
                <w:color w:val="000000"/>
                <w:sz w:val="16"/>
              </w:rPr>
              <w:t>0.78</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Disease</w:t>
            </w:r>
          </w:p>
        </w:tc>
        <w:tc>
          <w:tcPr>
            <w:tcW w:type="dxa" w:w="1800"/>
            <w:vAlign w:val="center"/>
          </w:tcPr>
          <w:p>
            <w:pPr>
              <w:spacing w:before="0" w:after="0" w:line="240" w:lineRule="auto"/>
              <w:jc w:val="left"/>
            </w:pPr>
            <w:r>
              <w:rPr>
                <w:rFonts w:ascii="Times New Roman" w:hAnsi="Times New Roman"/>
                <w:b w:val="0"/>
                <w:i w:val="0"/>
                <w:color w:val="000000"/>
                <w:sz w:val="16"/>
              </w:rPr>
              <w:t>influenza</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3</w:t>
            </w:r>
          </w:p>
        </w:tc>
        <w:tc>
          <w:tcPr>
            <w:tcW w:type="dxa" w:w="1512"/>
            <w:vAlign w:val="center"/>
          </w:tcPr>
          <w:p>
            <w:pPr>
              <w:spacing w:before="0" w:after="0" w:line="240" w:lineRule="auto"/>
              <w:jc w:val="center"/>
            </w:pPr>
            <w:r>
              <w:rPr>
                <w:rFonts w:ascii="Times New Roman" w:hAnsi="Times New Roman"/>
                <w:b w:val="0"/>
                <w:i w:val="0"/>
                <w:color w:val="000000"/>
                <w:sz w:val="16"/>
              </w:rPr>
              <w:t>0.58</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Disease</w:t>
            </w:r>
          </w:p>
        </w:tc>
        <w:tc>
          <w:tcPr>
            <w:tcW w:type="dxa" w:w="1800"/>
            <w:vAlign w:val="center"/>
          </w:tcPr>
          <w:p>
            <w:pPr>
              <w:spacing w:before="0" w:after="0" w:line="240" w:lineRule="auto"/>
              <w:jc w:val="left"/>
            </w:pPr>
            <w:r>
              <w:rPr>
                <w:rFonts w:ascii="Times New Roman" w:hAnsi="Times New Roman"/>
                <w:b w:val="0"/>
                <w:i w:val="0"/>
                <w:color w:val="000000"/>
                <w:sz w:val="16"/>
              </w:rPr>
              <w:t>diphtheria</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16</w:t>
            </w:r>
          </w:p>
        </w:tc>
        <w:tc>
          <w:tcPr>
            <w:tcW w:type="dxa" w:w="1512"/>
            <w:vAlign w:val="center"/>
          </w:tcPr>
          <w:p>
            <w:pPr>
              <w:spacing w:before="0" w:after="0" w:line="240" w:lineRule="auto"/>
              <w:jc w:val="center"/>
            </w:pPr>
            <w:r>
              <w:rPr>
                <w:rFonts w:ascii="Times New Roman" w:hAnsi="Times New Roman"/>
                <w:b w:val="0"/>
                <w:i w:val="0"/>
                <w:color w:val="000000"/>
                <w:sz w:val="16"/>
              </w:rPr>
              <w:t>3.11</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Disease</w:t>
            </w:r>
          </w:p>
        </w:tc>
        <w:tc>
          <w:tcPr>
            <w:tcW w:type="dxa" w:w="1800"/>
            <w:vAlign w:val="center"/>
          </w:tcPr>
          <w:p>
            <w:pPr>
              <w:spacing w:before="0" w:after="0" w:line="240" w:lineRule="auto"/>
              <w:jc w:val="left"/>
            </w:pPr>
            <w:r>
              <w:rPr>
                <w:rFonts w:ascii="Times New Roman" w:hAnsi="Times New Roman"/>
                <w:b w:val="0"/>
                <w:i w:val="0"/>
                <w:color w:val="000000"/>
                <w:sz w:val="16"/>
              </w:rPr>
              <w:t>diarrhoea</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6</w:t>
            </w:r>
          </w:p>
        </w:tc>
        <w:tc>
          <w:tcPr>
            <w:tcW w:type="dxa" w:w="1512"/>
            <w:vAlign w:val="center"/>
          </w:tcPr>
          <w:p>
            <w:pPr>
              <w:spacing w:before="0" w:after="0" w:line="240" w:lineRule="auto"/>
              <w:jc w:val="center"/>
            </w:pPr>
            <w:r>
              <w:rPr>
                <w:rFonts w:ascii="Times New Roman" w:hAnsi="Times New Roman"/>
                <w:b w:val="0"/>
                <w:i w:val="0"/>
                <w:color w:val="000000"/>
                <w:sz w:val="16"/>
              </w:rPr>
              <w:t>1.17</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Disease</w:t>
            </w:r>
          </w:p>
        </w:tc>
        <w:tc>
          <w:tcPr>
            <w:tcW w:type="dxa" w:w="1800"/>
            <w:vAlign w:val="center"/>
          </w:tcPr>
          <w:p>
            <w:pPr>
              <w:spacing w:before="0" w:after="0" w:line="240" w:lineRule="auto"/>
              <w:jc w:val="left"/>
            </w:pPr>
            <w:r>
              <w:rPr>
                <w:rFonts w:ascii="Times New Roman" w:hAnsi="Times New Roman"/>
                <w:b w:val="0"/>
                <w:i w:val="0"/>
                <w:color w:val="000000"/>
                <w:sz w:val="16"/>
              </w:rPr>
              <w:t>consumption</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2</w:t>
            </w:r>
          </w:p>
        </w:tc>
        <w:tc>
          <w:tcPr>
            <w:tcW w:type="dxa" w:w="1512"/>
            <w:vAlign w:val="center"/>
          </w:tcPr>
          <w:p>
            <w:pPr>
              <w:spacing w:before="0" w:after="0" w:line="240" w:lineRule="auto"/>
              <w:jc w:val="center"/>
            </w:pPr>
            <w:r>
              <w:rPr>
                <w:rFonts w:ascii="Times New Roman" w:hAnsi="Times New Roman"/>
                <w:b w:val="0"/>
                <w:i w:val="0"/>
                <w:color w:val="000000"/>
                <w:sz w:val="16"/>
              </w:rPr>
              <w:t>0.39</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Disease</w:t>
            </w:r>
          </w:p>
        </w:tc>
        <w:tc>
          <w:tcPr>
            <w:tcW w:type="dxa" w:w="1800"/>
            <w:vAlign w:val="center"/>
          </w:tcPr>
          <w:p>
            <w:pPr>
              <w:spacing w:before="0" w:after="0" w:line="240" w:lineRule="auto"/>
              <w:jc w:val="left"/>
            </w:pPr>
            <w:r>
              <w:rPr>
                <w:rFonts w:ascii="Times New Roman" w:hAnsi="Times New Roman"/>
                <w:b w:val="0"/>
                <w:i w:val="0"/>
                <w:color w:val="000000"/>
                <w:sz w:val="16"/>
              </w:rPr>
              <w:t>notification</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13</w:t>
            </w:r>
          </w:p>
        </w:tc>
        <w:tc>
          <w:tcPr>
            <w:tcW w:type="dxa" w:w="1512"/>
            <w:vAlign w:val="center"/>
          </w:tcPr>
          <w:p>
            <w:pPr>
              <w:spacing w:before="0" w:after="0" w:line="240" w:lineRule="auto"/>
              <w:jc w:val="center"/>
            </w:pPr>
            <w:r>
              <w:rPr>
                <w:rFonts w:ascii="Times New Roman" w:hAnsi="Times New Roman"/>
                <w:b w:val="0"/>
                <w:i w:val="0"/>
                <w:color w:val="000000"/>
                <w:sz w:val="16"/>
              </w:rPr>
              <w:t>2.53</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Disease</w:t>
            </w:r>
          </w:p>
        </w:tc>
        <w:tc>
          <w:tcPr>
            <w:tcW w:type="dxa" w:w="1800"/>
            <w:vAlign w:val="center"/>
          </w:tcPr>
          <w:p>
            <w:pPr>
              <w:spacing w:before="0" w:after="0" w:line="240" w:lineRule="auto"/>
              <w:jc w:val="left"/>
            </w:pPr>
            <w:r>
              <w:rPr>
                <w:rFonts w:ascii="Times New Roman" w:hAnsi="Times New Roman"/>
                <w:b w:val="0"/>
                <w:i w:val="0"/>
                <w:color w:val="000000"/>
                <w:sz w:val="16"/>
              </w:rPr>
              <w:t>isolation</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6</w:t>
            </w:r>
          </w:p>
        </w:tc>
        <w:tc>
          <w:tcPr>
            <w:tcW w:type="dxa" w:w="1512"/>
            <w:vAlign w:val="center"/>
          </w:tcPr>
          <w:p>
            <w:pPr>
              <w:spacing w:before="0" w:after="0" w:line="240" w:lineRule="auto"/>
              <w:jc w:val="center"/>
            </w:pPr>
            <w:r>
              <w:rPr>
                <w:rFonts w:ascii="Times New Roman" w:hAnsi="Times New Roman"/>
                <w:b w:val="0"/>
                <w:i w:val="0"/>
                <w:color w:val="000000"/>
                <w:sz w:val="16"/>
              </w:rPr>
              <w:t>1.17</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Sanitation</w:t>
            </w:r>
          </w:p>
        </w:tc>
        <w:tc>
          <w:tcPr>
            <w:tcW w:type="dxa" w:w="1800"/>
            <w:vAlign w:val="center"/>
          </w:tcPr>
          <w:p>
            <w:pPr>
              <w:spacing w:before="0" w:after="0" w:line="240" w:lineRule="auto"/>
              <w:jc w:val="left"/>
            </w:pPr>
            <w:r>
              <w:rPr>
                <w:rFonts w:ascii="Times New Roman" w:hAnsi="Times New Roman"/>
                <w:b w:val="0"/>
                <w:i w:val="0"/>
                <w:color w:val="000000"/>
                <w:sz w:val="16"/>
              </w:rPr>
              <w:t>sanitary</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99</w:t>
            </w:r>
          </w:p>
        </w:tc>
        <w:tc>
          <w:tcPr>
            <w:tcW w:type="dxa" w:w="1512"/>
            <w:vAlign w:val="center"/>
          </w:tcPr>
          <w:p>
            <w:pPr>
              <w:spacing w:before="0" w:after="0" w:line="240" w:lineRule="auto"/>
              <w:jc w:val="center"/>
            </w:pPr>
            <w:r>
              <w:rPr>
                <w:rFonts w:ascii="Times New Roman" w:hAnsi="Times New Roman"/>
                <w:b w:val="0"/>
                <w:i w:val="0"/>
                <w:color w:val="000000"/>
                <w:sz w:val="16"/>
              </w:rPr>
              <w:t>19.25</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Sanitation</w:t>
            </w:r>
          </w:p>
        </w:tc>
        <w:tc>
          <w:tcPr>
            <w:tcW w:type="dxa" w:w="1800"/>
            <w:vAlign w:val="center"/>
          </w:tcPr>
          <w:p>
            <w:pPr>
              <w:spacing w:before="0" w:after="0" w:line="240" w:lineRule="auto"/>
              <w:jc w:val="left"/>
            </w:pPr>
            <w:r>
              <w:rPr>
                <w:rFonts w:ascii="Times New Roman" w:hAnsi="Times New Roman"/>
                <w:b w:val="0"/>
                <w:i w:val="0"/>
                <w:color w:val="000000"/>
                <w:sz w:val="16"/>
              </w:rPr>
              <w:t>sanitation</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3</w:t>
            </w:r>
          </w:p>
        </w:tc>
        <w:tc>
          <w:tcPr>
            <w:tcW w:type="dxa" w:w="1512"/>
            <w:vAlign w:val="center"/>
          </w:tcPr>
          <w:p>
            <w:pPr>
              <w:spacing w:before="0" w:after="0" w:line="240" w:lineRule="auto"/>
              <w:jc w:val="center"/>
            </w:pPr>
            <w:r>
              <w:rPr>
                <w:rFonts w:ascii="Times New Roman" w:hAnsi="Times New Roman"/>
                <w:b w:val="0"/>
                <w:i w:val="0"/>
                <w:color w:val="000000"/>
                <w:sz w:val="16"/>
              </w:rPr>
              <w:t>0.58</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Sanitation</w:t>
            </w:r>
          </w:p>
        </w:tc>
        <w:tc>
          <w:tcPr>
            <w:tcW w:type="dxa" w:w="1800"/>
            <w:vAlign w:val="center"/>
          </w:tcPr>
          <w:p>
            <w:pPr>
              <w:spacing w:before="0" w:after="0" w:line="240" w:lineRule="auto"/>
              <w:jc w:val="left"/>
            </w:pPr>
            <w:r>
              <w:rPr>
                <w:rFonts w:ascii="Times New Roman" w:hAnsi="Times New Roman"/>
                <w:b w:val="0"/>
                <w:i w:val="0"/>
                <w:color w:val="000000"/>
                <w:sz w:val="16"/>
              </w:rPr>
              <w:t>sewer</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4</w:t>
            </w:r>
          </w:p>
        </w:tc>
        <w:tc>
          <w:tcPr>
            <w:tcW w:type="dxa" w:w="1512"/>
            <w:vAlign w:val="center"/>
          </w:tcPr>
          <w:p>
            <w:pPr>
              <w:spacing w:before="0" w:after="0" w:line="240" w:lineRule="auto"/>
              <w:jc w:val="center"/>
            </w:pPr>
            <w:r>
              <w:rPr>
                <w:rFonts w:ascii="Times New Roman" w:hAnsi="Times New Roman"/>
                <w:b w:val="0"/>
                <w:i w:val="0"/>
                <w:color w:val="000000"/>
                <w:sz w:val="16"/>
              </w:rPr>
              <w:t>0.78</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Sanitation</w:t>
            </w:r>
          </w:p>
        </w:tc>
        <w:tc>
          <w:tcPr>
            <w:tcW w:type="dxa" w:w="1800"/>
            <w:vAlign w:val="center"/>
          </w:tcPr>
          <w:p>
            <w:pPr>
              <w:spacing w:before="0" w:after="0" w:line="240" w:lineRule="auto"/>
              <w:jc w:val="left"/>
            </w:pPr>
            <w:r>
              <w:rPr>
                <w:rFonts w:ascii="Times New Roman" w:hAnsi="Times New Roman"/>
                <w:b w:val="0"/>
                <w:i w:val="0"/>
                <w:color w:val="000000"/>
                <w:sz w:val="16"/>
              </w:rPr>
              <w:t>sewers</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1</w:t>
            </w:r>
          </w:p>
        </w:tc>
        <w:tc>
          <w:tcPr>
            <w:tcW w:type="dxa" w:w="1512"/>
            <w:vAlign w:val="center"/>
          </w:tcPr>
          <w:p>
            <w:pPr>
              <w:spacing w:before="0" w:after="0" w:line="240" w:lineRule="auto"/>
              <w:jc w:val="center"/>
            </w:pPr>
            <w:r>
              <w:rPr>
                <w:rFonts w:ascii="Times New Roman" w:hAnsi="Times New Roman"/>
                <w:b w:val="0"/>
                <w:i w:val="0"/>
                <w:color w:val="000000"/>
                <w:sz w:val="16"/>
              </w:rPr>
              <w:t>0.19</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Sanitation</w:t>
            </w:r>
          </w:p>
        </w:tc>
        <w:tc>
          <w:tcPr>
            <w:tcW w:type="dxa" w:w="1800"/>
            <w:vAlign w:val="center"/>
          </w:tcPr>
          <w:p>
            <w:pPr>
              <w:spacing w:before="0" w:after="0" w:line="240" w:lineRule="auto"/>
              <w:jc w:val="left"/>
            </w:pPr>
            <w:r>
              <w:rPr>
                <w:rFonts w:ascii="Times New Roman" w:hAnsi="Times New Roman"/>
                <w:b w:val="0"/>
                <w:i w:val="0"/>
                <w:color w:val="000000"/>
                <w:sz w:val="16"/>
              </w:rPr>
              <w:t>sewage</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0</w:t>
            </w:r>
          </w:p>
        </w:tc>
        <w:tc>
          <w:tcPr>
            <w:tcW w:type="dxa" w:w="1512"/>
            <w:vAlign w:val="center"/>
          </w:tcPr>
          <w:p>
            <w:pPr>
              <w:spacing w:before="0" w:after="0" w:line="240" w:lineRule="auto"/>
              <w:jc w:val="center"/>
            </w:pPr>
            <w:r>
              <w:rPr>
                <w:rFonts w:ascii="Times New Roman" w:hAnsi="Times New Roman"/>
                <w:b w:val="0"/>
                <w:i w:val="0"/>
                <w:color w:val="000000"/>
                <w:sz w:val="16"/>
              </w:rPr>
              <w:t>0.00</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Sanitation</w:t>
            </w:r>
          </w:p>
        </w:tc>
        <w:tc>
          <w:tcPr>
            <w:tcW w:type="dxa" w:w="1800"/>
            <w:vAlign w:val="center"/>
          </w:tcPr>
          <w:p>
            <w:pPr>
              <w:spacing w:before="0" w:after="0" w:line="240" w:lineRule="auto"/>
              <w:jc w:val="left"/>
            </w:pPr>
            <w:r>
              <w:rPr>
                <w:rFonts w:ascii="Times New Roman" w:hAnsi="Times New Roman"/>
                <w:b w:val="0"/>
                <w:i w:val="0"/>
                <w:color w:val="000000"/>
                <w:sz w:val="16"/>
              </w:rPr>
              <w:t>drainage</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29</w:t>
            </w:r>
          </w:p>
        </w:tc>
        <w:tc>
          <w:tcPr>
            <w:tcW w:type="dxa" w:w="1512"/>
            <w:vAlign w:val="center"/>
          </w:tcPr>
          <w:p>
            <w:pPr>
              <w:spacing w:before="0" w:after="0" w:line="240" w:lineRule="auto"/>
              <w:jc w:val="center"/>
            </w:pPr>
            <w:r>
              <w:rPr>
                <w:rFonts w:ascii="Times New Roman" w:hAnsi="Times New Roman"/>
                <w:b w:val="0"/>
                <w:i w:val="0"/>
                <w:color w:val="000000"/>
                <w:sz w:val="16"/>
              </w:rPr>
              <w:t>5.64</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Sanitation</w:t>
            </w:r>
          </w:p>
        </w:tc>
        <w:tc>
          <w:tcPr>
            <w:tcW w:type="dxa" w:w="1800"/>
            <w:vAlign w:val="center"/>
          </w:tcPr>
          <w:p>
            <w:pPr>
              <w:spacing w:before="0" w:after="0" w:line="240" w:lineRule="auto"/>
              <w:jc w:val="left"/>
            </w:pPr>
            <w:r>
              <w:rPr>
                <w:rFonts w:ascii="Times New Roman" w:hAnsi="Times New Roman"/>
                <w:b w:val="0"/>
                <w:i w:val="0"/>
                <w:color w:val="000000"/>
                <w:sz w:val="16"/>
              </w:rPr>
              <w:t>drain</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37</w:t>
            </w:r>
          </w:p>
        </w:tc>
        <w:tc>
          <w:tcPr>
            <w:tcW w:type="dxa" w:w="1512"/>
            <w:vAlign w:val="center"/>
          </w:tcPr>
          <w:p>
            <w:pPr>
              <w:spacing w:before="0" w:after="0" w:line="240" w:lineRule="auto"/>
              <w:jc w:val="center"/>
            </w:pPr>
            <w:r>
              <w:rPr>
                <w:rFonts w:ascii="Times New Roman" w:hAnsi="Times New Roman"/>
                <w:b w:val="0"/>
                <w:i w:val="0"/>
                <w:color w:val="000000"/>
                <w:sz w:val="16"/>
              </w:rPr>
              <w:t>7.19</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Sanitation</w:t>
            </w:r>
          </w:p>
        </w:tc>
        <w:tc>
          <w:tcPr>
            <w:tcW w:type="dxa" w:w="1800"/>
            <w:vAlign w:val="center"/>
          </w:tcPr>
          <w:p>
            <w:pPr>
              <w:spacing w:before="0" w:after="0" w:line="240" w:lineRule="auto"/>
              <w:jc w:val="left"/>
            </w:pPr>
            <w:r>
              <w:rPr>
                <w:rFonts w:ascii="Times New Roman" w:hAnsi="Times New Roman"/>
                <w:b w:val="0"/>
                <w:i w:val="0"/>
                <w:color w:val="000000"/>
                <w:sz w:val="16"/>
              </w:rPr>
              <w:t>drains</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10</w:t>
            </w:r>
          </w:p>
        </w:tc>
        <w:tc>
          <w:tcPr>
            <w:tcW w:type="dxa" w:w="1512"/>
            <w:vAlign w:val="center"/>
          </w:tcPr>
          <w:p>
            <w:pPr>
              <w:spacing w:before="0" w:after="0" w:line="240" w:lineRule="auto"/>
              <w:jc w:val="center"/>
            </w:pPr>
            <w:r>
              <w:rPr>
                <w:rFonts w:ascii="Times New Roman" w:hAnsi="Times New Roman"/>
                <w:b w:val="0"/>
                <w:i w:val="0"/>
                <w:color w:val="000000"/>
                <w:sz w:val="16"/>
              </w:rPr>
              <w:t>1.94</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Sanitation</w:t>
            </w:r>
          </w:p>
        </w:tc>
        <w:tc>
          <w:tcPr>
            <w:tcW w:type="dxa" w:w="1800"/>
            <w:vAlign w:val="center"/>
          </w:tcPr>
          <w:p>
            <w:pPr>
              <w:spacing w:before="0" w:after="0" w:line="240" w:lineRule="auto"/>
              <w:jc w:val="left"/>
            </w:pPr>
            <w:r>
              <w:rPr>
                <w:rFonts w:ascii="Times New Roman" w:hAnsi="Times New Roman"/>
                <w:b w:val="0"/>
                <w:i w:val="0"/>
                <w:color w:val="000000"/>
                <w:sz w:val="16"/>
              </w:rPr>
              <w:t>nuisance</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39</w:t>
            </w:r>
          </w:p>
        </w:tc>
        <w:tc>
          <w:tcPr>
            <w:tcW w:type="dxa" w:w="1512"/>
            <w:vAlign w:val="center"/>
          </w:tcPr>
          <w:p>
            <w:pPr>
              <w:spacing w:before="0" w:after="0" w:line="240" w:lineRule="auto"/>
              <w:jc w:val="center"/>
            </w:pPr>
            <w:r>
              <w:rPr>
                <w:rFonts w:ascii="Times New Roman" w:hAnsi="Times New Roman"/>
                <w:b w:val="0"/>
                <w:i w:val="0"/>
                <w:color w:val="000000"/>
                <w:sz w:val="16"/>
              </w:rPr>
              <w:t>7.58</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Sanitation</w:t>
            </w:r>
          </w:p>
        </w:tc>
        <w:tc>
          <w:tcPr>
            <w:tcW w:type="dxa" w:w="1800"/>
            <w:vAlign w:val="center"/>
          </w:tcPr>
          <w:p>
            <w:pPr>
              <w:spacing w:before="0" w:after="0" w:line="240" w:lineRule="auto"/>
              <w:jc w:val="left"/>
            </w:pPr>
            <w:r>
              <w:rPr>
                <w:rFonts w:ascii="Times New Roman" w:hAnsi="Times New Roman"/>
                <w:b w:val="0"/>
                <w:i w:val="0"/>
                <w:color w:val="000000"/>
                <w:sz w:val="16"/>
              </w:rPr>
              <w:t>nuisances</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19</w:t>
            </w:r>
          </w:p>
        </w:tc>
        <w:tc>
          <w:tcPr>
            <w:tcW w:type="dxa" w:w="1512"/>
            <w:vAlign w:val="center"/>
          </w:tcPr>
          <w:p>
            <w:pPr>
              <w:spacing w:before="0" w:after="0" w:line="240" w:lineRule="auto"/>
              <w:jc w:val="center"/>
            </w:pPr>
            <w:r>
              <w:rPr>
                <w:rFonts w:ascii="Times New Roman" w:hAnsi="Times New Roman"/>
                <w:b w:val="0"/>
                <w:i w:val="0"/>
                <w:color w:val="000000"/>
                <w:sz w:val="16"/>
              </w:rPr>
              <w:t>3.69</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Sanitation</w:t>
            </w:r>
          </w:p>
        </w:tc>
        <w:tc>
          <w:tcPr>
            <w:tcW w:type="dxa" w:w="1800"/>
            <w:vAlign w:val="center"/>
          </w:tcPr>
          <w:p>
            <w:pPr>
              <w:spacing w:before="0" w:after="0" w:line="240" w:lineRule="auto"/>
              <w:jc w:val="left"/>
            </w:pPr>
            <w:r>
              <w:rPr>
                <w:rFonts w:ascii="Times New Roman" w:hAnsi="Times New Roman"/>
                <w:b w:val="0"/>
                <w:i w:val="0"/>
                <w:color w:val="000000"/>
                <w:sz w:val="16"/>
              </w:rPr>
              <w:t>filth</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29</w:t>
            </w:r>
          </w:p>
        </w:tc>
        <w:tc>
          <w:tcPr>
            <w:tcW w:type="dxa" w:w="1512"/>
            <w:vAlign w:val="center"/>
          </w:tcPr>
          <w:p>
            <w:pPr>
              <w:spacing w:before="0" w:after="0" w:line="240" w:lineRule="auto"/>
              <w:jc w:val="center"/>
            </w:pPr>
            <w:r>
              <w:rPr>
                <w:rFonts w:ascii="Times New Roman" w:hAnsi="Times New Roman"/>
                <w:b w:val="0"/>
                <w:i w:val="0"/>
                <w:color w:val="000000"/>
                <w:sz w:val="16"/>
              </w:rPr>
              <w:t>5.64</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Sanitation</w:t>
            </w:r>
          </w:p>
        </w:tc>
        <w:tc>
          <w:tcPr>
            <w:tcW w:type="dxa" w:w="1800"/>
            <w:vAlign w:val="center"/>
          </w:tcPr>
          <w:p>
            <w:pPr>
              <w:spacing w:before="0" w:after="0" w:line="240" w:lineRule="auto"/>
              <w:jc w:val="left"/>
            </w:pPr>
            <w:r>
              <w:rPr>
                <w:rFonts w:ascii="Times New Roman" w:hAnsi="Times New Roman"/>
                <w:b w:val="0"/>
                <w:i w:val="0"/>
                <w:color w:val="000000"/>
                <w:sz w:val="16"/>
              </w:rPr>
              <w:t>dirty</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30</w:t>
            </w:r>
          </w:p>
        </w:tc>
        <w:tc>
          <w:tcPr>
            <w:tcW w:type="dxa" w:w="1512"/>
            <w:vAlign w:val="center"/>
          </w:tcPr>
          <w:p>
            <w:pPr>
              <w:spacing w:before="0" w:after="0" w:line="240" w:lineRule="auto"/>
              <w:jc w:val="center"/>
            </w:pPr>
            <w:r>
              <w:rPr>
                <w:rFonts w:ascii="Times New Roman" w:hAnsi="Times New Roman"/>
                <w:b w:val="0"/>
                <w:i w:val="0"/>
                <w:color w:val="000000"/>
                <w:sz w:val="16"/>
              </w:rPr>
              <w:t>5.83</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Sanitation</w:t>
            </w:r>
          </w:p>
        </w:tc>
        <w:tc>
          <w:tcPr>
            <w:tcW w:type="dxa" w:w="1800"/>
            <w:vAlign w:val="center"/>
          </w:tcPr>
          <w:p>
            <w:pPr>
              <w:spacing w:before="0" w:after="0" w:line="240" w:lineRule="auto"/>
              <w:jc w:val="left"/>
            </w:pPr>
            <w:r>
              <w:rPr>
                <w:rFonts w:ascii="Times New Roman" w:hAnsi="Times New Roman"/>
                <w:b w:val="0"/>
                <w:i w:val="0"/>
                <w:color w:val="000000"/>
                <w:sz w:val="16"/>
              </w:rPr>
              <w:t>refuse</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67</w:t>
            </w:r>
          </w:p>
        </w:tc>
        <w:tc>
          <w:tcPr>
            <w:tcW w:type="dxa" w:w="1512"/>
            <w:vAlign w:val="center"/>
          </w:tcPr>
          <w:p>
            <w:pPr>
              <w:spacing w:before="0" w:after="0" w:line="240" w:lineRule="auto"/>
              <w:jc w:val="center"/>
            </w:pPr>
            <w:r>
              <w:rPr>
                <w:rFonts w:ascii="Times New Roman" w:hAnsi="Times New Roman"/>
                <w:b w:val="0"/>
                <w:i w:val="0"/>
                <w:color w:val="000000"/>
                <w:sz w:val="16"/>
              </w:rPr>
              <w:t>13.03</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Sanitation</w:t>
            </w:r>
          </w:p>
        </w:tc>
        <w:tc>
          <w:tcPr>
            <w:tcW w:type="dxa" w:w="1800"/>
            <w:vAlign w:val="center"/>
          </w:tcPr>
          <w:p>
            <w:pPr>
              <w:spacing w:before="0" w:after="0" w:line="240" w:lineRule="auto"/>
              <w:jc w:val="left"/>
            </w:pPr>
            <w:r>
              <w:rPr>
                <w:rFonts w:ascii="Times New Roman" w:hAnsi="Times New Roman"/>
                <w:b w:val="0"/>
                <w:i w:val="0"/>
                <w:color w:val="000000"/>
                <w:sz w:val="16"/>
              </w:rPr>
              <w:t>water supply</w:t>
            </w:r>
          </w:p>
        </w:tc>
        <w:tc>
          <w:tcPr>
            <w:tcW w:type="dxa" w:w="3096"/>
            <w:vAlign w:val="center"/>
          </w:tcPr>
          <w:p>
            <w:pPr>
              <w:spacing w:before="0" w:after="0" w:line="240" w:lineRule="auto"/>
              <w:jc w:val="left"/>
            </w:pPr>
            <w:r>
              <w:rPr>
                <w:rFonts w:ascii="Times New Roman" w:hAnsi="Times New Roman"/>
                <w:b w:val="0"/>
                <w:i w:val="0"/>
                <w:color w:val="000000"/>
                <w:sz w:val="16"/>
              </w:rPr>
              <w:t>water-supply</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Sanitary infrastructure concept with source-verified hyphenated surface form.</w:t>
            </w:r>
          </w:p>
        </w:tc>
        <w:tc>
          <w:tcPr>
            <w:tcW w:type="dxa" w:w="936"/>
            <w:vAlign w:val="center"/>
          </w:tcPr>
          <w:p>
            <w:pPr>
              <w:spacing w:before="0" w:after="0" w:line="240" w:lineRule="auto"/>
              <w:jc w:val="center"/>
            </w:pPr>
            <w:r>
              <w:rPr>
                <w:rFonts w:ascii="Times New Roman" w:hAnsi="Times New Roman"/>
                <w:b w:val="0"/>
                <w:i w:val="0"/>
                <w:color w:val="000000"/>
                <w:sz w:val="16"/>
              </w:rPr>
              <w:t>34</w:t>
            </w:r>
          </w:p>
        </w:tc>
        <w:tc>
          <w:tcPr>
            <w:tcW w:type="dxa" w:w="1512"/>
            <w:vAlign w:val="center"/>
          </w:tcPr>
          <w:p>
            <w:pPr>
              <w:spacing w:before="0" w:after="0" w:line="240" w:lineRule="auto"/>
              <w:jc w:val="center"/>
            </w:pPr>
            <w:r>
              <w:rPr>
                <w:rFonts w:ascii="Times New Roman" w:hAnsi="Times New Roman"/>
                <w:b w:val="0"/>
                <w:i w:val="0"/>
                <w:color w:val="000000"/>
                <w:sz w:val="16"/>
              </w:rPr>
              <w:t>6.61</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Housing</w:t>
            </w:r>
          </w:p>
        </w:tc>
        <w:tc>
          <w:tcPr>
            <w:tcW w:type="dxa" w:w="1800"/>
            <w:vAlign w:val="center"/>
          </w:tcPr>
          <w:p>
            <w:pPr>
              <w:spacing w:before="0" w:after="0" w:line="240" w:lineRule="auto"/>
              <w:jc w:val="left"/>
            </w:pPr>
            <w:r>
              <w:rPr>
                <w:rFonts w:ascii="Times New Roman" w:hAnsi="Times New Roman"/>
                <w:b w:val="0"/>
                <w:i w:val="0"/>
                <w:color w:val="000000"/>
                <w:sz w:val="16"/>
              </w:rPr>
              <w:t>overcrowding</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13</w:t>
            </w:r>
          </w:p>
        </w:tc>
        <w:tc>
          <w:tcPr>
            <w:tcW w:type="dxa" w:w="1512"/>
            <w:vAlign w:val="center"/>
          </w:tcPr>
          <w:p>
            <w:pPr>
              <w:spacing w:before="0" w:after="0" w:line="240" w:lineRule="auto"/>
              <w:jc w:val="center"/>
            </w:pPr>
            <w:r>
              <w:rPr>
                <w:rFonts w:ascii="Times New Roman" w:hAnsi="Times New Roman"/>
                <w:b w:val="0"/>
                <w:i w:val="0"/>
                <w:color w:val="000000"/>
                <w:sz w:val="16"/>
              </w:rPr>
              <w:t>2.53</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Housing</w:t>
            </w:r>
          </w:p>
        </w:tc>
        <w:tc>
          <w:tcPr>
            <w:tcW w:type="dxa" w:w="1800"/>
            <w:vAlign w:val="center"/>
          </w:tcPr>
          <w:p>
            <w:pPr>
              <w:spacing w:before="0" w:after="0" w:line="240" w:lineRule="auto"/>
              <w:jc w:val="left"/>
            </w:pPr>
            <w:r>
              <w:rPr>
                <w:rFonts w:ascii="Times New Roman" w:hAnsi="Times New Roman"/>
                <w:b w:val="0"/>
                <w:i w:val="0"/>
                <w:color w:val="000000"/>
                <w:sz w:val="16"/>
              </w:rPr>
              <w:t>overcrowded</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9</w:t>
            </w:r>
          </w:p>
        </w:tc>
        <w:tc>
          <w:tcPr>
            <w:tcW w:type="dxa" w:w="1512"/>
            <w:vAlign w:val="center"/>
          </w:tcPr>
          <w:p>
            <w:pPr>
              <w:spacing w:before="0" w:after="0" w:line="240" w:lineRule="auto"/>
              <w:jc w:val="center"/>
            </w:pPr>
            <w:r>
              <w:rPr>
                <w:rFonts w:ascii="Times New Roman" w:hAnsi="Times New Roman"/>
                <w:b w:val="0"/>
                <w:i w:val="0"/>
                <w:color w:val="000000"/>
                <w:sz w:val="16"/>
              </w:rPr>
              <w:t>1.75</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Housing</w:t>
            </w:r>
          </w:p>
        </w:tc>
        <w:tc>
          <w:tcPr>
            <w:tcW w:type="dxa" w:w="1800"/>
            <w:vAlign w:val="center"/>
          </w:tcPr>
          <w:p>
            <w:pPr>
              <w:spacing w:before="0" w:after="0" w:line="240" w:lineRule="auto"/>
              <w:jc w:val="left"/>
            </w:pPr>
            <w:r>
              <w:rPr>
                <w:rFonts w:ascii="Times New Roman" w:hAnsi="Times New Roman"/>
                <w:b w:val="0"/>
                <w:i w:val="0"/>
                <w:color w:val="000000"/>
                <w:sz w:val="16"/>
              </w:rPr>
              <w:t>lodging house</w:t>
            </w:r>
          </w:p>
        </w:tc>
        <w:tc>
          <w:tcPr>
            <w:tcW w:type="dxa" w:w="3096"/>
            <w:vAlign w:val="center"/>
          </w:tcPr>
          <w:p>
            <w:pPr>
              <w:spacing w:before="0" w:after="0" w:line="240" w:lineRule="auto"/>
              <w:jc w:val="left"/>
            </w:pPr>
            <w:r>
              <w:rPr>
                <w:rFonts w:ascii="Times New Roman" w:hAnsi="Times New Roman"/>
                <w:b w:val="0"/>
                <w:i w:val="0"/>
                <w:color w:val="000000"/>
                <w:sz w:val="16"/>
              </w:rPr>
              <w:t>lodging-house; lodginghouse; lodging houses; lodging-houses; lodginghouses</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Accommodation form; social meaning is assessed through contextual review rather than assigned by the dictionary.</w:t>
            </w:r>
          </w:p>
        </w:tc>
        <w:tc>
          <w:tcPr>
            <w:tcW w:type="dxa" w:w="936"/>
            <w:vAlign w:val="center"/>
          </w:tcPr>
          <w:p>
            <w:pPr>
              <w:spacing w:before="0" w:after="0" w:line="240" w:lineRule="auto"/>
              <w:jc w:val="center"/>
            </w:pPr>
            <w:r>
              <w:rPr>
                <w:rFonts w:ascii="Times New Roman" w:hAnsi="Times New Roman"/>
                <w:b w:val="0"/>
                <w:i w:val="0"/>
                <w:color w:val="000000"/>
                <w:sz w:val="16"/>
              </w:rPr>
              <w:t>33</w:t>
            </w:r>
          </w:p>
        </w:tc>
        <w:tc>
          <w:tcPr>
            <w:tcW w:type="dxa" w:w="1512"/>
            <w:vAlign w:val="center"/>
          </w:tcPr>
          <w:p>
            <w:pPr>
              <w:spacing w:before="0" w:after="0" w:line="240" w:lineRule="auto"/>
              <w:jc w:val="center"/>
            </w:pPr>
            <w:r>
              <w:rPr>
                <w:rFonts w:ascii="Times New Roman" w:hAnsi="Times New Roman"/>
                <w:b w:val="0"/>
                <w:i w:val="0"/>
                <w:color w:val="000000"/>
                <w:sz w:val="16"/>
              </w:rPr>
              <w:t>6.42</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Housing</w:t>
            </w:r>
          </w:p>
        </w:tc>
        <w:tc>
          <w:tcPr>
            <w:tcW w:type="dxa" w:w="1800"/>
            <w:vAlign w:val="center"/>
          </w:tcPr>
          <w:p>
            <w:pPr>
              <w:spacing w:before="0" w:after="0" w:line="240" w:lineRule="auto"/>
              <w:jc w:val="left"/>
            </w:pPr>
            <w:r>
              <w:rPr>
                <w:rFonts w:ascii="Times New Roman" w:hAnsi="Times New Roman"/>
                <w:b w:val="0"/>
                <w:i w:val="0"/>
                <w:color w:val="000000"/>
                <w:sz w:val="16"/>
              </w:rPr>
              <w:t>common lodging house</w:t>
            </w:r>
          </w:p>
        </w:tc>
        <w:tc>
          <w:tcPr>
            <w:tcW w:type="dxa" w:w="3096"/>
            <w:vAlign w:val="center"/>
          </w:tcPr>
          <w:p>
            <w:pPr>
              <w:spacing w:before="0" w:after="0" w:line="240" w:lineRule="auto"/>
              <w:jc w:val="left"/>
            </w:pPr>
            <w:r>
              <w:rPr>
                <w:rFonts w:ascii="Times New Roman" w:hAnsi="Times New Roman"/>
                <w:b w:val="0"/>
                <w:i w:val="0"/>
                <w:color w:val="000000"/>
                <w:sz w:val="16"/>
              </w:rPr>
              <w:t>common lodging-house; common lodginghouse; common lodging houses; common lodging-houses; common lodginghouses</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Accommodation form and regulated housing institution; retained in housing.</w:t>
            </w:r>
          </w:p>
        </w:tc>
        <w:tc>
          <w:tcPr>
            <w:tcW w:type="dxa" w:w="936"/>
            <w:vAlign w:val="center"/>
          </w:tcPr>
          <w:p>
            <w:pPr>
              <w:spacing w:before="0" w:after="0" w:line="240" w:lineRule="auto"/>
              <w:jc w:val="center"/>
            </w:pPr>
            <w:r>
              <w:rPr>
                <w:rFonts w:ascii="Times New Roman" w:hAnsi="Times New Roman"/>
                <w:b w:val="0"/>
                <w:i w:val="0"/>
                <w:color w:val="000000"/>
                <w:sz w:val="16"/>
              </w:rPr>
              <w:t>15</w:t>
            </w:r>
          </w:p>
        </w:tc>
        <w:tc>
          <w:tcPr>
            <w:tcW w:type="dxa" w:w="1512"/>
            <w:vAlign w:val="center"/>
          </w:tcPr>
          <w:p>
            <w:pPr>
              <w:spacing w:before="0" w:after="0" w:line="240" w:lineRule="auto"/>
              <w:jc w:val="center"/>
            </w:pPr>
            <w:r>
              <w:rPr>
                <w:rFonts w:ascii="Times New Roman" w:hAnsi="Times New Roman"/>
                <w:b w:val="0"/>
                <w:i w:val="0"/>
                <w:color w:val="000000"/>
                <w:sz w:val="16"/>
              </w:rPr>
              <w:t>2.92</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Housing</w:t>
            </w:r>
          </w:p>
        </w:tc>
        <w:tc>
          <w:tcPr>
            <w:tcW w:type="dxa" w:w="1800"/>
            <w:vAlign w:val="center"/>
          </w:tcPr>
          <w:p>
            <w:pPr>
              <w:spacing w:before="0" w:after="0" w:line="240" w:lineRule="auto"/>
              <w:jc w:val="left"/>
            </w:pPr>
            <w:r>
              <w:rPr>
                <w:rFonts w:ascii="Times New Roman" w:hAnsi="Times New Roman"/>
                <w:b w:val="0"/>
                <w:i w:val="0"/>
                <w:color w:val="000000"/>
                <w:sz w:val="16"/>
              </w:rPr>
              <w:t>dwellings</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23</w:t>
            </w:r>
          </w:p>
        </w:tc>
        <w:tc>
          <w:tcPr>
            <w:tcW w:type="dxa" w:w="1512"/>
            <w:vAlign w:val="center"/>
          </w:tcPr>
          <w:p>
            <w:pPr>
              <w:spacing w:before="0" w:after="0" w:line="240" w:lineRule="auto"/>
              <w:jc w:val="center"/>
            </w:pPr>
            <w:r>
              <w:rPr>
                <w:rFonts w:ascii="Times New Roman" w:hAnsi="Times New Roman"/>
                <w:b w:val="0"/>
                <w:i w:val="0"/>
                <w:color w:val="000000"/>
                <w:sz w:val="16"/>
              </w:rPr>
              <w:t>4.47</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Housing</w:t>
            </w:r>
          </w:p>
        </w:tc>
        <w:tc>
          <w:tcPr>
            <w:tcW w:type="dxa" w:w="1800"/>
            <w:vAlign w:val="center"/>
          </w:tcPr>
          <w:p>
            <w:pPr>
              <w:spacing w:before="0" w:after="0" w:line="240" w:lineRule="auto"/>
              <w:jc w:val="left"/>
            </w:pPr>
            <w:r>
              <w:rPr>
                <w:rFonts w:ascii="Times New Roman" w:hAnsi="Times New Roman"/>
                <w:b w:val="0"/>
                <w:i w:val="0"/>
                <w:color w:val="000000"/>
                <w:sz w:val="16"/>
              </w:rPr>
              <w:t>houses</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88</w:t>
            </w:r>
          </w:p>
        </w:tc>
        <w:tc>
          <w:tcPr>
            <w:tcW w:type="dxa" w:w="1512"/>
            <w:vAlign w:val="center"/>
          </w:tcPr>
          <w:p>
            <w:pPr>
              <w:spacing w:before="0" w:after="0" w:line="240" w:lineRule="auto"/>
              <w:jc w:val="center"/>
            </w:pPr>
            <w:r>
              <w:rPr>
                <w:rFonts w:ascii="Times New Roman" w:hAnsi="Times New Roman"/>
                <w:b w:val="0"/>
                <w:i w:val="0"/>
                <w:color w:val="000000"/>
                <w:sz w:val="16"/>
              </w:rPr>
              <w:t>17.11</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Housing</w:t>
            </w:r>
          </w:p>
        </w:tc>
        <w:tc>
          <w:tcPr>
            <w:tcW w:type="dxa" w:w="1800"/>
            <w:vAlign w:val="center"/>
          </w:tcPr>
          <w:p>
            <w:pPr>
              <w:spacing w:before="0" w:after="0" w:line="240" w:lineRule="auto"/>
              <w:jc w:val="left"/>
            </w:pPr>
            <w:r>
              <w:rPr>
                <w:rFonts w:ascii="Times New Roman" w:hAnsi="Times New Roman"/>
                <w:b w:val="0"/>
                <w:i w:val="0"/>
                <w:color w:val="000000"/>
                <w:sz w:val="16"/>
              </w:rPr>
              <w:t>rooms</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29</w:t>
            </w:r>
          </w:p>
        </w:tc>
        <w:tc>
          <w:tcPr>
            <w:tcW w:type="dxa" w:w="1512"/>
            <w:vAlign w:val="center"/>
          </w:tcPr>
          <w:p>
            <w:pPr>
              <w:spacing w:before="0" w:after="0" w:line="240" w:lineRule="auto"/>
              <w:jc w:val="center"/>
            </w:pPr>
            <w:r>
              <w:rPr>
                <w:rFonts w:ascii="Times New Roman" w:hAnsi="Times New Roman"/>
                <w:b w:val="0"/>
                <w:i w:val="0"/>
                <w:color w:val="000000"/>
                <w:sz w:val="16"/>
              </w:rPr>
              <w:t>5.64</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Housing</w:t>
            </w:r>
          </w:p>
        </w:tc>
        <w:tc>
          <w:tcPr>
            <w:tcW w:type="dxa" w:w="1800"/>
            <w:vAlign w:val="center"/>
          </w:tcPr>
          <w:p>
            <w:pPr>
              <w:spacing w:before="0" w:after="0" w:line="240" w:lineRule="auto"/>
              <w:jc w:val="left"/>
            </w:pPr>
            <w:r>
              <w:rPr>
                <w:rFonts w:ascii="Times New Roman" w:hAnsi="Times New Roman"/>
                <w:b w:val="0"/>
                <w:i w:val="0"/>
                <w:color w:val="000000"/>
                <w:sz w:val="16"/>
              </w:rPr>
              <w:t>tenement</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2</w:t>
            </w:r>
          </w:p>
        </w:tc>
        <w:tc>
          <w:tcPr>
            <w:tcW w:type="dxa" w:w="1512"/>
            <w:vAlign w:val="center"/>
          </w:tcPr>
          <w:p>
            <w:pPr>
              <w:spacing w:before="0" w:after="0" w:line="240" w:lineRule="auto"/>
              <w:jc w:val="center"/>
            </w:pPr>
            <w:r>
              <w:rPr>
                <w:rFonts w:ascii="Times New Roman" w:hAnsi="Times New Roman"/>
                <w:b w:val="0"/>
                <w:i w:val="0"/>
                <w:color w:val="000000"/>
                <w:sz w:val="16"/>
              </w:rPr>
              <w:t>0.39</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Housing</w:t>
            </w:r>
          </w:p>
        </w:tc>
        <w:tc>
          <w:tcPr>
            <w:tcW w:type="dxa" w:w="1800"/>
            <w:vAlign w:val="center"/>
          </w:tcPr>
          <w:p>
            <w:pPr>
              <w:spacing w:before="0" w:after="0" w:line="240" w:lineRule="auto"/>
              <w:jc w:val="left"/>
            </w:pPr>
            <w:r>
              <w:rPr>
                <w:rFonts w:ascii="Times New Roman" w:hAnsi="Times New Roman"/>
                <w:b w:val="0"/>
                <w:i w:val="0"/>
                <w:color w:val="000000"/>
                <w:sz w:val="16"/>
              </w:rPr>
              <w:t>model dwellings</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17</w:t>
            </w:r>
          </w:p>
        </w:tc>
        <w:tc>
          <w:tcPr>
            <w:tcW w:type="dxa" w:w="1512"/>
            <w:vAlign w:val="center"/>
          </w:tcPr>
          <w:p>
            <w:pPr>
              <w:spacing w:before="0" w:after="0" w:line="240" w:lineRule="auto"/>
              <w:jc w:val="center"/>
            </w:pPr>
            <w:r>
              <w:rPr>
                <w:rFonts w:ascii="Times New Roman" w:hAnsi="Times New Roman"/>
                <w:b w:val="0"/>
                <w:i w:val="0"/>
                <w:color w:val="000000"/>
                <w:sz w:val="16"/>
              </w:rPr>
              <w:t>3.31</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Governance</w:t>
            </w:r>
          </w:p>
        </w:tc>
        <w:tc>
          <w:tcPr>
            <w:tcW w:type="dxa" w:w="1800"/>
            <w:vAlign w:val="center"/>
          </w:tcPr>
          <w:p>
            <w:pPr>
              <w:spacing w:before="0" w:after="0" w:line="240" w:lineRule="auto"/>
              <w:jc w:val="left"/>
            </w:pPr>
            <w:r>
              <w:rPr>
                <w:rFonts w:ascii="Times New Roman" w:hAnsi="Times New Roman"/>
                <w:b w:val="0"/>
                <w:i w:val="0"/>
                <w:color w:val="000000"/>
                <w:sz w:val="16"/>
              </w:rPr>
              <w:t>inspection</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23</w:t>
            </w:r>
          </w:p>
        </w:tc>
        <w:tc>
          <w:tcPr>
            <w:tcW w:type="dxa" w:w="1512"/>
            <w:vAlign w:val="center"/>
          </w:tcPr>
          <w:p>
            <w:pPr>
              <w:spacing w:before="0" w:after="0" w:line="240" w:lineRule="auto"/>
              <w:jc w:val="center"/>
            </w:pPr>
            <w:r>
              <w:rPr>
                <w:rFonts w:ascii="Times New Roman" w:hAnsi="Times New Roman"/>
                <w:b w:val="0"/>
                <w:i w:val="0"/>
                <w:color w:val="000000"/>
                <w:sz w:val="16"/>
              </w:rPr>
              <w:t>4.47</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Governance</w:t>
            </w:r>
          </w:p>
        </w:tc>
        <w:tc>
          <w:tcPr>
            <w:tcW w:type="dxa" w:w="1800"/>
            <w:vAlign w:val="center"/>
          </w:tcPr>
          <w:p>
            <w:pPr>
              <w:spacing w:before="0" w:after="0" w:line="240" w:lineRule="auto"/>
              <w:jc w:val="left"/>
            </w:pPr>
            <w:r>
              <w:rPr>
                <w:rFonts w:ascii="Times New Roman" w:hAnsi="Times New Roman"/>
                <w:b w:val="0"/>
                <w:i w:val="0"/>
                <w:color w:val="000000"/>
                <w:sz w:val="16"/>
              </w:rPr>
              <w:t>inspections</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3</w:t>
            </w:r>
          </w:p>
        </w:tc>
        <w:tc>
          <w:tcPr>
            <w:tcW w:type="dxa" w:w="1512"/>
            <w:vAlign w:val="center"/>
          </w:tcPr>
          <w:p>
            <w:pPr>
              <w:spacing w:before="0" w:after="0" w:line="240" w:lineRule="auto"/>
              <w:jc w:val="center"/>
            </w:pPr>
            <w:r>
              <w:rPr>
                <w:rFonts w:ascii="Times New Roman" w:hAnsi="Times New Roman"/>
                <w:b w:val="0"/>
                <w:i w:val="0"/>
                <w:color w:val="000000"/>
                <w:sz w:val="16"/>
              </w:rPr>
              <w:t>0.58</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Governance</w:t>
            </w:r>
          </w:p>
        </w:tc>
        <w:tc>
          <w:tcPr>
            <w:tcW w:type="dxa" w:w="1800"/>
            <w:vAlign w:val="center"/>
          </w:tcPr>
          <w:p>
            <w:pPr>
              <w:spacing w:before="0" w:after="0" w:line="240" w:lineRule="auto"/>
              <w:jc w:val="left"/>
            </w:pPr>
            <w:r>
              <w:rPr>
                <w:rFonts w:ascii="Times New Roman" w:hAnsi="Times New Roman"/>
                <w:b w:val="0"/>
                <w:i w:val="0"/>
                <w:color w:val="000000"/>
                <w:sz w:val="16"/>
              </w:rPr>
              <w:t>inspector</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28</w:t>
            </w:r>
          </w:p>
        </w:tc>
        <w:tc>
          <w:tcPr>
            <w:tcW w:type="dxa" w:w="1512"/>
            <w:vAlign w:val="center"/>
          </w:tcPr>
          <w:p>
            <w:pPr>
              <w:spacing w:before="0" w:after="0" w:line="240" w:lineRule="auto"/>
              <w:jc w:val="center"/>
            </w:pPr>
            <w:r>
              <w:rPr>
                <w:rFonts w:ascii="Times New Roman" w:hAnsi="Times New Roman"/>
                <w:b w:val="0"/>
                <w:i w:val="0"/>
                <w:color w:val="000000"/>
                <w:sz w:val="16"/>
              </w:rPr>
              <w:t>5.44</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Governance</w:t>
            </w:r>
          </w:p>
        </w:tc>
        <w:tc>
          <w:tcPr>
            <w:tcW w:type="dxa" w:w="1800"/>
            <w:vAlign w:val="center"/>
          </w:tcPr>
          <w:p>
            <w:pPr>
              <w:spacing w:before="0" w:after="0" w:line="240" w:lineRule="auto"/>
              <w:jc w:val="left"/>
            </w:pPr>
            <w:r>
              <w:rPr>
                <w:rFonts w:ascii="Times New Roman" w:hAnsi="Times New Roman"/>
                <w:b w:val="0"/>
                <w:i w:val="0"/>
                <w:color w:val="000000"/>
                <w:sz w:val="16"/>
              </w:rPr>
              <w:t>notices</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5</w:t>
            </w:r>
          </w:p>
        </w:tc>
        <w:tc>
          <w:tcPr>
            <w:tcW w:type="dxa" w:w="1512"/>
            <w:vAlign w:val="center"/>
          </w:tcPr>
          <w:p>
            <w:pPr>
              <w:spacing w:before="0" w:after="0" w:line="240" w:lineRule="auto"/>
              <w:jc w:val="center"/>
            </w:pPr>
            <w:r>
              <w:rPr>
                <w:rFonts w:ascii="Times New Roman" w:hAnsi="Times New Roman"/>
                <w:b w:val="0"/>
                <w:i w:val="0"/>
                <w:color w:val="000000"/>
                <w:sz w:val="16"/>
              </w:rPr>
              <w:t>0.97</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Governance</w:t>
            </w:r>
          </w:p>
        </w:tc>
        <w:tc>
          <w:tcPr>
            <w:tcW w:type="dxa" w:w="1800"/>
            <w:vAlign w:val="center"/>
          </w:tcPr>
          <w:p>
            <w:pPr>
              <w:spacing w:before="0" w:after="0" w:line="240" w:lineRule="auto"/>
              <w:jc w:val="left"/>
            </w:pPr>
            <w:r>
              <w:rPr>
                <w:rFonts w:ascii="Times New Roman" w:hAnsi="Times New Roman"/>
                <w:b w:val="0"/>
                <w:i w:val="0"/>
                <w:color w:val="000000"/>
                <w:sz w:val="16"/>
              </w:rPr>
              <w:t>summonses</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12</w:t>
            </w:r>
          </w:p>
        </w:tc>
        <w:tc>
          <w:tcPr>
            <w:tcW w:type="dxa" w:w="1512"/>
            <w:vAlign w:val="center"/>
          </w:tcPr>
          <w:p>
            <w:pPr>
              <w:spacing w:before="0" w:after="0" w:line="240" w:lineRule="auto"/>
              <w:jc w:val="center"/>
            </w:pPr>
            <w:r>
              <w:rPr>
                <w:rFonts w:ascii="Times New Roman" w:hAnsi="Times New Roman"/>
                <w:b w:val="0"/>
                <w:i w:val="0"/>
                <w:color w:val="000000"/>
                <w:sz w:val="16"/>
              </w:rPr>
              <w:t>2.33</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Governance</w:t>
            </w:r>
          </w:p>
        </w:tc>
        <w:tc>
          <w:tcPr>
            <w:tcW w:type="dxa" w:w="1800"/>
            <w:vAlign w:val="center"/>
          </w:tcPr>
          <w:p>
            <w:pPr>
              <w:spacing w:before="0" w:after="0" w:line="240" w:lineRule="auto"/>
              <w:jc w:val="left"/>
            </w:pPr>
            <w:r>
              <w:rPr>
                <w:rFonts w:ascii="Times New Roman" w:hAnsi="Times New Roman"/>
                <w:b w:val="0"/>
                <w:i w:val="0"/>
                <w:color w:val="000000"/>
                <w:sz w:val="16"/>
              </w:rPr>
              <w:t>sanitary authority</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95</w:t>
            </w:r>
          </w:p>
        </w:tc>
        <w:tc>
          <w:tcPr>
            <w:tcW w:type="dxa" w:w="1512"/>
            <w:vAlign w:val="center"/>
          </w:tcPr>
          <w:p>
            <w:pPr>
              <w:spacing w:before="0" w:after="0" w:line="240" w:lineRule="auto"/>
              <w:jc w:val="center"/>
            </w:pPr>
            <w:r>
              <w:rPr>
                <w:rFonts w:ascii="Times New Roman" w:hAnsi="Times New Roman"/>
                <w:b w:val="0"/>
                <w:i w:val="0"/>
                <w:color w:val="000000"/>
                <w:sz w:val="16"/>
              </w:rPr>
              <w:t>18.47</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Governance</w:t>
            </w:r>
          </w:p>
        </w:tc>
        <w:tc>
          <w:tcPr>
            <w:tcW w:type="dxa" w:w="1800"/>
            <w:vAlign w:val="center"/>
          </w:tcPr>
          <w:p>
            <w:pPr>
              <w:spacing w:before="0" w:after="0" w:line="240" w:lineRule="auto"/>
              <w:jc w:val="left"/>
            </w:pPr>
            <w:r>
              <w:rPr>
                <w:rFonts w:ascii="Times New Roman" w:hAnsi="Times New Roman"/>
                <w:b w:val="0"/>
                <w:i w:val="0"/>
                <w:color w:val="000000"/>
                <w:sz w:val="16"/>
              </w:rPr>
              <w:t>medical officer</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50</w:t>
            </w:r>
          </w:p>
        </w:tc>
        <w:tc>
          <w:tcPr>
            <w:tcW w:type="dxa" w:w="1512"/>
            <w:vAlign w:val="center"/>
          </w:tcPr>
          <w:p>
            <w:pPr>
              <w:spacing w:before="0" w:after="0" w:line="240" w:lineRule="auto"/>
              <w:jc w:val="center"/>
            </w:pPr>
            <w:r>
              <w:rPr>
                <w:rFonts w:ascii="Times New Roman" w:hAnsi="Times New Roman"/>
                <w:b w:val="0"/>
                <w:i w:val="0"/>
                <w:color w:val="000000"/>
                <w:sz w:val="16"/>
              </w:rPr>
              <w:t>9.72</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Governance</w:t>
            </w:r>
          </w:p>
        </w:tc>
        <w:tc>
          <w:tcPr>
            <w:tcW w:type="dxa" w:w="1800"/>
            <w:vAlign w:val="center"/>
          </w:tcPr>
          <w:p>
            <w:pPr>
              <w:spacing w:before="0" w:after="0" w:line="240" w:lineRule="auto"/>
              <w:jc w:val="left"/>
            </w:pPr>
            <w:r>
              <w:rPr>
                <w:rFonts w:ascii="Times New Roman" w:hAnsi="Times New Roman"/>
                <w:b w:val="0"/>
                <w:i w:val="0"/>
                <w:color w:val="000000"/>
                <w:sz w:val="16"/>
              </w:rPr>
              <w:t>board</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154</w:t>
            </w:r>
          </w:p>
        </w:tc>
        <w:tc>
          <w:tcPr>
            <w:tcW w:type="dxa" w:w="1512"/>
            <w:vAlign w:val="center"/>
          </w:tcPr>
          <w:p>
            <w:pPr>
              <w:spacing w:before="0" w:after="0" w:line="240" w:lineRule="auto"/>
              <w:jc w:val="center"/>
            </w:pPr>
            <w:r>
              <w:rPr>
                <w:rFonts w:ascii="Times New Roman" w:hAnsi="Times New Roman"/>
                <w:b w:val="0"/>
                <w:i w:val="0"/>
                <w:color w:val="000000"/>
                <w:sz w:val="16"/>
              </w:rPr>
              <w:t>29.94</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Governance</w:t>
            </w:r>
          </w:p>
        </w:tc>
        <w:tc>
          <w:tcPr>
            <w:tcW w:type="dxa" w:w="1800"/>
            <w:vAlign w:val="center"/>
          </w:tcPr>
          <w:p>
            <w:pPr>
              <w:spacing w:before="0" w:after="0" w:line="240" w:lineRule="auto"/>
              <w:jc w:val="left"/>
            </w:pPr>
            <w:r>
              <w:rPr>
                <w:rFonts w:ascii="Times New Roman" w:hAnsi="Times New Roman"/>
                <w:b w:val="0"/>
                <w:i w:val="0"/>
                <w:color w:val="000000"/>
                <w:sz w:val="16"/>
              </w:rPr>
              <w:t>vestry</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3</w:t>
            </w:r>
          </w:p>
        </w:tc>
        <w:tc>
          <w:tcPr>
            <w:tcW w:type="dxa" w:w="1512"/>
            <w:vAlign w:val="center"/>
          </w:tcPr>
          <w:p>
            <w:pPr>
              <w:spacing w:before="0" w:after="0" w:line="240" w:lineRule="auto"/>
              <w:jc w:val="center"/>
            </w:pPr>
            <w:r>
              <w:rPr>
                <w:rFonts w:ascii="Times New Roman" w:hAnsi="Times New Roman"/>
                <w:b w:val="0"/>
                <w:i w:val="0"/>
                <w:color w:val="000000"/>
                <w:sz w:val="16"/>
              </w:rPr>
              <w:t>0.58</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Governance</w:t>
            </w:r>
          </w:p>
        </w:tc>
        <w:tc>
          <w:tcPr>
            <w:tcW w:type="dxa" w:w="1800"/>
            <w:vAlign w:val="center"/>
          </w:tcPr>
          <w:p>
            <w:pPr>
              <w:spacing w:before="0" w:after="0" w:line="240" w:lineRule="auto"/>
              <w:jc w:val="left"/>
            </w:pPr>
            <w:r>
              <w:rPr>
                <w:rFonts w:ascii="Times New Roman" w:hAnsi="Times New Roman"/>
                <w:b w:val="0"/>
                <w:i w:val="0"/>
                <w:color w:val="000000"/>
                <w:sz w:val="16"/>
              </w:rPr>
              <w:t>local government board</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33</w:t>
            </w:r>
          </w:p>
        </w:tc>
        <w:tc>
          <w:tcPr>
            <w:tcW w:type="dxa" w:w="1512"/>
            <w:vAlign w:val="center"/>
          </w:tcPr>
          <w:p>
            <w:pPr>
              <w:spacing w:before="0" w:after="0" w:line="240" w:lineRule="auto"/>
              <w:jc w:val="center"/>
            </w:pPr>
            <w:r>
              <w:rPr>
                <w:rFonts w:ascii="Times New Roman" w:hAnsi="Times New Roman"/>
                <w:b w:val="0"/>
                <w:i w:val="0"/>
                <w:color w:val="000000"/>
                <w:sz w:val="16"/>
              </w:rPr>
              <w:t>6.42</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Inequality</w:t>
            </w:r>
          </w:p>
        </w:tc>
        <w:tc>
          <w:tcPr>
            <w:tcW w:type="dxa" w:w="1800"/>
            <w:vAlign w:val="center"/>
          </w:tcPr>
          <w:p>
            <w:pPr>
              <w:spacing w:before="0" w:after="0" w:line="240" w:lineRule="auto"/>
              <w:jc w:val="left"/>
            </w:pPr>
            <w:r>
              <w:rPr>
                <w:rFonts w:ascii="Times New Roman" w:hAnsi="Times New Roman"/>
                <w:b w:val="0"/>
                <w:i w:val="0"/>
                <w:color w:val="000000"/>
                <w:sz w:val="16"/>
              </w:rPr>
              <w:t>working classes</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21</w:t>
            </w:r>
          </w:p>
        </w:tc>
        <w:tc>
          <w:tcPr>
            <w:tcW w:type="dxa" w:w="1512"/>
            <w:vAlign w:val="center"/>
          </w:tcPr>
          <w:p>
            <w:pPr>
              <w:spacing w:before="0" w:after="0" w:line="240" w:lineRule="auto"/>
              <w:jc w:val="center"/>
            </w:pPr>
            <w:r>
              <w:rPr>
                <w:rFonts w:ascii="Times New Roman" w:hAnsi="Times New Roman"/>
                <w:b w:val="0"/>
                <w:i w:val="0"/>
                <w:color w:val="000000"/>
                <w:sz w:val="16"/>
              </w:rPr>
              <w:t>4.08</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Inequality</w:t>
            </w:r>
          </w:p>
        </w:tc>
        <w:tc>
          <w:tcPr>
            <w:tcW w:type="dxa" w:w="1800"/>
            <w:vAlign w:val="center"/>
          </w:tcPr>
          <w:p>
            <w:pPr>
              <w:spacing w:before="0" w:after="0" w:line="240" w:lineRule="auto"/>
              <w:jc w:val="left"/>
            </w:pPr>
            <w:r>
              <w:rPr>
                <w:rFonts w:ascii="Times New Roman" w:hAnsi="Times New Roman"/>
                <w:b w:val="0"/>
                <w:i w:val="0"/>
                <w:color w:val="000000"/>
                <w:sz w:val="16"/>
              </w:rPr>
              <w:t>working class</w:t>
            </w:r>
          </w:p>
        </w:tc>
        <w:tc>
          <w:tcPr>
            <w:tcW w:type="dxa" w:w="3096"/>
            <w:vAlign w:val="center"/>
          </w:tcPr>
          <w:p>
            <w:pPr>
              <w:spacing w:before="0" w:after="0" w:line="240" w:lineRule="auto"/>
              <w:jc w:val="left"/>
            </w:pPr>
            <w:r>
              <w:rPr>
                <w:rFonts w:ascii="Times New Roman" w:hAnsi="Times New Roman"/>
                <w:b w:val="0"/>
                <w:i w:val="0"/>
                <w:color w:val="000000"/>
                <w:sz w:val="16"/>
              </w:rPr>
              <w:t>working-class</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socioeconomic label with source-verified hyphenated surface form.</w:t>
            </w:r>
          </w:p>
        </w:tc>
        <w:tc>
          <w:tcPr>
            <w:tcW w:type="dxa" w:w="936"/>
            <w:vAlign w:val="center"/>
          </w:tcPr>
          <w:p>
            <w:pPr>
              <w:spacing w:before="0" w:after="0" w:line="240" w:lineRule="auto"/>
              <w:jc w:val="center"/>
            </w:pPr>
            <w:r>
              <w:rPr>
                <w:rFonts w:ascii="Times New Roman" w:hAnsi="Times New Roman"/>
                <w:b w:val="0"/>
                <w:i w:val="0"/>
                <w:color w:val="000000"/>
                <w:sz w:val="16"/>
              </w:rPr>
              <w:t>2</w:t>
            </w:r>
          </w:p>
        </w:tc>
        <w:tc>
          <w:tcPr>
            <w:tcW w:type="dxa" w:w="1512"/>
            <w:vAlign w:val="center"/>
          </w:tcPr>
          <w:p>
            <w:pPr>
              <w:spacing w:before="0" w:after="0" w:line="240" w:lineRule="auto"/>
              <w:jc w:val="center"/>
            </w:pPr>
            <w:r>
              <w:rPr>
                <w:rFonts w:ascii="Times New Roman" w:hAnsi="Times New Roman"/>
                <w:b w:val="0"/>
                <w:i w:val="0"/>
                <w:color w:val="000000"/>
                <w:sz w:val="16"/>
              </w:rPr>
              <w:t>0.39</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Inequality</w:t>
            </w:r>
          </w:p>
        </w:tc>
        <w:tc>
          <w:tcPr>
            <w:tcW w:type="dxa" w:w="1800"/>
            <w:vAlign w:val="center"/>
          </w:tcPr>
          <w:p>
            <w:pPr>
              <w:spacing w:before="0" w:after="0" w:line="240" w:lineRule="auto"/>
              <w:jc w:val="left"/>
            </w:pPr>
            <w:r>
              <w:rPr>
                <w:rFonts w:ascii="Times New Roman" w:hAnsi="Times New Roman"/>
                <w:b w:val="0"/>
                <w:i w:val="0"/>
                <w:color w:val="000000"/>
                <w:sz w:val="16"/>
              </w:rPr>
              <w:t>poor</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7</w:t>
            </w:r>
          </w:p>
        </w:tc>
        <w:tc>
          <w:tcPr>
            <w:tcW w:type="dxa" w:w="1512"/>
            <w:vAlign w:val="center"/>
          </w:tcPr>
          <w:p>
            <w:pPr>
              <w:spacing w:before="0" w:after="0" w:line="240" w:lineRule="auto"/>
              <w:jc w:val="center"/>
            </w:pPr>
            <w:r>
              <w:rPr>
                <w:rFonts w:ascii="Times New Roman" w:hAnsi="Times New Roman"/>
                <w:b w:val="0"/>
                <w:i w:val="0"/>
                <w:color w:val="000000"/>
                <w:sz w:val="16"/>
              </w:rPr>
              <w:t>1.36</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Inequality</w:t>
            </w:r>
          </w:p>
        </w:tc>
        <w:tc>
          <w:tcPr>
            <w:tcW w:type="dxa" w:w="1800"/>
            <w:vAlign w:val="center"/>
          </w:tcPr>
          <w:p>
            <w:pPr>
              <w:spacing w:before="0" w:after="0" w:line="240" w:lineRule="auto"/>
              <w:jc w:val="left"/>
            </w:pPr>
            <w:r>
              <w:rPr>
                <w:rFonts w:ascii="Times New Roman" w:hAnsi="Times New Roman"/>
                <w:b w:val="0"/>
                <w:i w:val="0"/>
                <w:color w:val="000000"/>
                <w:sz w:val="16"/>
              </w:rPr>
              <w:t>poorer</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2</w:t>
            </w:r>
          </w:p>
        </w:tc>
        <w:tc>
          <w:tcPr>
            <w:tcW w:type="dxa" w:w="1512"/>
            <w:vAlign w:val="center"/>
          </w:tcPr>
          <w:p>
            <w:pPr>
              <w:spacing w:before="0" w:after="0" w:line="240" w:lineRule="auto"/>
              <w:jc w:val="center"/>
            </w:pPr>
            <w:r>
              <w:rPr>
                <w:rFonts w:ascii="Times New Roman" w:hAnsi="Times New Roman"/>
                <w:b w:val="0"/>
                <w:i w:val="0"/>
                <w:color w:val="000000"/>
                <w:sz w:val="16"/>
              </w:rPr>
              <w:t>0.39</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Inequality</w:t>
            </w:r>
          </w:p>
        </w:tc>
        <w:tc>
          <w:tcPr>
            <w:tcW w:type="dxa" w:w="1800"/>
            <w:vAlign w:val="center"/>
          </w:tcPr>
          <w:p>
            <w:pPr>
              <w:spacing w:before="0" w:after="0" w:line="240" w:lineRule="auto"/>
              <w:jc w:val="left"/>
            </w:pPr>
            <w:r>
              <w:rPr>
                <w:rFonts w:ascii="Times New Roman" w:hAnsi="Times New Roman"/>
                <w:b w:val="0"/>
                <w:i w:val="0"/>
                <w:color w:val="000000"/>
                <w:sz w:val="16"/>
              </w:rPr>
              <w:t>poorest</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2</w:t>
            </w:r>
          </w:p>
        </w:tc>
        <w:tc>
          <w:tcPr>
            <w:tcW w:type="dxa" w:w="1512"/>
            <w:vAlign w:val="center"/>
          </w:tcPr>
          <w:p>
            <w:pPr>
              <w:spacing w:before="0" w:after="0" w:line="240" w:lineRule="auto"/>
              <w:jc w:val="center"/>
            </w:pPr>
            <w:r>
              <w:rPr>
                <w:rFonts w:ascii="Times New Roman" w:hAnsi="Times New Roman"/>
                <w:b w:val="0"/>
                <w:i w:val="0"/>
                <w:color w:val="000000"/>
                <w:sz w:val="16"/>
              </w:rPr>
              <w:t>0.39</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Inequality</w:t>
            </w:r>
          </w:p>
        </w:tc>
        <w:tc>
          <w:tcPr>
            <w:tcW w:type="dxa" w:w="1800"/>
            <w:vAlign w:val="center"/>
          </w:tcPr>
          <w:p>
            <w:pPr>
              <w:spacing w:before="0" w:after="0" w:line="240" w:lineRule="auto"/>
              <w:jc w:val="left"/>
            </w:pPr>
            <w:r>
              <w:rPr>
                <w:rFonts w:ascii="Times New Roman" w:hAnsi="Times New Roman"/>
                <w:b w:val="0"/>
                <w:i w:val="0"/>
                <w:color w:val="000000"/>
                <w:sz w:val="16"/>
              </w:rPr>
              <w:t>poverty</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1</w:t>
            </w:r>
          </w:p>
        </w:tc>
        <w:tc>
          <w:tcPr>
            <w:tcW w:type="dxa" w:w="1512"/>
            <w:vAlign w:val="center"/>
          </w:tcPr>
          <w:p>
            <w:pPr>
              <w:spacing w:before="0" w:after="0" w:line="240" w:lineRule="auto"/>
              <w:jc w:val="center"/>
            </w:pPr>
            <w:r>
              <w:rPr>
                <w:rFonts w:ascii="Times New Roman" w:hAnsi="Times New Roman"/>
                <w:b w:val="0"/>
                <w:i w:val="0"/>
                <w:color w:val="000000"/>
                <w:sz w:val="16"/>
              </w:rPr>
              <w:t>0.19</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Inequality</w:t>
            </w:r>
          </w:p>
        </w:tc>
        <w:tc>
          <w:tcPr>
            <w:tcW w:type="dxa" w:w="1800"/>
            <w:vAlign w:val="center"/>
          </w:tcPr>
          <w:p>
            <w:pPr>
              <w:spacing w:before="0" w:after="0" w:line="240" w:lineRule="auto"/>
              <w:jc w:val="left"/>
            </w:pPr>
            <w:r>
              <w:rPr>
                <w:rFonts w:ascii="Times New Roman" w:hAnsi="Times New Roman"/>
                <w:b w:val="0"/>
                <w:i w:val="0"/>
                <w:color w:val="000000"/>
                <w:sz w:val="16"/>
              </w:rPr>
              <w:t>destitute</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direct</w:t>
            </w:r>
          </w:p>
        </w:tc>
        <w:tc>
          <w:tcPr>
            <w:tcW w:type="dxa" w:w="4824"/>
            <w:vAlign w:val="center"/>
          </w:tcPr>
          <w:p>
            <w:pPr>
              <w:spacing w:before="0" w:after="0" w:line="240" w:lineRule="auto"/>
              <w:jc w:val="left"/>
            </w:pPr>
            <w:r>
              <w:rPr>
                <w:rFonts w:ascii="Times New Roman" w:hAnsi="Times New Roman"/>
                <w:b w:val="0"/>
                <w:i w:val="0"/>
                <w:color w:val="000000"/>
                <w:sz w:val="16"/>
              </w:rPr>
              <w:t>Direct retrieval term within the stated analytical category.</w:t>
            </w:r>
          </w:p>
        </w:tc>
        <w:tc>
          <w:tcPr>
            <w:tcW w:type="dxa" w:w="936"/>
            <w:vAlign w:val="center"/>
          </w:tcPr>
          <w:p>
            <w:pPr>
              <w:spacing w:before="0" w:after="0" w:line="240" w:lineRule="auto"/>
              <w:jc w:val="center"/>
            </w:pPr>
            <w:r>
              <w:rPr>
                <w:rFonts w:ascii="Times New Roman" w:hAnsi="Times New Roman"/>
                <w:b w:val="0"/>
                <w:i w:val="0"/>
                <w:color w:val="000000"/>
                <w:sz w:val="16"/>
              </w:rPr>
              <w:t>1</w:t>
            </w:r>
          </w:p>
        </w:tc>
        <w:tc>
          <w:tcPr>
            <w:tcW w:type="dxa" w:w="1512"/>
            <w:vAlign w:val="center"/>
          </w:tcPr>
          <w:p>
            <w:pPr>
              <w:spacing w:before="0" w:after="0" w:line="240" w:lineRule="auto"/>
              <w:jc w:val="center"/>
            </w:pPr>
            <w:r>
              <w:rPr>
                <w:rFonts w:ascii="Times New Roman" w:hAnsi="Times New Roman"/>
                <w:b w:val="0"/>
                <w:i w:val="0"/>
                <w:color w:val="000000"/>
                <w:sz w:val="16"/>
              </w:rPr>
              <w:t>0.19</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Inequality</w:t>
            </w:r>
          </w:p>
        </w:tc>
        <w:tc>
          <w:tcPr>
            <w:tcW w:type="dxa" w:w="1800"/>
            <w:vAlign w:val="center"/>
          </w:tcPr>
          <w:p>
            <w:pPr>
              <w:spacing w:before="0" w:after="0" w:line="240" w:lineRule="auto"/>
              <w:jc w:val="left"/>
            </w:pPr>
            <w:r>
              <w:rPr>
                <w:rFonts w:ascii="Times New Roman" w:hAnsi="Times New Roman"/>
                <w:b w:val="0"/>
                <w:i w:val="0"/>
                <w:color w:val="000000"/>
                <w:sz w:val="16"/>
              </w:rPr>
              <w:t>lodgers</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indirect administrative marker</w:t>
            </w:r>
          </w:p>
        </w:tc>
        <w:tc>
          <w:tcPr>
            <w:tcW w:type="dxa" w:w="4824"/>
            <w:vAlign w:val="center"/>
          </w:tcPr>
          <w:p>
            <w:pPr>
              <w:spacing w:before="0" w:after="0" w:line="240" w:lineRule="auto"/>
              <w:jc w:val="left"/>
            </w:pPr>
            <w:r>
              <w:rPr>
                <w:rFonts w:ascii="Times New Roman" w:hAnsi="Times New Roman"/>
                <w:b w:val="0"/>
                <w:i w:val="0"/>
                <w:color w:val="000000"/>
                <w:sz w:val="16"/>
              </w:rPr>
              <w:t>Administrative/social classification of persons; contextual review is required before treating a hit as inequality evidence.</w:t>
            </w:r>
          </w:p>
        </w:tc>
        <w:tc>
          <w:tcPr>
            <w:tcW w:type="dxa" w:w="936"/>
            <w:vAlign w:val="center"/>
          </w:tcPr>
          <w:p>
            <w:pPr>
              <w:spacing w:before="0" w:after="0" w:line="240" w:lineRule="auto"/>
              <w:jc w:val="center"/>
            </w:pPr>
            <w:r>
              <w:rPr>
                <w:rFonts w:ascii="Times New Roman" w:hAnsi="Times New Roman"/>
                <w:b w:val="0"/>
                <w:i w:val="0"/>
                <w:color w:val="000000"/>
                <w:sz w:val="16"/>
              </w:rPr>
              <w:t>13</w:t>
            </w:r>
          </w:p>
        </w:tc>
        <w:tc>
          <w:tcPr>
            <w:tcW w:type="dxa" w:w="1512"/>
            <w:vAlign w:val="center"/>
          </w:tcPr>
          <w:p>
            <w:pPr>
              <w:spacing w:before="0" w:after="0" w:line="240" w:lineRule="auto"/>
              <w:jc w:val="center"/>
            </w:pPr>
            <w:r>
              <w:rPr>
                <w:rFonts w:ascii="Times New Roman" w:hAnsi="Times New Roman"/>
                <w:b w:val="0"/>
                <w:i w:val="0"/>
                <w:color w:val="000000"/>
                <w:sz w:val="16"/>
              </w:rPr>
              <w:t>2.53</w:t>
            </w:r>
          </w:p>
        </w:tc>
      </w:tr>
      <w:tr>
        <w:trPr>
          <w:cantSplit/>
        </w:trPr>
        <w:tc>
          <w:tcPr>
            <w:tcW w:type="dxa" w:w="1152"/>
            <w:vAlign w:val="center"/>
          </w:tcPr>
          <w:p>
            <w:pPr>
              <w:spacing w:before="0" w:after="0" w:line="240" w:lineRule="auto"/>
              <w:jc w:val="left"/>
            </w:pPr>
            <w:r>
              <w:rPr>
                <w:rFonts w:ascii="Times New Roman" w:hAnsi="Times New Roman"/>
                <w:b w:val="0"/>
                <w:i w:val="0"/>
                <w:color w:val="000000"/>
                <w:sz w:val="16"/>
              </w:rPr>
              <w:t>Inequality</w:t>
            </w:r>
          </w:p>
        </w:tc>
        <w:tc>
          <w:tcPr>
            <w:tcW w:type="dxa" w:w="1800"/>
            <w:vAlign w:val="center"/>
          </w:tcPr>
          <w:p>
            <w:pPr>
              <w:spacing w:before="0" w:after="0" w:line="240" w:lineRule="auto"/>
              <w:jc w:val="left"/>
            </w:pPr>
            <w:r>
              <w:rPr>
                <w:rFonts w:ascii="Times New Roman" w:hAnsi="Times New Roman"/>
                <w:b w:val="0"/>
                <w:i w:val="0"/>
                <w:color w:val="000000"/>
                <w:sz w:val="16"/>
              </w:rPr>
              <w:t>infirmary</w:t>
            </w:r>
          </w:p>
        </w:tc>
        <w:tc>
          <w:tcPr>
            <w:tcW w:type="dxa" w:w="3096"/>
            <w:vAlign w:val="center"/>
          </w:tcPr>
          <w:p>
            <w:pPr>
              <w:spacing w:before="0" w:after="0" w:line="240" w:lineRule="auto"/>
              <w:jc w:val="left"/>
            </w:pPr>
            <w:r>
              <w:rPr>
                <w:rFonts w:ascii="Times New Roman" w:hAnsi="Times New Roman"/>
                <w:b w:val="0"/>
                <w:i w:val="0"/>
                <w:color w:val="000000"/>
                <w:sz w:val="16"/>
              </w:rPr>
              <w:t>—</w:t>
            </w:r>
          </w:p>
        </w:tc>
        <w:tc>
          <w:tcPr>
            <w:tcW w:type="dxa" w:w="1944"/>
            <w:vAlign w:val="center"/>
          </w:tcPr>
          <w:p>
            <w:pPr>
              <w:spacing w:before="0" w:after="0" w:line="240" w:lineRule="auto"/>
              <w:jc w:val="left"/>
            </w:pPr>
            <w:r>
              <w:rPr>
                <w:rFonts w:ascii="Times New Roman" w:hAnsi="Times New Roman"/>
                <w:b w:val="0"/>
                <w:i w:val="0"/>
                <w:color w:val="000000"/>
                <w:sz w:val="16"/>
              </w:rPr>
              <w:t>indirect institutional marker</w:t>
            </w:r>
          </w:p>
        </w:tc>
        <w:tc>
          <w:tcPr>
            <w:tcW w:type="dxa" w:w="4824"/>
            <w:vAlign w:val="center"/>
          </w:tcPr>
          <w:p>
            <w:pPr>
              <w:spacing w:before="0" w:after="0" w:line="240" w:lineRule="auto"/>
              <w:jc w:val="left"/>
            </w:pPr>
            <w:r>
              <w:rPr>
                <w:rFonts w:ascii="Times New Roman" w:hAnsi="Times New Roman"/>
                <w:b w:val="0"/>
                <w:i w:val="0"/>
                <w:color w:val="000000"/>
                <w:sz w:val="16"/>
              </w:rPr>
              <w:t>Context-dependent institutional marker; six retrieved passages were reviewed individually and four contributed to inequality interpretation.</w:t>
            </w:r>
          </w:p>
        </w:tc>
        <w:tc>
          <w:tcPr>
            <w:tcW w:type="dxa" w:w="936"/>
            <w:vAlign w:val="center"/>
          </w:tcPr>
          <w:p>
            <w:pPr>
              <w:spacing w:before="0" w:after="0" w:line="240" w:lineRule="auto"/>
              <w:jc w:val="center"/>
            </w:pPr>
            <w:r>
              <w:rPr>
                <w:rFonts w:ascii="Times New Roman" w:hAnsi="Times New Roman"/>
                <w:b w:val="0"/>
                <w:i w:val="0"/>
                <w:color w:val="000000"/>
                <w:sz w:val="16"/>
              </w:rPr>
              <w:t>8</w:t>
            </w:r>
          </w:p>
        </w:tc>
        <w:tc>
          <w:tcPr>
            <w:tcW w:type="dxa" w:w="1512"/>
            <w:vAlign w:val="center"/>
          </w:tcPr>
          <w:p>
            <w:pPr>
              <w:spacing w:before="0" w:after="0" w:line="240" w:lineRule="auto"/>
              <w:jc w:val="center"/>
            </w:pPr>
            <w:r>
              <w:rPr>
                <w:rFonts w:ascii="Times New Roman" w:hAnsi="Times New Roman"/>
                <w:b w:val="0"/>
                <w:i w:val="0"/>
                <w:color w:val="000000"/>
                <w:sz w:val="16"/>
              </w:rPr>
              <w:t>1.56</w:t>
            </w:r>
          </w:p>
        </w:tc>
      </w:tr>
    </w:tbl>
    <w:p>
      <w:pPr>
        <w:pStyle w:val="Heading2"/>
      </w:pPr>
      <w:r>
        <w:rPr>
          <w:rFonts w:ascii="Times New Roman" w:hAnsi="Times New Roman"/>
          <w:b/>
          <w:i w:val="0"/>
          <w:color w:val="000000"/>
          <w:sz w:val="26"/>
        </w:rPr>
        <w:t>A.3 Inequality-marker sensitivity check</w:t>
      </w:r>
    </w:p>
    <w:p>
      <w:r>
        <w:rPr>
          <w:rFonts w:ascii="Times New Roman" w:hAnsi="Times New Roman"/>
          <w:b w:val="0"/>
          <w:i w:val="0"/>
          <w:color w:val="000000"/>
          <w:sz w:val="21"/>
        </w:rPr>
        <w:t>Because 'lodgers' and 'infirmary' are context-dependent indirect markers, a sensitivity check compares the full inequality retrieval layer with direct socioeconomic vocabulary only. The full layer is retained for candidate retrieval, while the direct-only series is used for the descriptive inequality column in Figure 3 so that context-dependent institutional language does not inflate the year-by-year frequency pattern.</w:t>
      </w:r>
    </w:p>
    <w:p>
      <w:r>
        <w:rPr>
          <w:rFonts w:ascii="Times New Roman" w:hAnsi="Times New Roman"/>
          <w:b w:val="0"/>
          <w:i w:val="0"/>
          <w:color w:val="000000"/>
          <w:sz w:val="21"/>
        </w:rPr>
        <w:t>The difference is material: the indirect markers add 21 raw hits and 12 distinct candidate passages. This confirms that they are useful for retrieval breadth but should not be treated as validated inequality prevalence without contextual review.</w:t>
      </w:r>
    </w:p>
    <w:p>
      <w:pPr>
        <w:pStyle w:val="Heading2"/>
      </w:pPr>
      <w:r>
        <w:rPr>
          <w:rFonts w:ascii="Times New Roman" w:hAnsi="Times New Roman"/>
          <w:b/>
          <w:i w:val="0"/>
          <w:color w:val="000000"/>
          <w:sz w:val="26"/>
        </w:rPr>
        <w:t>A.4 OCR exclusion example</w:t>
      </w:r>
    </w:p>
    <w:p>
      <w:r>
        <w:rPr>
          <w:rFonts w:ascii="Times New Roman" w:hAnsi="Times New Roman"/>
          <w:b/>
          <w:i w:val="0"/>
          <w:color w:val="000000"/>
          <w:sz w:val="21"/>
        </w:rPr>
        <w:t xml:space="preserve">LodingHouses: </w:t>
      </w:r>
      <w:r>
        <w:rPr>
          <w:rFonts w:ascii="Times New Roman" w:hAnsi="Times New Roman"/>
          <w:b w:val="0"/>
          <w:i w:val="0"/>
          <w:color w:val="000000"/>
          <w:sz w:val="21"/>
        </w:rPr>
        <w:t>OCR-induced misreading of LodgingHouses; documented during source verification and not added to lexical-normalisation aliases.</w:t>
      </w:r>
    </w:p>
    <w:p>
      <w:r>
        <w:rPr>
          <w:rFonts w:ascii="Times New Roman" w:hAnsi="Times New Roman"/>
          <w:b/>
          <w:i w:val="0"/>
          <w:color w:val="000000"/>
          <w:sz w:val="19"/>
        </w:rPr>
        <w:t xml:space="preserve">Note: </w:t>
      </w:r>
      <w:r>
        <w:rPr>
          <w:rFonts w:ascii="Times New Roman" w:hAnsi="Times New Roman"/>
          <w:b w:val="0"/>
          <w:i w:val="0"/>
          <w:color w:val="000000"/>
          <w:sz w:val="19"/>
        </w:rPr>
        <w:t>Raw counts are retrieval diagnostics rather than validated measures of thematic prevalence. In the project CSV files, the dissertation category 'sanitation' is stored under the machine-readable label 'sanitary'.</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endixCaption">
    <w:name w:val="Appendix Caption"/>
    <w:pPr>
      <w:spacing w:before="80" w:after="80"/>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