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D217FB4" w:rsidR="00BD041A" w:rsidRPr="00953074" w:rsidRDefault="00B978AA" w:rsidP="006A4E85">
      <w:pPr>
        <w:pStyle w:val="Title"/>
        <w:jc w:val="center"/>
        <w:rPr>
          <w:rFonts w:asciiTheme="majorHAnsi" w:hAnsiTheme="majorHAnsi" w:cstheme="majorHAnsi"/>
          <w:b/>
          <w:bCs/>
          <w:sz w:val="24"/>
          <w:szCs w:val="24"/>
        </w:rPr>
      </w:pPr>
      <w:r>
        <w:rPr>
          <w:rFonts w:asciiTheme="majorHAnsi" w:hAnsiTheme="majorHAnsi" w:cstheme="majorHAnsi"/>
          <w:b/>
          <w:bCs/>
          <w:sz w:val="24"/>
          <w:szCs w:val="24"/>
        </w:rPr>
        <w:t xml:space="preserve">Navigating the Transition to College: </w:t>
      </w:r>
      <w:commentRangeStart w:id="0"/>
      <w:commentRangeStart w:id="1"/>
      <w:r>
        <w:rPr>
          <w:rFonts w:asciiTheme="majorHAnsi" w:hAnsiTheme="majorHAnsi" w:cstheme="majorHAnsi"/>
          <w:b/>
          <w:bCs/>
          <w:sz w:val="24"/>
          <w:szCs w:val="24"/>
        </w:rPr>
        <w:t xml:space="preserve">LGBTQ+ </w:t>
      </w:r>
      <w:commentRangeEnd w:id="0"/>
      <w:r>
        <w:rPr>
          <w:rStyle w:val="CommentReference"/>
          <w:rFonts w:asciiTheme="majorHAnsi" w:hAnsiTheme="majorHAnsi" w:cstheme="majorHAnsi"/>
          <w:b/>
          <w:bCs/>
          <w:sz w:val="24"/>
          <w:szCs w:val="24"/>
        </w:rPr>
        <w:commentReference w:id="0"/>
      </w:r>
      <w:commentRangeEnd w:id="1"/>
      <w:r>
        <w:rPr>
          <w:rStyle w:val="CommentReference"/>
          <w:rFonts w:asciiTheme="majorHAnsi" w:hAnsiTheme="majorHAnsi" w:cstheme="majorHAnsi"/>
          <w:b/>
          <w:bCs/>
          <w:sz w:val="24"/>
          <w:szCs w:val="24"/>
        </w:rPr>
        <w:commentReference w:id="1"/>
      </w:r>
      <w:r>
        <w:rPr>
          <w:rFonts w:asciiTheme="majorHAnsi" w:hAnsiTheme="majorHAnsi" w:cstheme="majorHAnsi"/>
          <w:b/>
          <w:bCs/>
          <w:sz w:val="24"/>
          <w:szCs w:val="24"/>
        </w:rPr>
        <w:t>Students’ High School Experiences and Academic Plans</w:t>
      </w:r>
    </w:p>
    <w:p w14:paraId="7439AD65" w14:textId="77777777" w:rsidR="00BD041A" w:rsidRPr="00953074" w:rsidRDefault="00BD041A">
      <w:pPr>
        <w:jc w:val="center"/>
        <w:rPr>
          <w:rFonts w:asciiTheme="majorHAnsi" w:hAnsiTheme="majorHAnsi" w:cstheme="majorHAnsi"/>
          <w:b/>
          <w:bCs/>
        </w:rPr>
      </w:pPr>
    </w:p>
    <w:p w14:paraId="2518AF03" w14:textId="03E27BB3" w:rsidR="004B10E6" w:rsidRPr="00953074" w:rsidRDefault="003803B1" w:rsidP="003803B1">
      <w:pPr>
        <w:jc w:val="center"/>
        <w:rPr>
          <w:rFonts w:asciiTheme="majorHAnsi" w:hAnsiTheme="majorHAnsi" w:cstheme="majorHAnsi"/>
        </w:rPr>
      </w:pPr>
      <w:bookmarkStart w:id="2" w:name="_avl6ylu06or1" w:colFirst="0" w:colLast="0"/>
      <w:bookmarkEnd w:id="2"/>
      <w:r>
        <w:rPr>
          <w:rFonts w:asciiTheme="majorHAnsi" w:hAnsiTheme="majorHAnsi" w:cstheme="majorHAnsi"/>
          <w:i/>
          <w:iCs/>
        </w:rPr>
        <w:t>Authors</w:t>
      </w:r>
      <w:r>
        <w:rPr>
          <w:rFonts w:asciiTheme="majorHAnsi" w:hAnsiTheme="majorHAnsi" w:cstheme="majorHAnsi"/>
        </w:rPr>
        <w:t>: Christina Sun, Alexandria Hurtt, and Michal Kurlaender</w:t>
      </w:r>
    </w:p>
    <w:p w14:paraId="15BE25E0" w14:textId="77777777" w:rsidR="003803B1" w:rsidRPr="00953074" w:rsidRDefault="003803B1" w:rsidP="003803B1">
      <w:pPr>
        <w:rPr>
          <w:rFonts w:asciiTheme="majorHAnsi" w:hAnsiTheme="majorHAnsi" w:cstheme="majorHAnsi"/>
        </w:rPr>
      </w:pPr>
    </w:p>
    <w:p w14:paraId="4D3020B3" w14:textId="61634F09" w:rsidR="004B10E6" w:rsidRPr="00953074" w:rsidRDefault="00602BF5" w:rsidP="0071788A">
      <w:pPr>
        <w:spacing w:after="240"/>
        <w:jc w:val="center"/>
        <w:rPr>
          <w:rFonts w:asciiTheme="majorHAnsi" w:hAnsiTheme="majorHAnsi" w:cstheme="majorHAnsi"/>
          <w:b/>
          <w:bCs/>
        </w:rPr>
      </w:pPr>
      <w:r>
        <w:rPr>
          <w:rFonts w:asciiTheme="majorHAnsi" w:hAnsiTheme="majorHAnsi" w:cstheme="majorHAnsi"/>
          <w:b/>
          <w:bCs/>
        </w:rPr>
        <w:t>Abstract</w:t>
      </w:r>
    </w:p>
    <w:p w14:paraId="7439AD68" w14:textId="7451A0A7" w:rsidR="00BD041A" w:rsidRPr="00953074" w:rsidRDefault="00602BF5" w:rsidP="003803B1">
      <w:pPr>
        <w:spacing w:after="240" w:line="276" w:lineRule="auto"/>
        <w:ind w:firstLine="720"/>
        <w:rPr>
          <w:rFonts w:asciiTheme="majorHAnsi" w:hAnsiTheme="majorHAnsi" w:cstheme="majorHAnsi"/>
        </w:rPr>
      </w:pPr>
      <w:commentRangeStart w:id="3"/>
      <w:commentRangeStart w:id="4"/>
      <w:r>
        <w:rPr>
          <w:rFonts w:asciiTheme="majorHAnsi" w:hAnsiTheme="majorHAnsi" w:cstheme="majorHAnsi"/>
          <w:color w:val="000000"/>
        </w:rPr>
        <w:t xml:space="preserve">Limited research considers the diversity of experience </w:t>
      </w:r>
      <w:commentRangeStart w:id="5"/>
      <w:r>
        <w:rPr>
          <w:rFonts w:asciiTheme="majorHAnsi" w:hAnsiTheme="majorHAnsi" w:cstheme="majorHAnsi"/>
          <w:color w:val="000000"/>
        </w:rPr>
        <w:t>across</w:t>
      </w:r>
      <w:commentRangeEnd w:id="5"/>
      <w:r>
        <w:rPr>
          <w:rStyle w:val="CommentReference"/>
          <w:rFonts w:asciiTheme="majorHAnsi" w:hAnsiTheme="majorHAnsi" w:cstheme="majorHAnsi"/>
          <w:color w:val="000000"/>
          <w:sz w:val="24"/>
          <w:szCs w:val="24"/>
        </w:rPr>
        <w:commentReference w:id="5"/>
      </w:r>
      <w:r>
        <w:rPr>
          <w:rFonts w:asciiTheme="majorHAnsi" w:hAnsiTheme="majorHAnsi" w:cstheme="majorHAnsi"/>
          <w:color w:val="000000"/>
        </w:rPr>
        <w:t xml:space="preserve"> gender identity and sexual orientation during the transition from high school to college. Drawing</w:t>
      </w:r>
      <w:r>
        <w:rPr>
          <w:rFonts w:asciiTheme="majorHAnsi" w:hAnsiTheme="majorHAnsi" w:cstheme="majorHAnsi"/>
          <w:b/>
          <w:bCs/>
          <w:color w:val="000000"/>
        </w:rPr>
        <w:t xml:space="preserve"> </w:t>
      </w:r>
      <w:r>
        <w:rPr>
          <w:rFonts w:asciiTheme="majorHAnsi" w:hAnsiTheme="majorHAnsi" w:cstheme="majorHAnsi"/>
          <w:color w:val="000000"/>
        </w:rPr>
        <w:t>on the results of a large-scale survey (</w:t>
      </w:r>
      <w:r>
        <w:rPr>
          <w:rFonts w:asciiTheme="majorHAnsi" w:hAnsiTheme="majorHAnsi" w:cstheme="majorHAnsi"/>
          <w:i/>
          <w:iCs/>
          <w:color w:val="000000"/>
        </w:rPr>
        <w:t>n</w:t>
      </w:r>
      <w:r>
        <w:rPr>
          <w:rFonts w:asciiTheme="majorHAnsi" w:hAnsiTheme="majorHAnsi" w:cstheme="majorHAnsi"/>
          <w:color w:val="000000"/>
        </w:rPr>
        <w:t xml:space="preserve"> = 9,230) of California high school sen</w:t>
      </w:r>
      <w:r>
        <w:rPr>
          <w:rFonts w:asciiTheme="majorHAnsi" w:hAnsiTheme="majorHAnsi" w:cstheme="majorHAnsi"/>
        </w:rPr>
        <w:t xml:space="preserve">iors, </w:t>
      </w:r>
      <w:r>
        <w:rPr>
          <w:rFonts w:asciiTheme="majorHAnsi" w:hAnsiTheme="majorHAnsi" w:cstheme="majorHAnsi"/>
          <w:color w:val="000000"/>
        </w:rPr>
        <w:t xml:space="preserve">we examine LGBTQ+ </w:t>
      </w:r>
      <w:r>
        <w:rPr>
          <w:rFonts w:asciiTheme="majorHAnsi" w:hAnsiTheme="majorHAnsi" w:cstheme="majorHAnsi"/>
        </w:rPr>
        <w:t>students’ high school experiences and college expectations</w:t>
      </w:r>
      <w:r>
        <w:rPr>
          <w:rFonts w:asciiTheme="majorHAnsi" w:hAnsiTheme="majorHAnsi" w:cstheme="majorHAnsi"/>
          <w:color w:val="000000"/>
        </w:rPr>
        <w:t xml:space="preserve">, </w:t>
      </w:r>
      <w:r>
        <w:rPr>
          <w:rFonts w:asciiTheme="majorHAnsi" w:hAnsiTheme="majorHAnsi" w:cstheme="majorHAnsi"/>
        </w:rPr>
        <w:t>including</w:t>
      </w:r>
      <w:r>
        <w:rPr>
          <w:rFonts w:asciiTheme="majorHAnsi" w:hAnsiTheme="majorHAnsi" w:cstheme="majorHAnsi"/>
          <w:color w:val="000000"/>
        </w:rPr>
        <w:t xml:space="preserve"> their concerns about college</w:t>
      </w:r>
      <w:r>
        <w:rPr>
          <w:rFonts w:asciiTheme="majorHAnsi" w:hAnsiTheme="majorHAnsi" w:cstheme="majorHAnsi"/>
        </w:rPr>
        <w:t xml:space="preserve"> prior to </w:t>
      </w:r>
      <w:r>
        <w:rPr>
          <w:rFonts w:asciiTheme="majorHAnsi" w:hAnsiTheme="majorHAnsi" w:cstheme="majorHAnsi"/>
          <w:color w:val="000000"/>
        </w:rPr>
        <w:t xml:space="preserve">matriculation. </w:t>
      </w:r>
      <w:commentRangeStart w:id="6"/>
      <w:commentRangeStart w:id="7"/>
      <w:commentRangeStart w:id="8"/>
      <w:r>
        <w:rPr>
          <w:rFonts w:asciiTheme="majorHAnsi" w:hAnsiTheme="majorHAnsi" w:cstheme="majorHAnsi"/>
          <w:color w:val="000000"/>
        </w:rPr>
        <w:t xml:space="preserve">Findings reveal there is a statistically significant difference between the high school experiences of cisgender students and </w:t>
      </w:r>
      <w:r>
        <w:rPr>
          <w:rFonts w:asciiTheme="majorHAnsi" w:hAnsiTheme="majorHAnsi" w:cstheme="majorHAnsi"/>
        </w:rPr>
        <w:t>transgender</w:t>
      </w:r>
      <w:r>
        <w:rPr>
          <w:rFonts w:asciiTheme="majorHAnsi" w:hAnsiTheme="majorHAnsi" w:cstheme="majorHAnsi"/>
          <w:color w:val="000000"/>
        </w:rPr>
        <w:t xml:space="preserve"> and gender expansi</w:t>
      </w:r>
      <w:r>
        <w:rPr>
          <w:rFonts w:asciiTheme="majorHAnsi" w:hAnsiTheme="majorHAnsi" w:cstheme="majorHAnsi"/>
        </w:rPr>
        <w:t xml:space="preserve">ve </w:t>
      </w:r>
      <w:r>
        <w:rPr>
          <w:rFonts w:asciiTheme="majorHAnsi" w:hAnsiTheme="majorHAnsi" w:cstheme="majorHAnsi"/>
          <w:color w:val="000000"/>
        </w:rPr>
        <w:t>students, who, on average, report less positive experiences overall and substantially higher rates of identity-based bullying.</w:t>
      </w:r>
      <w:commentRangeEnd w:id="6"/>
      <w:r>
        <w:rPr>
          <w:rStyle w:val="CommentReference"/>
          <w:rFonts w:asciiTheme="majorHAnsi" w:hAnsiTheme="majorHAnsi" w:cstheme="majorHAnsi"/>
          <w:color w:val="000000"/>
          <w:sz w:val="24"/>
          <w:szCs w:val="24"/>
        </w:rPr>
        <w:commentReference w:id="6"/>
      </w:r>
      <w:commentRangeEnd w:id="7"/>
      <w:r>
        <w:rPr>
          <w:rStyle w:val="CommentReference"/>
          <w:rFonts w:asciiTheme="majorHAnsi" w:hAnsiTheme="majorHAnsi" w:cstheme="majorHAnsi"/>
          <w:color w:val="000000"/>
          <w:sz w:val="24"/>
          <w:szCs w:val="24"/>
        </w:rPr>
        <w:commentReference w:id="7"/>
      </w:r>
      <w:commentRangeEnd w:id="8"/>
      <w:r>
        <w:rPr>
          <w:rStyle w:val="CommentReference"/>
          <w:rFonts w:asciiTheme="majorHAnsi" w:hAnsiTheme="majorHAnsi" w:cstheme="majorHAnsi"/>
          <w:color w:val="000000"/>
          <w:sz w:val="24"/>
          <w:szCs w:val="24"/>
        </w:rPr>
        <w:commentReference w:id="8"/>
      </w:r>
      <w:r>
        <w:rPr>
          <w:rFonts w:asciiTheme="majorHAnsi" w:hAnsiTheme="majorHAnsi" w:cstheme="majorHAnsi"/>
          <w:color w:val="000000"/>
        </w:rPr>
        <w:t xml:space="preserve"> While </w:t>
      </w:r>
      <w:r>
        <w:rPr>
          <w:rFonts w:asciiTheme="majorHAnsi" w:hAnsiTheme="majorHAnsi" w:cstheme="majorHAnsi"/>
        </w:rPr>
        <w:t>transgender and gender expansive</w:t>
      </w:r>
      <w:r>
        <w:rPr>
          <w:rFonts w:asciiTheme="majorHAnsi" w:hAnsiTheme="majorHAnsi" w:cstheme="majorHAnsi"/>
          <w:color w:val="000000"/>
        </w:rPr>
        <w:t xml:space="preserve"> students maintained higher levels of worry about discrimination compared to cisgender students, binary-identifying transgender students </w:t>
      </w:r>
      <w:r>
        <w:rPr>
          <w:rFonts w:asciiTheme="majorHAnsi" w:hAnsiTheme="majorHAnsi" w:cstheme="majorHAnsi"/>
        </w:rPr>
        <w:t>were</w:t>
      </w:r>
      <w:r>
        <w:rPr>
          <w:rFonts w:asciiTheme="majorHAnsi" w:hAnsiTheme="majorHAnsi" w:cstheme="majorHAnsi"/>
          <w:color w:val="000000"/>
        </w:rPr>
        <w:t xml:space="preserve"> more likely to report concerns about discrimination compared to nonbinary and other gender diverse students. D</w:t>
      </w:r>
      <w:r>
        <w:rPr>
          <w:rFonts w:asciiTheme="majorHAnsi" w:hAnsiTheme="majorHAnsi" w:cstheme="majorHAnsi"/>
        </w:rPr>
        <w:t>espite heightened concerns about discrimination, transgender and gender expansive</w:t>
      </w:r>
      <w:r>
        <w:rPr>
          <w:rFonts w:asciiTheme="majorHAnsi" w:hAnsiTheme="majorHAnsi" w:cstheme="majorHAnsi"/>
          <w:color w:val="000000"/>
        </w:rPr>
        <w:t xml:space="preserve"> students maintained elevated educational aspirations, including higher rates of planned four-year enrollment and advanced degree pursuit compared to cisgender peers. Trans and gender expansive students were also more likely to intend to study humanities and the arts</w:t>
      </w:r>
      <w:r>
        <w:rPr>
          <w:rFonts w:asciiTheme="majorHAnsi" w:hAnsiTheme="majorHAnsi" w:cstheme="majorHAnsi"/>
        </w:rPr>
        <w:t>.</w:t>
      </w:r>
      <w:r>
        <w:rPr>
          <w:rFonts w:asciiTheme="majorHAnsi" w:hAnsiTheme="majorHAnsi" w:cstheme="majorHAnsi"/>
          <w:color w:val="000000"/>
        </w:rPr>
        <w:t xml:space="preserve"> </w:t>
      </w:r>
      <w:r>
        <w:rPr>
          <w:rFonts w:asciiTheme="majorHAnsi" w:hAnsiTheme="majorHAnsi" w:cstheme="majorHAnsi"/>
        </w:rPr>
        <w:t>These results carry implications for California education policy, including the need for targeted anti-bullying interventions, transition supports that build on student resilience, and continued collection and disaggregation of data by gender identity and sexual orientation.</w:t>
      </w:r>
      <w:commentRangeEnd w:id="3"/>
      <w:r w:rsidRPr="00953074">
        <w:rPr>
          <w:rStyle w:val="CommentReference"/>
          <w:rFonts w:asciiTheme="majorHAnsi" w:hAnsiTheme="majorHAnsi" w:cstheme="majorHAnsi"/>
          <w:sz w:val="24"/>
          <w:szCs w:val="24"/>
        </w:rPr>
        <w:commentReference w:id="3"/>
      </w:r>
      <w:commentRangeEnd w:id="4"/>
      <w:r w:rsidRPr="00953074">
        <w:rPr>
          <w:rStyle w:val="CommentReference"/>
          <w:rFonts w:asciiTheme="majorHAnsi" w:hAnsiTheme="majorHAnsi" w:cstheme="majorHAnsi"/>
          <w:sz w:val="24"/>
          <w:szCs w:val="24"/>
        </w:rPr>
        <w:commentReference w:id="4"/>
      </w:r>
    </w:p>
    <w:p w14:paraId="4AC81D2C" w14:textId="5ECC6C2E" w:rsidR="003803B1" w:rsidRPr="00953074" w:rsidRDefault="003803B1" w:rsidP="0071788A">
      <w:pPr>
        <w:spacing w:after="240"/>
        <w:jc w:val="center"/>
        <w:rPr>
          <w:rFonts w:asciiTheme="majorHAnsi" w:hAnsiTheme="majorHAnsi" w:cstheme="majorHAnsi"/>
          <w:b/>
          <w:bCs/>
        </w:rPr>
      </w:pPr>
      <w:commentRangeStart w:id="9"/>
      <w:commentRangeStart w:id="10"/>
      <w:r>
        <w:rPr>
          <w:rFonts w:asciiTheme="majorHAnsi" w:hAnsiTheme="majorHAnsi" w:cstheme="majorHAnsi"/>
          <w:b/>
          <w:bCs/>
        </w:rPr>
        <w:t>Acknowledgements</w:t>
      </w:r>
      <w:commentRangeEnd w:id="9"/>
      <w:r w:rsidRPr="00953074">
        <w:rPr>
          <w:rStyle w:val="CommentReference"/>
          <w:rFonts w:asciiTheme="majorHAnsi" w:hAnsiTheme="majorHAnsi" w:cstheme="majorHAnsi"/>
          <w:b/>
          <w:bCs/>
          <w:sz w:val="24"/>
          <w:szCs w:val="24"/>
        </w:rPr>
        <w:commentReference w:id="9"/>
      </w:r>
      <w:commentRangeEnd w:id="10"/>
      <w:r w:rsidRPr="00953074">
        <w:rPr>
          <w:rStyle w:val="CommentReference"/>
          <w:rFonts w:asciiTheme="majorHAnsi" w:hAnsiTheme="majorHAnsi" w:cstheme="majorHAnsi"/>
          <w:b/>
          <w:bCs/>
          <w:sz w:val="24"/>
          <w:szCs w:val="24"/>
        </w:rPr>
        <w:commentReference w:id="10"/>
      </w:r>
    </w:p>
    <w:p w14:paraId="4F73B13D" w14:textId="35CA2A7C" w:rsidR="003803B1" w:rsidRPr="00953074" w:rsidRDefault="003803B1" w:rsidP="003803B1">
      <w:pPr>
        <w:spacing w:line="276" w:lineRule="auto"/>
        <w:rPr>
          <w:rFonts w:asciiTheme="majorHAnsi" w:hAnsiTheme="majorHAnsi" w:cstheme="majorHAnsi"/>
        </w:rPr>
      </w:pPr>
      <w:r>
        <w:rPr>
          <w:rFonts w:asciiTheme="majorHAnsi" w:hAnsiTheme="majorHAnsi" w:cstheme="majorHAnsi"/>
        </w:rPr>
        <w:t xml:space="preserve">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 The authors are also grateful to Elizabeth Friedmann, Sherrie Reed, Paco Martorell, Scott Carrell, Kairo Weber, Baiyu Zhou, </w:t>
      </w:r>
      <w:r>
        <w:rPr>
          <w:rFonts w:asciiTheme="majorHAnsi" w:hAnsiTheme="majorHAnsi" w:cstheme="majorHAnsi"/>
          <w:lang w:val="en-US"/>
        </w:rPr>
        <w:t xml:space="preserve">Maria Charles, </w:t>
      </w:r>
      <w:r>
        <w:rPr>
          <w:rFonts w:asciiTheme="majorHAnsi" w:hAnsiTheme="majorHAnsi" w:cstheme="majorHAnsi"/>
        </w:rPr>
        <w:t>and Laurel Westbrook for their expertise and support in the construction of the survey, analysis, and/or review of findings.</w:t>
      </w:r>
      <w:r>
        <w:rPr>
          <w:rFonts w:asciiTheme="majorHAnsi" w:hAnsiTheme="majorHAnsi" w:cstheme="majorHAnsi"/>
        </w:rPr>
        <w:br w:type="page"/>
      </w:r>
    </w:p>
    <w:p w14:paraId="4A571014" w14:textId="77777777" w:rsidR="00174480" w:rsidRPr="00B621E1" w:rsidRDefault="00602BF5" w:rsidP="003803B1">
      <w:pPr>
        <w:pStyle w:val="Heading1"/>
        <w:spacing w:before="0" w:after="0" w:line="360" w:lineRule="auto"/>
        <w:rPr>
          <w:rFonts w:asciiTheme="majorHAnsi" w:hAnsiTheme="majorHAnsi" w:cstheme="majorHAnsi"/>
          <w:b/>
          <w:bCs/>
          <w:sz w:val="24"/>
          <w:szCs w:val="24"/>
        </w:rPr>
      </w:pPr>
      <w:bookmarkStart w:id="11" w:name="_ii9xsju3ahgq" w:colFirst="0" w:colLast="0"/>
      <w:bookmarkEnd w:id="11"/>
      <w:commentRangeStart w:id="12"/>
      <w:commentRangeStart w:id="13"/>
      <w:r>
        <w:rPr>
          <w:rFonts w:asciiTheme="majorHAnsi" w:hAnsiTheme="majorHAnsi" w:cstheme="majorHAnsi"/>
          <w:b/>
          <w:bCs/>
          <w:sz w:val="24"/>
          <w:szCs w:val="24"/>
        </w:rPr>
        <w:lastRenderedPageBreak/>
        <w:t>Introduction</w:t>
      </w:r>
      <w:commentRangeEnd w:id="12"/>
      <w:r w:rsidRPr="00B621E1">
        <w:rPr>
          <w:rStyle w:val="CommentReference"/>
          <w:rFonts w:asciiTheme="majorHAnsi" w:hAnsiTheme="majorHAnsi" w:cstheme="majorHAnsi"/>
          <w:b/>
          <w:bCs/>
          <w:sz w:val="24"/>
          <w:szCs w:val="24"/>
        </w:rPr>
        <w:commentReference w:id="12"/>
      </w:r>
      <w:commentRangeEnd w:id="13"/>
      <w:r w:rsidRPr="00B621E1">
        <w:rPr>
          <w:rStyle w:val="CommentReference"/>
          <w:rFonts w:asciiTheme="majorHAnsi" w:hAnsiTheme="majorHAnsi" w:cstheme="majorHAnsi"/>
          <w:b/>
          <w:bCs/>
          <w:sz w:val="24"/>
          <w:szCs w:val="24"/>
        </w:rPr>
        <w:commentReference w:id="13"/>
      </w:r>
    </w:p>
    <w:p w14:paraId="1BBF4742" w14:textId="5AF2B256"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 xml:space="preserve">A critical choice students make in high school is whether to pursue a postsecondary education. This choice is shaped by students’ experiences in high school (Kurlaender et al., 2019; Reed et al., 2023; Uwah et al., 2008), which can influence their educational aspirations and expectations (Bergerson, 2009)— important predictors of later educational attainment (Jacob &amp; Wilder, 2010; Sewell et al., 1969). Moreover, research has long documented differences in aspirations and expectations across student groups (Bergerson, 2009), including race/ethnicity, gender, and first-generation status (Kao &amp; Tienda, 1998; Mau &amp; Bikos, 2000; McCarron &amp; Inkelas, 2006; Solorzano, 1992; Trusty, 2002), with recent studies drawing on more expansive definitions of gender identity and sexual orientation (Aragon et al., 2014; Feldman et al., 2022). </w:t>
      </w:r>
    </w:p>
    <w:p w14:paraId="141D73D7" w14:textId="2A8635C2"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 xml:space="preserve">Despite this, gaps are still present in research examining the educational aspirations of different gender and sexual identities, including intended field of study in college. Given that lesbian, gay, bisexual, transgender, and queer (and/or questioning) (LGBTQ+) students are distinct groups (e.g., Beemyn, 2012; Nicolazzo, 2017; Watson et al., 2019), each of which likely experiences school and the college-going process differently, it is important to interrogate </w:t>
      </w:r>
      <w:r>
        <w:rPr>
          <w:rFonts w:asciiTheme="majorHAnsi" w:hAnsiTheme="majorHAnsi" w:cstheme="majorHAnsi"/>
          <w:color w:val="000000"/>
        </w:rPr>
        <w:t xml:space="preserve">the extent to which college aspirations and expectations differ by gender identity and sexual orientation. Moreover, as LGBTQ+ students </w:t>
      </w:r>
      <w:r>
        <w:rPr>
          <w:rFonts w:asciiTheme="majorHAnsi" w:hAnsiTheme="majorHAnsi" w:cstheme="majorHAnsi"/>
        </w:rPr>
        <w:t xml:space="preserve">frequently report experiencing harassment and discrimination in high school—often related to their sexual orientation, gender identity, and/or how they express their gender (Kosciw et al., 2021)—this may impact their specific academic aspirations and broader considerations about college, as school victimization can lead to </w:t>
      </w:r>
      <w:r>
        <w:rPr>
          <w:rFonts w:asciiTheme="majorHAnsi" w:hAnsiTheme="majorHAnsi" w:cstheme="majorHAnsi"/>
          <w:color w:val="000000"/>
        </w:rPr>
        <w:t>lower levels of school belonging and self-esteem,</w:t>
      </w:r>
      <w:r>
        <w:rPr>
          <w:rFonts w:asciiTheme="majorHAnsi" w:hAnsiTheme="majorHAnsi" w:cstheme="majorHAnsi"/>
        </w:rPr>
        <w:t xml:space="preserve"> </w:t>
      </w:r>
      <w:r>
        <w:rPr>
          <w:rFonts w:asciiTheme="majorHAnsi" w:hAnsiTheme="majorHAnsi" w:cstheme="majorHAnsi"/>
          <w:color w:val="000000"/>
        </w:rPr>
        <w:t>high rates of absenteeism</w:t>
      </w:r>
      <w:r>
        <w:rPr>
          <w:rFonts w:asciiTheme="majorHAnsi" w:hAnsiTheme="majorHAnsi" w:cstheme="majorHAnsi"/>
        </w:rPr>
        <w:t>, and diminished academic outcomes, including college enrollment (Aragon et al., 2014; Heck et al., 2014; Kosciw et al., 2013; Sansone, 2019). How differences in LGBTQ+ students’ secondary experiences may affect their educational trajectories is also important to examine, particularly as federal protections for LGBTQ+ students have been rolled back in the current administration (Schultz, 2025). This work thus aims to examine associations between gender identity and specific academic aspirations (e.g., type of college, intended field of study) and college concerns among college-bound 12</w:t>
      </w:r>
      <w:r>
        <w:rPr>
          <w:rFonts w:asciiTheme="majorHAnsi" w:hAnsiTheme="majorHAnsi" w:cstheme="majorHAnsi"/>
          <w:vertAlign w:val="superscript"/>
        </w:rPr>
        <w:t>th</w:t>
      </w:r>
      <w:r>
        <w:rPr>
          <w:rFonts w:asciiTheme="majorHAnsi" w:hAnsiTheme="majorHAnsi" w:cstheme="majorHAnsi"/>
        </w:rPr>
        <w:t xml:space="preserve"> graders in California. In addition, we evaluate whether any differences in </w:t>
      </w:r>
      <w:r>
        <w:rPr>
          <w:rFonts w:asciiTheme="majorHAnsi" w:hAnsiTheme="majorHAnsi" w:cstheme="majorHAnsi"/>
        </w:rPr>
        <w:lastRenderedPageBreak/>
        <w:t>students’ aspirations and expectations may be attributable, at least in part, to differences in high school experiences, including whether a student faced harassment or bullying.</w:t>
      </w:r>
    </w:p>
    <w:p w14:paraId="7439AD6E" w14:textId="79C91CC1" w:rsidR="00BD041A" w:rsidRPr="00B621E1" w:rsidRDefault="00482F21" w:rsidP="003803B1">
      <w:pPr>
        <w:spacing w:line="360" w:lineRule="auto"/>
        <w:ind w:firstLine="720"/>
        <w:rPr>
          <w:rFonts w:asciiTheme="majorHAnsi" w:hAnsiTheme="majorHAnsi" w:cstheme="majorHAnsi"/>
        </w:rPr>
      </w:pPr>
      <w:r>
        <w:rPr>
          <w:rFonts w:asciiTheme="majorHAnsi" w:hAnsiTheme="majorHAnsi" w:cstheme="majorHAnsi"/>
        </w:rPr>
        <w:t xml:space="preserve">Therefore, this study explores the following research questions: (1) Do students’ college aspirations and expectations differ by gender identity and sexual orientation? and (2) if so, to what extent are these observed differences attributable to students’ high school experiences? Drawing on the results of a large-scale survey conducted in partnership with the state agency responsible for administering financial aid in California, we explore patterns in high school experiences and college expectations (including academic plans, concerns, and excitements) to investigate what LGBTQ+ students, particularly those that identify as transgender and gender expansive, consider ahead of the college transition. We specifically highlight trans and gender expansive students as they often face distinct social challenges cisgender LGB+ students may not experience at the same rate (James et al., 2016). By examining trans and gender expansive students in addition to other subgroups of the LGBTQ+ community, we can analyze potential inequalities students may experience and how this might influence the college transition process. </w:t>
      </w:r>
    </w:p>
    <w:p w14:paraId="7439AD6F" w14:textId="5BD17C6D" w:rsidR="00BD041A" w:rsidRDefault="00602BF5" w:rsidP="003803B1">
      <w:pPr>
        <w:spacing w:line="360" w:lineRule="auto"/>
        <w:ind w:firstLine="720"/>
        <w:rPr>
          <w:rFonts w:asciiTheme="majorHAnsi" w:hAnsiTheme="majorHAnsi" w:cstheme="majorHAnsi"/>
        </w:rPr>
      </w:pPr>
      <w:r>
        <w:rPr>
          <w:rFonts w:asciiTheme="majorHAnsi" w:hAnsiTheme="majorHAnsi" w:cstheme="majorHAnsi"/>
        </w:rPr>
        <w:t>This study focuses on California students given the state’s broad diversity across demographics, geography, and postsecondary opportunities. California is a particularly important context for this analysis as the state has historically adopted more protective policies for LGBTQ+ students compared to other states (e.g., the FAIR Education Act, comprehensive anti-discrimination protections) and maintains one of the most diverse student populations in the nation</w:t>
      </w:r>
      <w:commentRangeStart w:id="14"/>
      <w:r>
        <w:rPr>
          <w:rFonts w:asciiTheme="majorHAnsi" w:hAnsiTheme="majorHAnsi" w:cstheme="majorHAnsi"/>
        </w:rPr>
        <w:t>.</w:t>
      </w:r>
      <w:commentRangeEnd w:id="14"/>
      <w:r>
        <w:rPr>
          <w:rStyle w:val="CommentReference"/>
          <w:rFonts w:asciiTheme="majorHAnsi" w:hAnsiTheme="majorHAnsi" w:cstheme="majorHAnsi"/>
          <w:sz w:val="24"/>
          <w:szCs w:val="24"/>
        </w:rPr>
        <w:commentReference w:id="14"/>
      </w:r>
    </w:p>
    <w:p w14:paraId="2FCE29CA" w14:textId="77777777" w:rsidR="00662874" w:rsidRPr="00B621E1" w:rsidRDefault="00662874" w:rsidP="00662874">
      <w:pPr>
        <w:pStyle w:val="Heading2"/>
        <w:spacing w:before="0" w:after="0" w:line="360" w:lineRule="auto"/>
        <w:rPr>
          <w:rFonts w:asciiTheme="majorHAnsi" w:hAnsiTheme="majorHAnsi" w:cstheme="majorHAnsi"/>
          <w:b/>
          <w:bCs/>
          <w:sz w:val="24"/>
          <w:szCs w:val="28"/>
        </w:rPr>
      </w:pPr>
      <w:r>
        <w:rPr>
          <w:rFonts w:asciiTheme="majorHAnsi" w:hAnsiTheme="majorHAnsi" w:cstheme="majorHAnsi"/>
          <w:b/>
          <w:bCs/>
          <w:sz w:val="24"/>
          <w:szCs w:val="28"/>
        </w:rPr>
        <w:t>Defining Gender Identity and Sexual Orientation</w:t>
      </w:r>
    </w:p>
    <w:p w14:paraId="64A52D77" w14:textId="6EC2B770" w:rsidR="00662874" w:rsidRPr="00B621E1" w:rsidRDefault="00662874" w:rsidP="00662874">
      <w:pPr>
        <w:spacing w:line="360" w:lineRule="auto"/>
        <w:ind w:firstLine="720"/>
        <w:rPr>
          <w:rFonts w:asciiTheme="majorHAnsi" w:hAnsiTheme="majorHAnsi" w:cstheme="majorHAnsi"/>
        </w:rPr>
      </w:pPr>
      <w:r>
        <w:rPr>
          <w:rFonts w:asciiTheme="majorHAnsi" w:hAnsiTheme="majorHAnsi" w:cstheme="majorHAnsi"/>
        </w:rPr>
        <w:t xml:space="preserve">Students use a variety of labels to describe both their gender identity and sexual orientation (Callis, 2014; Galupo et al., 2015), reflecting the fact that traditional binary labels (e.g., woman, man, heterosexual, homosexual) are often constraining descriptors for the complex ways individuals experience gender and sexuality (Hammack et al., 2022). Moreover, research suggests students are constructing their own identities through different labels (Watson et al., 2019; White et al., 2018). Accordingly, gender identities beyond the established binary are increasingly recognized and additional labels have also emerged to describe sexual </w:t>
      </w:r>
      <w:r>
        <w:rPr>
          <w:rFonts w:asciiTheme="majorHAnsi" w:hAnsiTheme="majorHAnsi" w:cstheme="majorHAnsi"/>
        </w:rPr>
        <w:lastRenderedPageBreak/>
        <w:t xml:space="preserve">orientation apart from those traditionally defined (Galupo et al., 2015). Although individuals continue to identify with traditional binary labels, many students now use a more expansive set of labels for both gender (e.g., nonbinary, genderfluid) and sexual orientation (e.g., asexual, queer) (Beemyn, 2022; Hammack et al., 2022). Additionally, not every individual may feel comfortable selecting a label, or may be unsure about which labels to select, with </w:t>
      </w:r>
      <w:r>
        <w:rPr>
          <w:rFonts w:asciiTheme="majorHAnsi" w:hAnsiTheme="majorHAnsi" w:cstheme="majorHAnsi"/>
          <w:i/>
          <w:iCs/>
        </w:rPr>
        <w:t>questioning</w:t>
      </w:r>
      <w:r>
        <w:rPr>
          <w:rFonts w:asciiTheme="majorHAnsi" w:hAnsiTheme="majorHAnsi" w:cstheme="majorHAnsi"/>
        </w:rPr>
        <w:t xml:space="preserve"> and </w:t>
      </w:r>
      <w:r>
        <w:rPr>
          <w:rFonts w:asciiTheme="majorHAnsi" w:hAnsiTheme="majorHAnsi" w:cstheme="majorHAnsi"/>
          <w:i/>
          <w:iCs/>
        </w:rPr>
        <w:t>unsure</w:t>
      </w:r>
      <w:r>
        <w:rPr>
          <w:rFonts w:asciiTheme="majorHAnsi" w:hAnsiTheme="majorHAnsi" w:cstheme="majorHAnsi"/>
        </w:rPr>
        <w:t xml:space="preserve"> commonly reported terms for both gender identity and sexual orientation (Watson et al., 2019; White et al., 2018).</w:t>
      </w:r>
      <w:commentRangeStart w:id="15"/>
      <w:commentRangeStart w:id="16"/>
      <w:r>
        <w:rPr>
          <w:rFonts w:asciiTheme="majorHAnsi" w:hAnsiTheme="majorHAnsi" w:cstheme="majorHAnsi"/>
        </w:rPr>
        <w:t xml:space="preserve"> In this study, we utilize a novel dataset that acknowledges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commentRangeEnd w:id="15"/>
      <w:r w:rsidRPr="00B621E1">
        <w:rPr>
          <w:rStyle w:val="CommentReference"/>
          <w:rFonts w:asciiTheme="majorHAnsi" w:hAnsiTheme="majorHAnsi" w:cstheme="majorHAnsi"/>
          <w:sz w:val="24"/>
          <w:szCs w:val="24"/>
        </w:rPr>
        <w:commentReference w:id="15"/>
      </w:r>
      <w:commentRangeEnd w:id="16"/>
      <w:r w:rsidR="00B729F0" w:rsidRPr="00B621E1">
        <w:rPr>
          <w:rStyle w:val="CommentReference"/>
          <w:rFonts w:asciiTheme="majorHAnsi" w:hAnsiTheme="majorHAnsi" w:cstheme="majorHAnsi"/>
          <w:sz w:val="24"/>
          <w:szCs w:val="24"/>
        </w:rPr>
        <w:commentReference w:id="16"/>
      </w:r>
    </w:p>
    <w:p w14:paraId="7439AD70" w14:textId="45C5BC39" w:rsidR="00BD041A" w:rsidRDefault="00602BF5" w:rsidP="003803B1">
      <w:pPr>
        <w:spacing w:line="360" w:lineRule="auto"/>
        <w:ind w:firstLine="720"/>
        <w:rPr>
          <w:rFonts w:asciiTheme="majorHAnsi" w:hAnsiTheme="majorHAnsi" w:cstheme="majorHAnsi"/>
        </w:rPr>
      </w:pPr>
      <w:r>
        <w:rPr>
          <w:rFonts w:asciiTheme="majorHAnsi" w:hAnsiTheme="majorHAnsi" w:cstheme="majorHAnsi"/>
        </w:rPr>
        <w:t>This paper is organized as follows: We first review prior literature and the theoretical frameworks guiding our analysis. Next, we describe our data sources, key measures, and analytic approach, followed by quantitative and qualitative findings. We then discuss limitations before considering implications for California education policy.</w:t>
      </w:r>
    </w:p>
    <w:p w14:paraId="5BB07B10" w14:textId="77777777" w:rsidR="009C1F75" w:rsidRPr="00B621E1" w:rsidRDefault="009C1F75" w:rsidP="003803B1">
      <w:pPr>
        <w:spacing w:line="360" w:lineRule="auto"/>
        <w:ind w:firstLine="720"/>
        <w:rPr>
          <w:rFonts w:asciiTheme="majorHAnsi" w:hAnsiTheme="majorHAnsi" w:cstheme="majorHAnsi"/>
        </w:rPr>
      </w:pPr>
    </w:p>
    <w:p w14:paraId="65C16B3B" w14:textId="563F5589" w:rsidR="004B324A" w:rsidRPr="00B621E1" w:rsidRDefault="00602BF5" w:rsidP="003803B1">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t>Theoretical Background and Prior Literature</w:t>
      </w:r>
    </w:p>
    <w:p w14:paraId="7439AD74" w14:textId="7432A72B" w:rsidR="00BD041A" w:rsidRPr="00B621E1" w:rsidRDefault="00602BF5" w:rsidP="003803B1">
      <w:pPr>
        <w:spacing w:line="360" w:lineRule="auto"/>
        <w:ind w:firstLine="720"/>
        <w:rPr>
          <w:rFonts w:asciiTheme="majorHAnsi" w:eastAsia="Arial" w:hAnsiTheme="majorHAnsi" w:cstheme="majorHAnsi"/>
        </w:rPr>
      </w:pPr>
      <w:r>
        <w:rPr>
          <w:rFonts w:asciiTheme="majorHAnsi" w:hAnsiTheme="majorHAnsi" w:cstheme="majorHAnsi"/>
        </w:rPr>
        <w:t xml:space="preserve">The transition from high school to college is shaped by a confluence of individual and institutional factors that can affect students’ educational expectations and later attainment (Kurlaender et al., 2019). Individual differences, relationships, the school one attends, and broader context all play a role during this critical period (Luh et al., 2023; Pike &amp; Robbins, 2016). At the student level, attributes such as motivation, self-efficacy, and academic performance moderate students’ educational </w:t>
      </w:r>
      <w:commentRangeStart w:id="17"/>
      <w:commentRangeStart w:id="18"/>
      <w:r>
        <w:rPr>
          <w:rFonts w:asciiTheme="majorHAnsi" w:hAnsiTheme="majorHAnsi" w:cstheme="majorHAnsi"/>
          <w:highlight w:val="yellow"/>
        </w:rPr>
        <w:t>trajectory</w:t>
      </w:r>
      <w:commentRangeEnd w:id="18"/>
      <w:r>
        <w:rPr>
          <w:rStyle w:val="CommentReference"/>
          <w:rFonts w:asciiTheme="majorHAnsi" w:hAnsiTheme="majorHAnsi" w:cstheme="majorHAnsi"/>
          <w:sz w:val="24"/>
          <w:szCs w:val="24"/>
          <w:highlight w:val="yellow"/>
        </w:rPr>
        <w:commentReference w:id="18"/>
      </w:r>
      <w:r>
        <w:rPr>
          <w:rFonts w:asciiTheme="majorHAnsi" w:hAnsiTheme="majorHAnsi" w:cstheme="majorHAnsi"/>
          <w:highlight w:val="yellow"/>
        </w:rPr>
        <w:t xml:space="preserve"> (CITE).</w:t>
      </w:r>
      <w:commentRangeEnd w:id="17"/>
      <w:r>
        <w:rPr>
          <w:rStyle w:val="CommentReference"/>
          <w:rFonts w:asciiTheme="majorHAnsi" w:hAnsiTheme="majorHAnsi" w:cstheme="majorHAnsi"/>
          <w:sz w:val="24"/>
          <w:szCs w:val="24"/>
        </w:rPr>
        <w:commentReference w:id="17"/>
      </w:r>
      <w:r>
        <w:rPr>
          <w:rFonts w:asciiTheme="majorHAnsi" w:hAnsiTheme="majorHAnsi" w:cstheme="majorHAnsi"/>
        </w:rPr>
        <w:t xml:space="preserve"> Moreover, high school academic performance is associated with one’s aspirations to both two- and four-year colleges (DesJardins et al., 2019), suggesting that students’ perceptions of their chances of admission and success also guide their postsecondary ambitions. </w:t>
      </w:r>
    </w:p>
    <w:p w14:paraId="7439AD75" w14:textId="6CCCC73F" w:rsidR="00BD041A" w:rsidRPr="00B621E1" w:rsidRDefault="00602BF5" w:rsidP="003803B1">
      <w:pPr>
        <w:spacing w:line="360" w:lineRule="auto"/>
        <w:ind w:firstLine="720"/>
        <w:rPr>
          <w:rFonts w:asciiTheme="majorHAnsi" w:eastAsia="Arial" w:hAnsiTheme="majorHAnsi" w:cstheme="majorHAnsi"/>
          <w:color w:val="96607D"/>
          <w:highlight w:val="white"/>
          <w:u w:val="single"/>
        </w:rPr>
      </w:pPr>
      <w:r>
        <w:rPr>
          <w:rFonts w:asciiTheme="majorHAnsi" w:hAnsiTheme="majorHAnsi" w:cstheme="majorHAnsi"/>
        </w:rPr>
        <w:t xml:space="preserve">Additionally, research has long demonstrated that various forms of social and cultural capital play a role in shaping students’ educational pathways (Bourdieu, 1986; Dumais &amp; Ward, 2010; Merolla &amp; Jackson, 2014; Plagens, 2011; Wells, 2008). For example, social capital, or the </w:t>
      </w:r>
      <w:r>
        <w:rPr>
          <w:rFonts w:asciiTheme="majorHAnsi" w:hAnsiTheme="majorHAnsi" w:cstheme="majorHAnsi"/>
        </w:rPr>
        <w:lastRenderedPageBreak/>
        <w:t>resources available through one’s social networks, shapes college-going outcomes. Research shows that relationships with peers, family members, and mentors can support students’ acquisition of valuable information about the college application and enrollment process and help develop stronger college-going attitudes and behaviors (Alvarado &amp; An, 2015; Hill, 2008; Perna, 2000; Skobba et al., 2018). Students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particularly important to the college-going process. Beyond social capital, research suggests LGBTQ+ students living in cis-normative environments exhibit particular strengths, or possess several types of queer cultural capital (Pennell, 2016). This includes navigational capital, or the ability to navigate schools and other institutional systems that are not always designed with LGBTQ+ students in mind. Here, students must learn to navigate systems and spaces (e.g., cis-normative school and state policies about gendered restrooms, sports participation), potentially in creative ways, in order to access the psychological, social, cultural, and physical resources they need for their well-being (Pennell, 2016).</w:t>
      </w:r>
    </w:p>
    <w:p w14:paraId="7439AD76" w14:textId="6DBCE57D"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At the institutional level, schools shape students’ expectations of college and future educational attainment through the environments they cultivate (Eccles &amp; Roeser, 2011; Uwah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students’ perception of school climates may be inherently different from those of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affect psycho-social outcomes (Hunter et </w:t>
      </w:r>
      <w:r>
        <w:rPr>
          <w:rFonts w:asciiTheme="majorHAnsi" w:hAnsiTheme="majorHAnsi" w:cstheme="majorHAnsi"/>
        </w:rPr>
        <w:lastRenderedPageBreak/>
        <w:t>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victimization, reduced feelings of school belonging, and emotional distress can have a negative effect on school attendance, academic performance, and expectations to enroll in a four-year college for all LGBTQ+ youth (Aragon et al., 2014). Altogether, research suggests students’ high school experiences influence their future educational behavior (Gong &amp; Toutkoushian, 2024).</w:t>
      </w:r>
    </w:p>
    <w:p w14:paraId="7439AD77" w14:textId="77777777"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Our work is thus motivated by several interconnected frameworks to understand how LGBTQ+ students navigate the transition from high school to college. First, we draw on a newer model of college choice outlined by Klasik and colleagues (2025) that builds upon prior models (e.g., Hossler &amp; Gallagher, 1987; Perna, 2006) to include expectations as a critical component in students’ predisposition for college. We examine the ways in which high school experiences influence students’ college expectations (including academic plans, concerns, and excitements) in the spring of their senior year and focus on an understudied and marginalized group: LGBTQ+ students.</w:t>
      </w:r>
    </w:p>
    <w:p w14:paraId="7439AD78" w14:textId="065C4A5F" w:rsidR="00BD041A" w:rsidRPr="00B621E1" w:rsidRDefault="00602BF5" w:rsidP="003803B1">
      <w:pPr>
        <w:spacing w:line="360" w:lineRule="auto"/>
        <w:ind w:firstLine="720"/>
        <w:rPr>
          <w:rFonts w:asciiTheme="majorHAnsi" w:hAnsiTheme="majorHAnsi" w:cstheme="majorHAnsi"/>
          <w:strike/>
        </w:rPr>
      </w:pPr>
      <w:r>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 at school and within society more generally (Kosciw et al., 2022). LGBTQ+ youth that</w:t>
      </w:r>
      <w:commentRangeStart w:id="19"/>
      <w:r>
        <w:rPr>
          <w:rFonts w:asciiTheme="majorHAnsi" w:hAnsiTheme="majorHAnsi" w:cstheme="majorHAnsi"/>
        </w:rPr>
        <w:t xml:space="preserve"> faced harassment or social exclusion i</w:t>
      </w:r>
      <w:commentRangeEnd w:id="19"/>
      <w:r>
        <w:rPr>
          <w:rStyle w:val="CommentReference"/>
          <w:rFonts w:asciiTheme="majorHAnsi" w:hAnsiTheme="majorHAnsi" w:cstheme="majorHAnsi"/>
          <w:sz w:val="24"/>
          <w:szCs w:val="24"/>
        </w:rPr>
        <w:commentReference w:id="19"/>
      </w:r>
      <w:r>
        <w:rPr>
          <w:rFonts w:asciiTheme="majorHAnsi" w:hAnsiTheme="majorHAnsi" w:cstheme="majorHAnsi"/>
        </w:rPr>
        <w:t xml:space="preserve">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discomfort or </w:t>
      </w:r>
      <w:commentRangeStart w:id="20"/>
      <w:r>
        <w:rPr>
          <w:rFonts w:asciiTheme="majorHAnsi" w:hAnsiTheme="majorHAnsi" w:cstheme="majorHAnsi"/>
        </w:rPr>
        <w:t>hostility</w:t>
      </w:r>
      <w:commentRangeEnd w:id="20"/>
      <w:r>
        <w:rPr>
          <w:rStyle w:val="CommentReference"/>
          <w:rFonts w:asciiTheme="majorHAnsi" w:hAnsiTheme="majorHAnsi" w:cstheme="majorHAnsi"/>
          <w:sz w:val="24"/>
          <w:szCs w:val="24"/>
        </w:rPr>
        <w:commentReference w:id="20"/>
      </w:r>
      <w:r>
        <w:rPr>
          <w:rFonts w:asciiTheme="majorHAnsi" w:hAnsiTheme="majorHAnsi" w:cstheme="majorHAnsi"/>
        </w:rPr>
        <w:t xml:space="preserve">) (O’Neill &amp; Conron et al., 2022). As college transitions vary across demographic differences, including gender (Means et al., 2016; Toutkoushian et al., 2018), students’ identities concurrently influence their lived experiences and expectations for their pathway to college (Feldman et al., 2022; Fotopoulou, 2012). Therefore, it is important to </w:t>
      </w:r>
      <w:r>
        <w:rPr>
          <w:rFonts w:asciiTheme="majorHAnsi" w:hAnsiTheme="majorHAnsi" w:cstheme="majorHAnsi"/>
        </w:rPr>
        <w:lastRenderedPageBreak/>
        <w:t>consider different elements of students’ identities in addition to how those identities are shaped by students’ networks and environment. The differences we observe in LGBTQ+ students’ expectations for college will reflect students’ experiences and the ways in which they navigate their own situated context.</w:t>
      </w:r>
    </w:p>
    <w:p w14:paraId="7439AD79" w14:textId="77777777" w:rsidR="00BD041A" w:rsidRPr="00B621E1" w:rsidRDefault="00602BF5" w:rsidP="003803B1">
      <w:pPr>
        <w:pStyle w:val="Heading1"/>
        <w:spacing w:before="0" w:after="0" w:line="360" w:lineRule="auto"/>
        <w:rPr>
          <w:rFonts w:asciiTheme="majorHAnsi" w:hAnsiTheme="majorHAnsi" w:cstheme="majorHAnsi"/>
          <w:b/>
          <w:bCs/>
          <w:sz w:val="24"/>
          <w:szCs w:val="24"/>
        </w:rPr>
      </w:pPr>
      <w:bookmarkStart w:id="21" w:name="_5ky22jfqr96o" w:colFirst="0" w:colLast="0"/>
      <w:bookmarkEnd w:id="21"/>
      <w:commentRangeStart w:id="22"/>
      <w:commentRangeStart w:id="23"/>
      <w:r>
        <w:rPr>
          <w:rFonts w:asciiTheme="majorHAnsi" w:hAnsiTheme="majorHAnsi" w:cstheme="majorHAnsi"/>
          <w:b/>
          <w:bCs/>
          <w:sz w:val="24"/>
          <w:szCs w:val="24"/>
        </w:rPr>
        <w:t>Data and Methods</w:t>
      </w:r>
      <w:commentRangeEnd w:id="22"/>
      <w:r w:rsidRPr="00B621E1">
        <w:rPr>
          <w:rStyle w:val="CommentReference"/>
          <w:rFonts w:asciiTheme="majorHAnsi" w:hAnsiTheme="majorHAnsi" w:cstheme="majorHAnsi"/>
          <w:b/>
          <w:bCs/>
          <w:sz w:val="24"/>
          <w:szCs w:val="24"/>
        </w:rPr>
        <w:commentReference w:id="22"/>
      </w:r>
      <w:commentRangeEnd w:id="23"/>
      <w:r w:rsidRPr="00B621E1">
        <w:rPr>
          <w:rStyle w:val="CommentReference"/>
          <w:rFonts w:asciiTheme="majorHAnsi" w:hAnsiTheme="majorHAnsi" w:cstheme="majorHAnsi"/>
          <w:b/>
          <w:bCs/>
          <w:sz w:val="24"/>
          <w:szCs w:val="24"/>
        </w:rPr>
        <w:commentReference w:id="23"/>
      </w:r>
    </w:p>
    <w:p w14:paraId="14EE8AF4" w14:textId="667B6A45" w:rsidR="004B324A" w:rsidRPr="00B621E1" w:rsidRDefault="00602BF5" w:rsidP="003803B1">
      <w:pPr>
        <w:pStyle w:val="Heading2"/>
        <w:spacing w:before="0" w:after="0" w:line="360" w:lineRule="auto"/>
        <w:rPr>
          <w:rFonts w:asciiTheme="majorHAnsi" w:hAnsiTheme="majorHAnsi" w:cstheme="majorHAnsi"/>
          <w:b/>
          <w:bCs/>
          <w:sz w:val="24"/>
          <w:szCs w:val="28"/>
        </w:rPr>
      </w:pPr>
      <w:bookmarkStart w:id="24" w:name="_ygz5vxudccsk" w:colFirst="0" w:colLast="0"/>
      <w:bookmarkEnd w:id="24"/>
      <w:commentRangeStart w:id="25"/>
      <w:r>
        <w:rPr>
          <w:rFonts w:asciiTheme="majorHAnsi" w:hAnsiTheme="majorHAnsi" w:cstheme="majorHAnsi"/>
          <w:b/>
          <w:bCs/>
          <w:sz w:val="24"/>
          <w:szCs w:val="28"/>
        </w:rPr>
        <w:t>Survey Instrument and Sample Characteristics</w:t>
      </w:r>
      <w:commentRangeEnd w:id="25"/>
      <w:r w:rsidRPr="00B621E1">
        <w:rPr>
          <w:rStyle w:val="CommentReference"/>
          <w:rFonts w:asciiTheme="majorHAnsi" w:hAnsiTheme="majorHAnsi" w:cstheme="majorHAnsi"/>
          <w:b/>
          <w:bCs/>
          <w:sz w:val="24"/>
          <w:szCs w:val="28"/>
        </w:rPr>
        <w:commentReference w:id="25"/>
      </w:r>
    </w:p>
    <w:p w14:paraId="058755F4" w14:textId="7298B396" w:rsidR="008B078D" w:rsidRDefault="00602BF5" w:rsidP="008B078D">
      <w:pPr>
        <w:spacing w:line="360" w:lineRule="auto"/>
        <w:ind w:firstLine="720"/>
        <w:rPr>
          <w:rFonts w:asciiTheme="majorHAnsi" w:hAnsiTheme="majorHAnsi" w:cstheme="majorHAnsi"/>
          <w:b/>
          <w:bCs/>
        </w:rPr>
      </w:pPr>
      <w:r>
        <w:rPr>
          <w:rFonts w:asciiTheme="majorHAnsi" w:hAnsiTheme="majorHAnsi" w:cstheme="majorHAnsi"/>
        </w:rPr>
        <w:t>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Pr>
          <w:rStyle w:val="FootnoteReference"/>
          <w:rFonts w:asciiTheme="majorHAnsi" w:hAnsiTheme="majorHAnsi" w:cstheme="majorHAnsi"/>
        </w:rPr>
        <w:footnoteReference w:id="1"/>
      </w:r>
      <w:r>
        <w:rPr>
          <w:rFonts w:asciiTheme="majorHAnsi" w:hAnsiTheme="majorHAnsi" w:cstheme="majorHAnsi"/>
        </w:rPr>
        <w:t xml:space="preserve"> </w:t>
      </w:r>
      <w:commentRangeStart w:id="26"/>
      <w:commentRangeStart w:id="27"/>
      <w:r>
        <w:rPr>
          <w:rFonts w:asciiTheme="majorHAnsi" w:hAnsiTheme="majorHAnsi" w:cstheme="majorHAnsi"/>
        </w:rPr>
        <w:t>A</w:t>
      </w:r>
      <w:commentRangeEnd w:id="26"/>
      <w:r>
        <w:rPr>
          <w:rStyle w:val="CommentReference"/>
          <w:rFonts w:asciiTheme="majorHAnsi" w:hAnsiTheme="majorHAnsi" w:cstheme="majorHAnsi"/>
          <w:sz w:val="24"/>
          <w:szCs w:val="24"/>
        </w:rPr>
        <w:commentReference w:id="26"/>
      </w:r>
      <w:commentRangeEnd w:id="27"/>
      <w:r>
        <w:rPr>
          <w:rStyle w:val="CommentReference"/>
          <w:rFonts w:asciiTheme="majorHAnsi" w:hAnsiTheme="majorHAnsi" w:cstheme="majorHAnsi"/>
          <w:sz w:val="24"/>
          <w:szCs w:val="24"/>
        </w:rPr>
        <w:commentReference w:id="27"/>
      </w:r>
      <w:r>
        <w:rPr>
          <w:rFonts w:asciiTheme="majorHAnsi" w:hAnsiTheme="majorHAnsi" w:cstheme="majorHAnsi"/>
        </w:rPr>
        <w:t xml:space="preserve"> total of </w:t>
      </w:r>
      <w:r>
        <w:rPr>
          <w:rFonts w:asciiTheme="majorHAnsi" w:hAnsiTheme="majorHAnsi" w:cstheme="majorHAnsi"/>
          <w:highlight w:val="yellow"/>
        </w:rPr>
        <w:t>XX [number]</w:t>
      </w:r>
      <w:r>
        <w:rPr>
          <w:rFonts w:asciiTheme="majorHAnsi" w:hAnsiTheme="majorHAnsi" w:cstheme="majorHAnsi"/>
        </w:rPr>
        <w:t xml:space="preserve"> students were sent an invitation to participate in the survey through CSAC; 10,221 completed surveys, including 9,230 respondents who indicated they planned to go to college, 170 who did not plan to attend, 294 that were unsure, and 527 who did not </w:t>
      </w:r>
      <w:commentRangeStart w:id="28"/>
      <w:r>
        <w:rPr>
          <w:rFonts w:asciiTheme="majorHAnsi" w:hAnsiTheme="majorHAnsi" w:cstheme="majorHAnsi"/>
          <w:highlight w:val="yellow"/>
        </w:rPr>
        <w:t>respond</w:t>
      </w:r>
      <w:commentRangeEnd w:id="28"/>
      <w:r>
        <w:rPr>
          <w:rStyle w:val="CommentReference"/>
          <w:rFonts w:asciiTheme="majorHAnsi" w:hAnsiTheme="majorHAnsi" w:cstheme="majorHAnsi"/>
          <w:sz w:val="24"/>
          <w:szCs w:val="24"/>
          <w:highlight w:val="yellow"/>
        </w:rPr>
        <w:commentReference w:id="28"/>
      </w:r>
      <w:r>
        <w:rPr>
          <w:rFonts w:asciiTheme="majorHAnsi" w:hAnsiTheme="majorHAnsi" w:cstheme="majorHAnsi"/>
          <w:highlight w:val="yellow"/>
        </w:rPr>
        <w:t xml:space="preserve"> to the enrollment plans question.</w:t>
      </w:r>
      <w:r>
        <w:rPr>
          <w:rFonts w:asciiTheme="majorHAnsi" w:hAnsiTheme="majorHAnsi" w:cstheme="majorHAnsi"/>
        </w:rPr>
        <w:t xml:space="preserve"> Our response </w:t>
      </w:r>
      <w:commentRangeStart w:id="29"/>
      <w:r>
        <w:rPr>
          <w:rFonts w:asciiTheme="majorHAnsi" w:hAnsiTheme="majorHAnsi" w:cstheme="majorHAnsi"/>
        </w:rPr>
        <w:t>rate</w:t>
      </w:r>
      <w:commentRangeEnd w:id="29"/>
      <w:r>
        <w:rPr>
          <w:rStyle w:val="CommentReference"/>
          <w:rFonts w:asciiTheme="majorHAnsi" w:hAnsiTheme="majorHAnsi" w:cstheme="majorHAnsi"/>
          <w:sz w:val="24"/>
          <w:szCs w:val="24"/>
        </w:rPr>
        <w:commentReference w:id="29"/>
      </w:r>
      <w:r>
        <w:rPr>
          <w:rFonts w:asciiTheme="majorHAnsi" w:hAnsiTheme="majorHAnsi" w:cstheme="majorHAnsi"/>
        </w:rPr>
        <w:t xml:space="preserve"> was </w:t>
      </w:r>
      <w:r>
        <w:rPr>
          <w:rFonts w:asciiTheme="majorHAnsi" w:hAnsiTheme="majorHAnsi" w:cstheme="majorHAnsi"/>
          <w:highlight w:val="yellow"/>
        </w:rPr>
        <w:t>XX percent</w:t>
      </w:r>
      <w:r>
        <w:rPr>
          <w:rFonts w:asciiTheme="majorHAnsi" w:hAnsiTheme="majorHAnsi" w:cstheme="majorHAnsi"/>
        </w:rPr>
        <w:t xml:space="preserve">. Students reported on varying dimensions of their high school experiences; the support they received in preparation for college; their academic interests and plans for postsecondary enrollment; and their concerns about college. Detailed information on gender identity and sexual orientation was also collected. Overall, 9,230 respondents completed surveys who indicated they were high school seniors and intended to enroll in college that fall. After excluding respondents who were missing information about gender identity (n = 1,708), sexual orientation (n = 1,749), race/ethnicity (n = 1,617), or parental education (n = 1,647), our final analytic sample included 7,522 </w:t>
      </w:r>
      <w:commentRangeStart w:id="30"/>
      <w:r>
        <w:rPr>
          <w:rFonts w:asciiTheme="majorHAnsi" w:hAnsiTheme="majorHAnsi" w:cstheme="majorHAnsi"/>
        </w:rPr>
        <w:t>participants</w:t>
      </w:r>
      <w:commentRangeEnd w:id="30"/>
      <w:r>
        <w:rPr>
          <w:rStyle w:val="CommentReference"/>
          <w:rFonts w:asciiTheme="majorHAnsi" w:hAnsiTheme="majorHAnsi" w:cstheme="majorHAnsi"/>
          <w:sz w:val="24"/>
          <w:szCs w:val="24"/>
        </w:rPr>
        <w:commentReference w:id="30"/>
      </w:r>
      <w:r>
        <w:rPr>
          <w:rFonts w:asciiTheme="majorHAnsi" w:hAnsiTheme="majorHAnsi" w:cstheme="majorHAnsi"/>
        </w:rPr>
        <w:t>.</w:t>
      </w:r>
      <w:commentRangeStart w:id="31"/>
      <w:r>
        <w:rPr>
          <w:rFonts w:asciiTheme="majorHAnsi" w:hAnsiTheme="majorHAnsi" w:cstheme="majorHAnsi"/>
        </w:rPr>
        <w:t xml:space="preserve"> </w:t>
      </w:r>
      <w:commentRangeEnd w:id="31"/>
      <w:r>
        <w:rPr>
          <w:rStyle w:val="CommentReference"/>
          <w:rFonts w:asciiTheme="majorHAnsi" w:hAnsiTheme="majorHAnsi" w:cstheme="majorHAnsi"/>
          <w:sz w:val="24"/>
          <w:szCs w:val="24"/>
        </w:rPr>
        <w:commentReference w:id="31"/>
      </w:r>
      <w:r>
        <w:rPr>
          <w:rFonts w:asciiTheme="majorHAnsi" w:hAnsiTheme="majorHAnsi" w:cstheme="majorHAnsi"/>
        </w:rPr>
        <w:t xml:space="preserve">Table 1 reports the demographic characteristics of our analytical sample. </w:t>
      </w:r>
    </w:p>
    <w:p w14:paraId="11C20F85" w14:textId="77777777" w:rsidR="008B078D" w:rsidRDefault="008B078D" w:rsidP="008B078D">
      <w:pPr>
        <w:spacing w:line="360" w:lineRule="auto"/>
        <w:ind w:firstLine="720"/>
        <w:rPr>
          <w:rFonts w:asciiTheme="majorHAnsi" w:hAnsiTheme="majorHAnsi" w:cstheme="majorHAnsi"/>
        </w:rPr>
      </w:pPr>
      <w:r>
        <w:rPr>
          <w:rFonts w:asciiTheme="majorHAnsi" w:hAnsiTheme="majorHAnsi" w:cstheme="majorHAnsi"/>
        </w:rPr>
        <w:t xml:space="preserve">Compared to California’s 2022–23 statewide 12th grade enrollment (see Appendix Table A2), our sample is broadly, though imperfectly, representative of the state’s college-bound </w:t>
      </w:r>
      <w:r>
        <w:rPr>
          <w:rFonts w:asciiTheme="majorHAnsi" w:hAnsiTheme="majorHAnsi" w:cstheme="majorHAnsi"/>
        </w:rPr>
        <w:lastRenderedPageBreak/>
        <w:t xml:space="preserve">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with caution. </w:t>
      </w:r>
    </w:p>
    <w:p w14:paraId="5DD11584" w14:textId="3E9EEE04" w:rsidR="008B078D" w:rsidRPr="008B078D" w:rsidRDefault="008B078D" w:rsidP="008B078D">
      <w:pPr>
        <w:spacing w:line="360" w:lineRule="auto"/>
        <w:ind w:firstLine="720"/>
        <w:rPr>
          <w:rFonts w:asciiTheme="majorHAnsi" w:hAnsiTheme="majorHAnsi" w:cstheme="majorHAnsi"/>
        </w:rPr>
      </w:pPr>
      <w:r>
        <w:rPr>
          <w:rFonts w:asciiTheme="majorHAnsi" w:hAnsiTheme="majorHAnsi" w:cstheme="majorHAnsi"/>
        </w:rPr>
        <w:t>Further, because survey participation was entirely voluntary, our sample is self-selected, meaning that patterns in who chose to respond—and how they responded—may not generalize to the full population of college-bound seniors who filed a FAFSA or CADAA. Importantly, because our sample is limited to students who completed a financial aid application and intended to enroll in college, it excludes seniors who did not pursue postsecondary education. To the extent that negative high school experiences, such as identity-based victimization, contribute to disengagement from schooling or lower college-going rates, our sample may be positively selected, and the disparities documented here may understate those experienced by the broader population of LGBTQ+ high school students in California. We therefore interpret our findings as descriptive of the experiences reported by this sample rather than as estimates of population parameters.</w:t>
      </w:r>
    </w:p>
    <w:p w14:paraId="39210A70" w14:textId="77777777" w:rsidR="008B078D" w:rsidRDefault="008B078D" w:rsidP="00784751">
      <w:pPr>
        <w:widowControl w:val="0"/>
        <w:spacing w:line="360" w:lineRule="auto"/>
        <w:rPr>
          <w:rFonts w:asciiTheme="majorHAnsi" w:hAnsiTheme="majorHAnsi" w:cstheme="majorHAnsi"/>
          <w:b/>
          <w:bCs/>
        </w:rPr>
      </w:pPr>
    </w:p>
    <w:p w14:paraId="7F578E37" w14:textId="77777777" w:rsidR="000E6523" w:rsidRDefault="000E6523">
      <w:pPr>
        <w:rPr>
          <w:rFonts w:asciiTheme="majorHAnsi" w:hAnsiTheme="majorHAnsi" w:cstheme="majorHAnsi"/>
          <w:b/>
          <w:bCs/>
        </w:rPr>
      </w:pPr>
      <w:r>
        <w:rPr>
          <w:rFonts w:asciiTheme="majorHAnsi" w:hAnsiTheme="majorHAnsi" w:cstheme="majorHAnsi"/>
          <w:b/>
          <w:bCs/>
        </w:rPr>
        <w:br w:type="page"/>
      </w:r>
    </w:p>
    <w:p w14:paraId="7439AD7C" w14:textId="672E8956" w:rsidR="00BD041A" w:rsidRPr="00B621E1" w:rsidRDefault="00602BF5" w:rsidP="00784751">
      <w:pPr>
        <w:widowControl w:val="0"/>
        <w:spacing w:line="360" w:lineRule="auto"/>
        <w:rPr>
          <w:rFonts w:asciiTheme="majorHAnsi" w:hAnsiTheme="majorHAnsi" w:cstheme="majorHAnsi"/>
          <w:b/>
          <w:bCs/>
        </w:rPr>
      </w:pPr>
      <w:r>
        <w:rPr>
          <w:rFonts w:asciiTheme="majorHAnsi" w:hAnsiTheme="majorHAnsi" w:cstheme="majorHAnsi"/>
          <w:b/>
          <w:bCs/>
        </w:rPr>
        <w:lastRenderedPageBreak/>
        <w:t>Table 1</w:t>
      </w:r>
    </w:p>
    <w:p w14:paraId="05D22B9B" w14:textId="171AD580" w:rsidR="00F06AC4" w:rsidRPr="00B621E1" w:rsidRDefault="00F06AC4" w:rsidP="00F06AC4">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i/>
          <w:iCs/>
          <w:color w:val="000000"/>
          <w:lang w:val="en"/>
        </w:rPr>
        <w:t>Demographic Characteristics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Participants (N = 7,522), </w:t>
      </w:r>
      <w:commentRangeStart w:id="32"/>
      <w:r>
        <w:rPr>
          <w:rFonts w:asciiTheme="majorHAnsi" w:hAnsiTheme="majorHAnsi" w:cstheme="majorHAnsi"/>
          <w:i/>
          <w:iCs/>
          <w:color w:val="000000"/>
          <w:lang w:val="en"/>
        </w:rPr>
        <w:t>2023</w:t>
      </w:r>
      <w:commentRangeEnd w:id="32"/>
      <w:r w:rsidRPr="00B621E1">
        <w:rPr>
          <w:rStyle w:val="CommentReference"/>
          <w:rFonts w:asciiTheme="majorHAnsi" w:hAnsiTheme="majorHAnsi" w:cstheme="majorHAnsi"/>
          <w:b/>
          <w:bCs/>
          <w:color w:val="000000"/>
          <w:sz w:val="24"/>
          <w:szCs w:val="24"/>
        </w:rPr>
        <w:commentReference w:id="32"/>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B621E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B621E1" w:rsidRDefault="00BD041A" w:rsidP="00784751">
            <w:pPr>
              <w:widowControl w:val="0"/>
              <w:rPr>
                <w:rFonts w:asciiTheme="majorHAnsi" w:hAnsiTheme="majorHAnsi" w:cstheme="majorHAnsi"/>
                <w:sz w:val="22"/>
                <w:szCs w:val="22"/>
                <w:lang w:val="en-US"/>
              </w:rPr>
            </w:pPr>
          </w:p>
        </w:tc>
        <w:tc>
          <w:tcPr>
            <w:tcW w:w="1500" w:type="dxa"/>
            <w:tcBorders>
              <w:top w:val="single" w:sz="4" w:space="0" w:color="000000"/>
              <w:left w:val="nil"/>
              <w:bottom w:val="single" w:sz="4" w:space="0" w:color="auto"/>
              <w:right w:val="nil"/>
            </w:tcBorders>
            <w:vAlign w:val="center"/>
          </w:tcPr>
          <w:p w14:paraId="7439AD7F" w14:textId="7D1D5347" w:rsidR="00BD041A" w:rsidRPr="00B621E1" w:rsidRDefault="00601833" w:rsidP="00784751">
            <w:pPr>
              <w:widowControl w:val="0"/>
              <w:jc w:val="center"/>
              <w:rPr>
                <w:rFonts w:asciiTheme="majorHAnsi" w:hAnsiTheme="majorHAnsi" w:cstheme="majorHAnsi"/>
                <w:sz w:val="22"/>
                <w:szCs w:val="22"/>
              </w:rPr>
            </w:pPr>
            <w:r>
              <w:rPr>
                <w:rFonts w:asciiTheme="majorHAnsi" w:hAnsiTheme="majorHAnsi" w:cstheme="majorHAnsi"/>
                <w:sz w:val="22"/>
                <w:szCs w:val="22"/>
              </w:rPr>
              <w:t>n</w:t>
            </w:r>
          </w:p>
        </w:tc>
        <w:tc>
          <w:tcPr>
            <w:tcW w:w="1500" w:type="dxa"/>
            <w:tcBorders>
              <w:top w:val="single" w:sz="4" w:space="0" w:color="000000"/>
              <w:left w:val="nil"/>
              <w:bottom w:val="single" w:sz="4" w:space="0" w:color="auto"/>
              <w:right w:val="nil"/>
            </w:tcBorders>
            <w:vAlign w:val="center"/>
          </w:tcPr>
          <w:p w14:paraId="7439AD80"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Percent</w:t>
            </w:r>
          </w:p>
        </w:tc>
      </w:tr>
      <w:tr w:rsidR="00BD041A" w:rsidRPr="00B621E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89" w14:textId="77777777">
        <w:tc>
          <w:tcPr>
            <w:tcW w:w="5108" w:type="dxa"/>
            <w:tcBorders>
              <w:top w:val="nil"/>
              <w:left w:val="nil"/>
              <w:bottom w:val="nil"/>
              <w:right w:val="nil"/>
            </w:tcBorders>
            <w:vAlign w:val="center"/>
          </w:tcPr>
          <w:p w14:paraId="7439AD8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508C37B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35.6</w:t>
            </w:r>
          </w:p>
        </w:tc>
      </w:tr>
      <w:tr w:rsidR="00BD041A" w:rsidRPr="00B621E1" w14:paraId="7439AD8D" w14:textId="77777777">
        <w:tc>
          <w:tcPr>
            <w:tcW w:w="5108" w:type="dxa"/>
            <w:tcBorders>
              <w:top w:val="nil"/>
              <w:left w:val="nil"/>
              <w:bottom w:val="nil"/>
              <w:right w:val="nil"/>
            </w:tcBorders>
            <w:vAlign w:val="center"/>
          </w:tcPr>
          <w:p w14:paraId="7439AD8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2E419476"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57.0</w:t>
            </w:r>
          </w:p>
        </w:tc>
      </w:tr>
      <w:tr w:rsidR="00BD041A" w:rsidRPr="00B621E1" w14:paraId="7439AD91" w14:textId="77777777">
        <w:tc>
          <w:tcPr>
            <w:tcW w:w="5108" w:type="dxa"/>
            <w:tcBorders>
              <w:top w:val="nil"/>
              <w:left w:val="nil"/>
              <w:bottom w:val="nil"/>
              <w:right w:val="nil"/>
            </w:tcBorders>
            <w:vAlign w:val="center"/>
          </w:tcPr>
          <w:p w14:paraId="7439AD8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24E942D1"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95" w14:textId="77777777">
        <w:tc>
          <w:tcPr>
            <w:tcW w:w="5108" w:type="dxa"/>
            <w:tcBorders>
              <w:top w:val="nil"/>
              <w:left w:val="nil"/>
              <w:bottom w:val="nil"/>
              <w:right w:val="nil"/>
            </w:tcBorders>
            <w:vAlign w:val="center"/>
          </w:tcPr>
          <w:p w14:paraId="7439AD9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23B51E8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0.3</w:t>
            </w:r>
          </w:p>
        </w:tc>
      </w:tr>
      <w:tr w:rsidR="00BD041A" w:rsidRPr="00B621E1" w14:paraId="7439AD99" w14:textId="77777777">
        <w:tc>
          <w:tcPr>
            <w:tcW w:w="5108" w:type="dxa"/>
            <w:tcBorders>
              <w:top w:val="nil"/>
              <w:left w:val="nil"/>
              <w:right w:val="nil"/>
            </w:tcBorders>
            <w:vAlign w:val="center"/>
          </w:tcPr>
          <w:p w14:paraId="7439AD9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w:t>
            </w:r>
          </w:p>
        </w:tc>
        <w:tc>
          <w:tcPr>
            <w:tcW w:w="1500" w:type="dxa"/>
            <w:tcBorders>
              <w:top w:val="nil"/>
              <w:left w:val="nil"/>
              <w:right w:val="nil"/>
            </w:tcBorders>
            <w:vAlign w:val="center"/>
          </w:tcPr>
          <w:p w14:paraId="7439AD98" w14:textId="765FCE6B"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3.6</w:t>
            </w:r>
          </w:p>
        </w:tc>
      </w:tr>
      <w:tr w:rsidR="00BD041A" w:rsidRPr="00B621E1" w14:paraId="7439AD9D" w14:textId="77777777">
        <w:tc>
          <w:tcPr>
            <w:tcW w:w="5108" w:type="dxa"/>
            <w:tcBorders>
              <w:top w:val="nil"/>
              <w:left w:val="nil"/>
              <w:right w:val="nil"/>
            </w:tcBorders>
            <w:vAlign w:val="center"/>
          </w:tcPr>
          <w:p w14:paraId="7439AD9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547EC85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0.9</w:t>
            </w:r>
          </w:p>
        </w:tc>
      </w:tr>
      <w:tr w:rsidR="00BD041A" w:rsidRPr="00B621E1" w14:paraId="7439ADA1" w14:textId="77777777">
        <w:tc>
          <w:tcPr>
            <w:tcW w:w="5108" w:type="dxa"/>
            <w:tcBorders>
              <w:top w:val="nil"/>
              <w:left w:val="nil"/>
              <w:bottom w:val="nil"/>
              <w:right w:val="nil"/>
            </w:tcBorders>
            <w:vAlign w:val="center"/>
          </w:tcPr>
          <w:p w14:paraId="7439AD9E" w14:textId="77777777" w:rsidR="00BD041A" w:rsidRPr="00B621E1" w:rsidRDefault="00602BF5" w:rsidP="00027FC9">
            <w:pPr>
              <w:widowControl w:val="0"/>
              <w:ind w:left="250"/>
              <w:rPr>
                <w:rFonts w:asciiTheme="majorHAnsi" w:hAnsiTheme="majorHAnsi" w:cstheme="majorHAnsi"/>
                <w:sz w:val="22"/>
                <w:szCs w:val="22"/>
              </w:rPr>
            </w:pPr>
            <w:commentRangeStart w:id="33"/>
            <w:commentRangeStart w:id="34"/>
            <w:r>
              <w:rPr>
                <w:rFonts w:asciiTheme="majorHAnsi" w:hAnsiTheme="majorHAnsi" w:cstheme="majorHAnsi"/>
                <w:sz w:val="22"/>
                <w:szCs w:val="22"/>
              </w:rPr>
              <w:t xml:space="preserve">   Prefer not to say</w:t>
            </w:r>
            <w:commentRangeEnd w:id="33"/>
            <w:r w:rsidRPr="00B621E1">
              <w:rPr>
                <w:rStyle w:val="CommentReference"/>
                <w:rFonts w:asciiTheme="majorHAnsi" w:hAnsiTheme="majorHAnsi" w:cstheme="majorHAnsi"/>
                <w:sz w:val="22"/>
                <w:szCs w:val="22"/>
              </w:rPr>
              <w:commentReference w:id="33"/>
            </w:r>
            <w:commentRangeEnd w:id="34"/>
            <w:r w:rsidRPr="00B621E1">
              <w:rPr>
                <w:rStyle w:val="CommentReference"/>
                <w:rFonts w:asciiTheme="majorHAnsi" w:hAnsiTheme="majorHAnsi" w:cstheme="majorHAnsi"/>
                <w:sz w:val="22"/>
                <w:szCs w:val="22"/>
              </w:rPr>
              <w:commentReference w:id="34"/>
            </w:r>
          </w:p>
        </w:tc>
        <w:tc>
          <w:tcPr>
            <w:tcW w:w="1500" w:type="dxa"/>
            <w:tcBorders>
              <w:top w:val="nil"/>
              <w:left w:val="nil"/>
              <w:bottom w:val="nil"/>
              <w:right w:val="nil"/>
            </w:tcBorders>
            <w:vAlign w:val="center"/>
          </w:tcPr>
          <w:p w14:paraId="7439AD9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1ED9B4C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A5" w14:textId="77777777">
        <w:tc>
          <w:tcPr>
            <w:tcW w:w="5108" w:type="dxa"/>
            <w:tcBorders>
              <w:top w:val="single" w:sz="4" w:space="0" w:color="000000"/>
              <w:left w:val="nil"/>
              <w:bottom w:val="nil"/>
              <w:right w:val="nil"/>
            </w:tcBorders>
            <w:vAlign w:val="center"/>
          </w:tcPr>
          <w:p w14:paraId="7439ADA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20F864E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A9" w14:textId="77777777">
        <w:tc>
          <w:tcPr>
            <w:tcW w:w="5108" w:type="dxa"/>
            <w:tcBorders>
              <w:top w:val="single" w:sz="4" w:space="0" w:color="000000"/>
              <w:left w:val="nil"/>
              <w:right w:val="nil"/>
            </w:tcBorders>
            <w:vAlign w:val="center"/>
          </w:tcPr>
          <w:p w14:paraId="7439ADA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AD" w14:textId="77777777">
        <w:tc>
          <w:tcPr>
            <w:tcW w:w="5108" w:type="dxa"/>
            <w:tcBorders>
              <w:left w:val="nil"/>
              <w:bottom w:val="nil"/>
              <w:right w:val="nil"/>
            </w:tcBorders>
            <w:vAlign w:val="center"/>
          </w:tcPr>
          <w:p w14:paraId="7439ADA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5,190</w:t>
            </w:r>
          </w:p>
        </w:tc>
        <w:tc>
          <w:tcPr>
            <w:tcW w:w="1500" w:type="dxa"/>
            <w:tcBorders>
              <w:left w:val="nil"/>
              <w:bottom w:val="nil"/>
              <w:right w:val="nil"/>
            </w:tcBorders>
            <w:vAlign w:val="center"/>
          </w:tcPr>
          <w:p w14:paraId="7439ADAC" w14:textId="7444818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69.4</w:t>
            </w:r>
          </w:p>
        </w:tc>
      </w:tr>
      <w:tr w:rsidR="00BD041A" w:rsidRPr="00B621E1" w14:paraId="7439ADB1" w14:textId="77777777">
        <w:tc>
          <w:tcPr>
            <w:tcW w:w="5108" w:type="dxa"/>
            <w:tcBorders>
              <w:left w:val="nil"/>
              <w:bottom w:val="nil"/>
              <w:right w:val="nil"/>
            </w:tcBorders>
            <w:vAlign w:val="center"/>
          </w:tcPr>
          <w:p w14:paraId="7439ADA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330</w:t>
            </w:r>
          </w:p>
        </w:tc>
        <w:tc>
          <w:tcPr>
            <w:tcW w:w="1500" w:type="dxa"/>
            <w:tcBorders>
              <w:left w:val="nil"/>
              <w:bottom w:val="nil"/>
              <w:right w:val="nil"/>
            </w:tcBorders>
            <w:vAlign w:val="center"/>
          </w:tcPr>
          <w:p w14:paraId="7439ADB0" w14:textId="032A296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4.4</w:t>
            </w:r>
          </w:p>
        </w:tc>
      </w:tr>
      <w:tr w:rsidR="00BD041A" w:rsidRPr="00B621E1" w14:paraId="7439ADB5" w14:textId="77777777">
        <w:tc>
          <w:tcPr>
            <w:tcW w:w="5108" w:type="dxa"/>
            <w:tcBorders>
              <w:left w:val="nil"/>
              <w:bottom w:val="nil"/>
              <w:right w:val="nil"/>
            </w:tcBorders>
            <w:vAlign w:val="center"/>
          </w:tcPr>
          <w:p w14:paraId="7439ADB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1,139</w:t>
            </w:r>
          </w:p>
        </w:tc>
        <w:tc>
          <w:tcPr>
            <w:tcW w:w="1500" w:type="dxa"/>
            <w:tcBorders>
              <w:left w:val="nil"/>
              <w:bottom w:val="nil"/>
              <w:right w:val="nil"/>
            </w:tcBorders>
            <w:vAlign w:val="center"/>
          </w:tcPr>
          <w:p w14:paraId="7439ADB4" w14:textId="03833CF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15.2</w:t>
            </w:r>
          </w:p>
        </w:tc>
      </w:tr>
      <w:tr w:rsidR="00BD041A" w:rsidRPr="00B621E1" w14:paraId="7439ADB9" w14:textId="77777777">
        <w:tc>
          <w:tcPr>
            <w:tcW w:w="5108" w:type="dxa"/>
            <w:tcBorders>
              <w:left w:val="nil"/>
              <w:bottom w:val="nil"/>
              <w:right w:val="nil"/>
            </w:tcBorders>
            <w:vAlign w:val="center"/>
          </w:tcPr>
          <w:p w14:paraId="7439ADB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bottom w:val="nil"/>
              <w:right w:val="nil"/>
            </w:tcBorders>
            <w:vAlign w:val="center"/>
          </w:tcPr>
          <w:p w14:paraId="7439ADB8" w14:textId="5CC5D24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BD" w14:textId="77777777">
        <w:tc>
          <w:tcPr>
            <w:tcW w:w="5108" w:type="dxa"/>
            <w:tcBorders>
              <w:left w:val="nil"/>
              <w:bottom w:val="nil"/>
              <w:right w:val="nil"/>
            </w:tcBorders>
            <w:vAlign w:val="center"/>
          </w:tcPr>
          <w:p w14:paraId="7439ADB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131</w:t>
            </w:r>
          </w:p>
        </w:tc>
        <w:tc>
          <w:tcPr>
            <w:tcW w:w="1500" w:type="dxa"/>
            <w:tcBorders>
              <w:left w:val="nil"/>
              <w:bottom w:val="nil"/>
              <w:right w:val="nil"/>
            </w:tcBorders>
            <w:vAlign w:val="center"/>
          </w:tcPr>
          <w:p w14:paraId="7439ADBC" w14:textId="2C21C24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C1" w14:textId="77777777">
        <w:tc>
          <w:tcPr>
            <w:tcW w:w="5108" w:type="dxa"/>
            <w:tcBorders>
              <w:left w:val="nil"/>
              <w:bottom w:val="nil"/>
              <w:right w:val="nil"/>
            </w:tcBorders>
            <w:vAlign w:val="center"/>
          </w:tcPr>
          <w:p w14:paraId="7439ADB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509</w:t>
            </w:r>
          </w:p>
        </w:tc>
        <w:tc>
          <w:tcPr>
            <w:tcW w:w="1500" w:type="dxa"/>
            <w:tcBorders>
              <w:left w:val="nil"/>
              <w:bottom w:val="nil"/>
              <w:right w:val="nil"/>
            </w:tcBorders>
            <w:vAlign w:val="center"/>
          </w:tcPr>
          <w:p w14:paraId="7439ADC0" w14:textId="262664E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6.8</w:t>
            </w:r>
          </w:p>
        </w:tc>
      </w:tr>
      <w:tr w:rsidR="00BD041A" w:rsidRPr="00B621E1" w14:paraId="7439ADC5" w14:textId="77777777">
        <w:tc>
          <w:tcPr>
            <w:tcW w:w="5108" w:type="dxa"/>
            <w:tcBorders>
              <w:top w:val="single" w:sz="4" w:space="0" w:color="000000"/>
              <w:left w:val="nil"/>
              <w:bottom w:val="nil"/>
              <w:right w:val="nil"/>
            </w:tcBorders>
            <w:vAlign w:val="center"/>
          </w:tcPr>
          <w:p w14:paraId="7439ADC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29FA90B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C9" w14:textId="77777777">
        <w:tc>
          <w:tcPr>
            <w:tcW w:w="5108" w:type="dxa"/>
            <w:tcBorders>
              <w:top w:val="single" w:sz="4" w:space="0" w:color="000000"/>
              <w:left w:val="nil"/>
              <w:right w:val="nil"/>
            </w:tcBorders>
            <w:vAlign w:val="center"/>
          </w:tcPr>
          <w:p w14:paraId="7439ADC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CD" w14:textId="77777777">
        <w:tc>
          <w:tcPr>
            <w:tcW w:w="5108" w:type="dxa"/>
            <w:tcBorders>
              <w:left w:val="nil"/>
              <w:right w:val="nil"/>
            </w:tcBorders>
            <w:vAlign w:val="center"/>
          </w:tcPr>
          <w:p w14:paraId="7439ADC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163</w:t>
            </w:r>
          </w:p>
        </w:tc>
        <w:tc>
          <w:tcPr>
            <w:tcW w:w="1500" w:type="dxa"/>
            <w:tcBorders>
              <w:left w:val="nil"/>
              <w:right w:val="nil"/>
            </w:tcBorders>
            <w:vAlign w:val="center"/>
          </w:tcPr>
          <w:p w14:paraId="7439ADCC" w14:textId="0C8FAF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2.1</w:t>
            </w:r>
          </w:p>
        </w:tc>
      </w:tr>
      <w:tr w:rsidR="00BD041A" w:rsidRPr="00B621E1" w14:paraId="7439ADD1" w14:textId="77777777">
        <w:tc>
          <w:tcPr>
            <w:tcW w:w="5108" w:type="dxa"/>
            <w:tcBorders>
              <w:left w:val="nil"/>
              <w:right w:val="nil"/>
            </w:tcBorders>
            <w:vAlign w:val="center"/>
          </w:tcPr>
          <w:p w14:paraId="7439ADC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532</w:t>
            </w:r>
          </w:p>
        </w:tc>
        <w:tc>
          <w:tcPr>
            <w:tcW w:w="1500" w:type="dxa"/>
            <w:tcBorders>
              <w:left w:val="nil"/>
              <w:right w:val="nil"/>
            </w:tcBorders>
            <w:vAlign w:val="center"/>
          </w:tcPr>
          <w:p w14:paraId="7439ADD0" w14:textId="36D76B77"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7.0</w:t>
            </w:r>
          </w:p>
        </w:tc>
      </w:tr>
      <w:tr w:rsidR="00BD041A" w:rsidRPr="00B621E1" w14:paraId="7439ADD5" w14:textId="77777777">
        <w:tc>
          <w:tcPr>
            <w:tcW w:w="5108" w:type="dxa"/>
            <w:tcBorders>
              <w:left w:val="nil"/>
              <w:right w:val="nil"/>
            </w:tcBorders>
            <w:vAlign w:val="center"/>
          </w:tcPr>
          <w:p w14:paraId="7439ADD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3,793</w:t>
            </w:r>
          </w:p>
        </w:tc>
        <w:tc>
          <w:tcPr>
            <w:tcW w:w="1500" w:type="dxa"/>
            <w:tcBorders>
              <w:left w:val="nil"/>
              <w:right w:val="nil"/>
            </w:tcBorders>
            <w:vAlign w:val="center"/>
          </w:tcPr>
          <w:p w14:paraId="7439ADD4" w14:textId="0142734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49.8</w:t>
            </w:r>
          </w:p>
        </w:tc>
      </w:tr>
      <w:tr w:rsidR="00BD041A" w:rsidRPr="00B621E1" w14:paraId="7439ADD9" w14:textId="77777777">
        <w:tc>
          <w:tcPr>
            <w:tcW w:w="5108" w:type="dxa"/>
            <w:tcBorders>
              <w:left w:val="nil"/>
              <w:right w:val="nil"/>
            </w:tcBorders>
            <w:vAlign w:val="center"/>
          </w:tcPr>
          <w:p w14:paraId="7439ADD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64</w:t>
            </w:r>
          </w:p>
        </w:tc>
        <w:tc>
          <w:tcPr>
            <w:tcW w:w="1500" w:type="dxa"/>
            <w:tcBorders>
              <w:left w:val="nil"/>
              <w:right w:val="nil"/>
            </w:tcBorders>
            <w:vAlign w:val="center"/>
          </w:tcPr>
          <w:p w14:paraId="7439ADD8" w14:textId="6D4C08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DD" w14:textId="77777777">
        <w:tc>
          <w:tcPr>
            <w:tcW w:w="5108" w:type="dxa"/>
            <w:tcBorders>
              <w:left w:val="nil"/>
              <w:right w:val="nil"/>
            </w:tcBorders>
            <w:vAlign w:val="center"/>
          </w:tcPr>
          <w:p w14:paraId="7439ADD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235</w:t>
            </w:r>
          </w:p>
        </w:tc>
        <w:tc>
          <w:tcPr>
            <w:tcW w:w="1500" w:type="dxa"/>
            <w:tcBorders>
              <w:left w:val="nil"/>
              <w:right w:val="nil"/>
            </w:tcBorders>
            <w:vAlign w:val="center"/>
          </w:tcPr>
          <w:p w14:paraId="7439ADDC" w14:textId="18EF4E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3.1</w:t>
            </w:r>
          </w:p>
        </w:tc>
      </w:tr>
      <w:tr w:rsidR="00BD041A" w:rsidRPr="00B621E1" w14:paraId="7439ADE1" w14:textId="77777777">
        <w:tc>
          <w:tcPr>
            <w:tcW w:w="5108" w:type="dxa"/>
            <w:tcBorders>
              <w:left w:val="nil"/>
              <w:right w:val="nil"/>
            </w:tcBorders>
            <w:vAlign w:val="center"/>
          </w:tcPr>
          <w:p w14:paraId="7439ADD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1,146</w:t>
            </w:r>
          </w:p>
        </w:tc>
        <w:tc>
          <w:tcPr>
            <w:tcW w:w="1500" w:type="dxa"/>
            <w:tcBorders>
              <w:left w:val="nil"/>
              <w:right w:val="nil"/>
            </w:tcBorders>
            <w:vAlign w:val="center"/>
          </w:tcPr>
          <w:p w14:paraId="7439ADE0" w14:textId="2F95F4D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15.1</w:t>
            </w:r>
          </w:p>
        </w:tc>
      </w:tr>
      <w:tr w:rsidR="00BD041A" w:rsidRPr="00B621E1" w14:paraId="7439ADE5" w14:textId="77777777">
        <w:tc>
          <w:tcPr>
            <w:tcW w:w="5108" w:type="dxa"/>
            <w:tcBorders>
              <w:left w:val="nil"/>
              <w:right w:val="nil"/>
            </w:tcBorders>
            <w:vAlign w:val="center"/>
          </w:tcPr>
          <w:p w14:paraId="7439ADE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right w:val="nil"/>
            </w:tcBorders>
            <w:vAlign w:val="center"/>
          </w:tcPr>
          <w:p w14:paraId="7439ADE4" w14:textId="26DE27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E9" w14:textId="77777777">
        <w:tc>
          <w:tcPr>
            <w:tcW w:w="5108" w:type="dxa"/>
            <w:tcBorders>
              <w:left w:val="nil"/>
              <w:right w:val="nil"/>
            </w:tcBorders>
            <w:vAlign w:val="center"/>
          </w:tcPr>
          <w:p w14:paraId="7439ADE6" w14:textId="68F9D744"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White/non-Hispanic</w:t>
            </w:r>
          </w:p>
        </w:tc>
        <w:tc>
          <w:tcPr>
            <w:tcW w:w="1500" w:type="dxa"/>
            <w:tcBorders>
              <w:left w:val="nil"/>
              <w:right w:val="nil"/>
            </w:tcBorders>
            <w:vAlign w:val="center"/>
          </w:tcPr>
          <w:p w14:paraId="7439ADE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1,498</w:t>
            </w:r>
          </w:p>
        </w:tc>
        <w:tc>
          <w:tcPr>
            <w:tcW w:w="1500" w:type="dxa"/>
            <w:tcBorders>
              <w:left w:val="nil"/>
              <w:right w:val="nil"/>
            </w:tcBorders>
            <w:vAlign w:val="center"/>
          </w:tcPr>
          <w:p w14:paraId="7439ADE8" w14:textId="339E6C6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19.7</w:t>
            </w:r>
          </w:p>
        </w:tc>
      </w:tr>
      <w:tr w:rsidR="00BD041A" w:rsidRPr="00B621E1" w14:paraId="7439ADED" w14:textId="77777777">
        <w:tc>
          <w:tcPr>
            <w:tcW w:w="5108" w:type="dxa"/>
            <w:tcBorders>
              <w:top w:val="single" w:sz="4" w:space="0" w:color="000000"/>
              <w:left w:val="nil"/>
              <w:right w:val="nil"/>
            </w:tcBorders>
            <w:vAlign w:val="center"/>
          </w:tcPr>
          <w:p w14:paraId="7439ADEA"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1F1F56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F1" w14:textId="77777777">
        <w:tc>
          <w:tcPr>
            <w:tcW w:w="5108" w:type="dxa"/>
            <w:tcBorders>
              <w:top w:val="single" w:sz="4" w:space="0" w:color="000000"/>
              <w:left w:val="nil"/>
              <w:right w:val="nil"/>
            </w:tcBorders>
            <w:vAlign w:val="center"/>
          </w:tcPr>
          <w:p w14:paraId="7439ADEE"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F5" w14:textId="77777777">
        <w:tc>
          <w:tcPr>
            <w:tcW w:w="5108" w:type="dxa"/>
            <w:tcBorders>
              <w:left w:val="nil"/>
              <w:right w:val="nil"/>
            </w:tcBorders>
            <w:vAlign w:val="center"/>
          </w:tcPr>
          <w:p w14:paraId="7439ADF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1,373</w:t>
            </w:r>
          </w:p>
        </w:tc>
        <w:tc>
          <w:tcPr>
            <w:tcW w:w="1500" w:type="dxa"/>
            <w:tcBorders>
              <w:left w:val="nil"/>
              <w:right w:val="nil"/>
            </w:tcBorders>
            <w:vAlign w:val="center"/>
          </w:tcPr>
          <w:p w14:paraId="7439ADF4" w14:textId="1033047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18.1</w:t>
            </w:r>
          </w:p>
        </w:tc>
      </w:tr>
      <w:tr w:rsidR="00BD041A" w:rsidRPr="00B621E1" w14:paraId="7439ADF9" w14:textId="77777777">
        <w:tc>
          <w:tcPr>
            <w:tcW w:w="5108" w:type="dxa"/>
            <w:tcBorders>
              <w:left w:val="nil"/>
              <w:right w:val="nil"/>
            </w:tcBorders>
            <w:vAlign w:val="center"/>
          </w:tcPr>
          <w:p w14:paraId="7439ADF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1,578</w:t>
            </w:r>
          </w:p>
        </w:tc>
        <w:tc>
          <w:tcPr>
            <w:tcW w:w="1500" w:type="dxa"/>
            <w:tcBorders>
              <w:left w:val="nil"/>
              <w:right w:val="nil"/>
            </w:tcBorders>
            <w:vAlign w:val="center"/>
          </w:tcPr>
          <w:p w14:paraId="7439ADF8" w14:textId="103DE6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20.8</w:t>
            </w:r>
          </w:p>
        </w:tc>
      </w:tr>
      <w:tr w:rsidR="00BD041A" w:rsidRPr="00B621E1" w14:paraId="7439ADFD" w14:textId="77777777">
        <w:tc>
          <w:tcPr>
            <w:tcW w:w="5108" w:type="dxa"/>
            <w:tcBorders>
              <w:left w:val="nil"/>
              <w:right w:val="nil"/>
            </w:tcBorders>
            <w:vAlign w:val="center"/>
          </w:tcPr>
          <w:p w14:paraId="7439ADF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975</w:t>
            </w:r>
          </w:p>
        </w:tc>
        <w:tc>
          <w:tcPr>
            <w:tcW w:w="1500" w:type="dxa"/>
            <w:tcBorders>
              <w:left w:val="nil"/>
              <w:right w:val="nil"/>
            </w:tcBorders>
            <w:vAlign w:val="center"/>
          </w:tcPr>
          <w:p w14:paraId="7439ADFC" w14:textId="31B7DE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12.9</w:t>
            </w:r>
          </w:p>
        </w:tc>
      </w:tr>
      <w:tr w:rsidR="00BD041A" w:rsidRPr="00B621E1" w14:paraId="7439AE01" w14:textId="77777777">
        <w:tc>
          <w:tcPr>
            <w:tcW w:w="5108" w:type="dxa"/>
            <w:tcBorders>
              <w:left w:val="nil"/>
              <w:right w:val="nil"/>
            </w:tcBorders>
            <w:vAlign w:val="center"/>
          </w:tcPr>
          <w:p w14:paraId="7439ADF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452</w:t>
            </w:r>
          </w:p>
        </w:tc>
        <w:tc>
          <w:tcPr>
            <w:tcW w:w="1500" w:type="dxa"/>
            <w:tcBorders>
              <w:left w:val="nil"/>
              <w:right w:val="nil"/>
            </w:tcBorders>
            <w:vAlign w:val="center"/>
          </w:tcPr>
          <w:p w14:paraId="7439AE00" w14:textId="424861A8"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6.0</w:t>
            </w:r>
          </w:p>
        </w:tc>
      </w:tr>
      <w:tr w:rsidR="00BD041A" w:rsidRPr="00B621E1" w14:paraId="7439AE05" w14:textId="77777777">
        <w:tc>
          <w:tcPr>
            <w:tcW w:w="5108" w:type="dxa"/>
            <w:tcBorders>
              <w:left w:val="nil"/>
              <w:right w:val="nil"/>
            </w:tcBorders>
            <w:vAlign w:val="center"/>
          </w:tcPr>
          <w:p w14:paraId="7439AE0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Bachelor's degree</w:t>
            </w:r>
          </w:p>
        </w:tc>
        <w:tc>
          <w:tcPr>
            <w:tcW w:w="1500" w:type="dxa"/>
            <w:tcBorders>
              <w:left w:val="nil"/>
              <w:right w:val="nil"/>
            </w:tcBorders>
            <w:vAlign w:val="center"/>
          </w:tcPr>
          <w:p w14:paraId="7439AE0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1,363</w:t>
            </w:r>
          </w:p>
        </w:tc>
        <w:tc>
          <w:tcPr>
            <w:tcW w:w="1500" w:type="dxa"/>
            <w:tcBorders>
              <w:left w:val="nil"/>
              <w:right w:val="nil"/>
            </w:tcBorders>
            <w:vAlign w:val="center"/>
          </w:tcPr>
          <w:p w14:paraId="7439AE04" w14:textId="6DD73A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17.9</w:t>
            </w:r>
          </w:p>
        </w:tc>
      </w:tr>
      <w:tr w:rsidR="00BD041A" w:rsidRPr="00B621E1" w14:paraId="7439AE09" w14:textId="77777777">
        <w:tc>
          <w:tcPr>
            <w:tcW w:w="5108" w:type="dxa"/>
            <w:tcBorders>
              <w:left w:val="nil"/>
              <w:right w:val="nil"/>
            </w:tcBorders>
            <w:vAlign w:val="center"/>
          </w:tcPr>
          <w:p w14:paraId="7439AE0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Graduate/Professional degree            </w:t>
            </w:r>
          </w:p>
        </w:tc>
        <w:tc>
          <w:tcPr>
            <w:tcW w:w="1500" w:type="dxa"/>
            <w:tcBorders>
              <w:left w:val="nil"/>
              <w:right w:val="nil"/>
            </w:tcBorders>
            <w:vAlign w:val="center"/>
          </w:tcPr>
          <w:p w14:paraId="7439AE0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1,455</w:t>
            </w:r>
          </w:p>
        </w:tc>
        <w:tc>
          <w:tcPr>
            <w:tcW w:w="1500" w:type="dxa"/>
            <w:tcBorders>
              <w:left w:val="nil"/>
              <w:right w:val="nil"/>
            </w:tcBorders>
            <w:vAlign w:val="center"/>
          </w:tcPr>
          <w:p w14:paraId="7439AE08" w14:textId="74E3A43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19.2</w:t>
            </w:r>
          </w:p>
        </w:tc>
      </w:tr>
      <w:tr w:rsidR="00BD041A" w:rsidRPr="00B621E1" w14:paraId="7439AE0D" w14:textId="77777777">
        <w:tc>
          <w:tcPr>
            <w:tcW w:w="5108" w:type="dxa"/>
            <w:tcBorders>
              <w:left w:val="nil"/>
              <w:bottom w:val="single" w:sz="4" w:space="0" w:color="000000"/>
              <w:right w:val="nil"/>
            </w:tcBorders>
            <w:vAlign w:val="center"/>
          </w:tcPr>
          <w:p w14:paraId="7439AE0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Don’t know</w:t>
            </w:r>
          </w:p>
        </w:tc>
        <w:tc>
          <w:tcPr>
            <w:tcW w:w="1500" w:type="dxa"/>
            <w:tcBorders>
              <w:left w:val="nil"/>
              <w:bottom w:val="single" w:sz="4" w:space="0" w:color="000000"/>
              <w:right w:val="nil"/>
            </w:tcBorders>
            <w:vAlign w:val="center"/>
          </w:tcPr>
          <w:p w14:paraId="7439AE0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5C2087F5"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w:t>
            </w:r>
          </w:p>
        </w:tc>
      </w:tr>
      <w:tr w:rsidR="00BD041A" w:rsidRPr="00B621E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670CAD1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bl>
    <w:p w14:paraId="657EBBCF" w14:textId="77777777" w:rsidR="00C43786" w:rsidRPr="006159A0" w:rsidRDefault="00C43786" w:rsidP="003803B1">
      <w:pPr>
        <w:spacing w:line="360" w:lineRule="auto"/>
        <w:rPr>
          <w:rFonts w:asciiTheme="majorHAnsi" w:hAnsiTheme="majorHAnsi" w:cstheme="majorHAnsi"/>
        </w:rPr>
      </w:pPr>
      <w:r>
        <w:rPr>
          <w:rFonts w:asciiTheme="majorHAnsi" w:hAnsiTheme="majorHAnsi" w:cstheme="majorHAnsi"/>
        </w:rPr>
        <w:br w:type="page"/>
      </w:r>
    </w:p>
    <w:p w14:paraId="18E551A5" w14:textId="1B518220" w:rsidR="007C3F1C"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lastRenderedPageBreak/>
        <w:t>To collect data on gender identity, we adopted the two-step approach recommended by the GenIUSS group (Herman, 2014) given its high sensitivity and specificity in accurately discriminating between transgender and cisgender respondents (</w:t>
      </w:r>
      <w:commentRangeStart w:id="35"/>
      <w:r>
        <w:rPr>
          <w:rFonts w:asciiTheme="majorHAnsi" w:hAnsiTheme="majorHAnsi" w:cstheme="majorHAnsi"/>
        </w:rPr>
        <w:t>Herman, 2014</w:t>
      </w:r>
      <w:commentRangeEnd w:id="35"/>
      <w:r>
        <w:rPr>
          <w:rStyle w:val="CommentReference"/>
          <w:rFonts w:asciiTheme="majorHAnsi" w:hAnsiTheme="majorHAnsi" w:cstheme="majorHAnsi"/>
          <w:sz w:val="24"/>
          <w:szCs w:val="24"/>
        </w:rPr>
        <w:commentReference w:id="35"/>
      </w:r>
      <w:r>
        <w:rPr>
          <w:rFonts w:asciiTheme="majorHAnsi" w:hAnsiTheme="majorHAnsi" w:cstheme="majorHAnsi"/>
        </w:rPr>
        <w:t>; Saperstein &amp; Westbrook, 2021).</w:t>
      </w:r>
      <w:r>
        <w:rPr>
          <w:rFonts w:asciiTheme="majorHAnsi" w:hAnsiTheme="majorHAnsi" w:cstheme="majorHAnsi"/>
          <w:color w:val="512DA8"/>
        </w:rPr>
        <w:t xml:space="preserve"> </w:t>
      </w:r>
      <w:r>
        <w:rPr>
          <w:rFonts w:asciiTheme="majorHAnsi" w:hAnsiTheme="majorHAnsi" w:cstheme="majorHAnsi"/>
        </w:rPr>
        <w:t xml:space="preserve">This approach includes two questions: (1) What is your sex assigned at birth, on your original birth certificate?, with </w:t>
      </w:r>
      <w:r>
        <w:rPr>
          <w:rFonts w:asciiTheme="majorHAnsi" w:hAnsiTheme="majorHAnsi" w:cstheme="majorHAnsi"/>
          <w:i/>
          <w:iCs/>
        </w:rPr>
        <w:t xml:space="preserve">male </w:t>
      </w:r>
      <w:r>
        <w:rPr>
          <w:rFonts w:asciiTheme="majorHAnsi" w:hAnsiTheme="majorHAnsi" w:cstheme="majorHAnsi"/>
        </w:rPr>
        <w:t xml:space="preserve">and </w:t>
      </w:r>
      <w:r>
        <w:rPr>
          <w:rFonts w:asciiTheme="majorHAnsi" w:hAnsiTheme="majorHAnsi" w:cstheme="majorHAnsi"/>
          <w:i/>
          <w:iCs/>
        </w:rPr>
        <w:t>female</w:t>
      </w:r>
      <w:r>
        <w:rPr>
          <w:rFonts w:asciiTheme="majorHAnsi" w:hAnsiTheme="majorHAnsi" w:cstheme="majorHAnsi"/>
        </w:rPr>
        <w:t xml:space="preserve"> as response options; and (2) What is your current gender identity?, with </w:t>
      </w:r>
      <w:r>
        <w:rPr>
          <w:rFonts w:asciiTheme="majorHAnsi" w:hAnsiTheme="majorHAnsi" w:cstheme="majorHAnsi"/>
          <w:i/>
          <w:iCs/>
        </w:rPr>
        <w:t>woman</w:t>
      </w:r>
      <w:r>
        <w:rPr>
          <w:rFonts w:asciiTheme="majorHAnsi" w:hAnsiTheme="majorHAnsi" w:cstheme="majorHAnsi"/>
        </w:rPr>
        <w:t xml:space="preserve">, </w:t>
      </w:r>
      <w:r>
        <w:rPr>
          <w:rFonts w:asciiTheme="majorHAnsi" w:hAnsiTheme="majorHAnsi" w:cstheme="majorHAnsi"/>
          <w:i/>
          <w:iCs/>
        </w:rPr>
        <w:t>man</w:t>
      </w:r>
      <w:r>
        <w:rPr>
          <w:rFonts w:asciiTheme="majorHAnsi" w:hAnsiTheme="majorHAnsi" w:cstheme="majorHAnsi"/>
        </w:rPr>
        <w:t xml:space="preserve">, </w:t>
      </w:r>
      <w:r>
        <w:rPr>
          <w:rFonts w:asciiTheme="majorHAnsi" w:hAnsiTheme="majorHAnsi" w:cstheme="majorHAnsi"/>
          <w:i/>
          <w:iCs/>
        </w:rPr>
        <w:t>nonbinary</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as response options. Respondents who chose</w:t>
      </w:r>
      <w:commentRangeStart w:id="36"/>
      <w:r>
        <w:rPr>
          <w:rFonts w:asciiTheme="majorHAnsi" w:hAnsiTheme="majorHAnsi" w:cstheme="majorHAnsi"/>
        </w:rPr>
        <w:t xml:space="preserve"> </w:t>
      </w:r>
      <w:r>
        <w:rPr>
          <w:rFonts w:asciiTheme="majorHAnsi" w:hAnsiTheme="majorHAnsi" w:cstheme="majorHAnsi"/>
          <w:i/>
          <w:iCs/>
        </w:rPr>
        <w:t>other</w:t>
      </w:r>
      <w:r>
        <w:rPr>
          <w:rFonts w:asciiTheme="majorHAnsi" w:hAnsiTheme="majorHAnsi" w:cstheme="majorHAnsi"/>
        </w:rPr>
        <w:t xml:space="preserve"> also had the option to write in a response.</w:t>
      </w:r>
      <w:commentRangeEnd w:id="36"/>
      <w:r>
        <w:rPr>
          <w:rStyle w:val="CommentReference"/>
          <w:rFonts w:asciiTheme="majorHAnsi" w:hAnsiTheme="majorHAnsi" w:cstheme="majorHAnsi"/>
          <w:sz w:val="24"/>
          <w:szCs w:val="24"/>
        </w:rPr>
        <w:commentReference w:id="36"/>
      </w:r>
      <w:r>
        <w:rPr>
          <w:rFonts w:asciiTheme="majorHAnsi" w:hAnsiTheme="majorHAnsi" w:cstheme="majorHAnsi"/>
        </w:rPr>
        <w:t xml:space="preserve"> Using these survey items, we classify respondents into one of the following umbrella categories: </w:t>
      </w:r>
      <w:r>
        <w:rPr>
          <w:rFonts w:asciiTheme="majorHAnsi" w:hAnsiTheme="majorHAnsi" w:cstheme="majorHAnsi"/>
          <w:i/>
          <w:iCs/>
        </w:rPr>
        <w:t>cisgender</w:t>
      </w:r>
      <w:r>
        <w:rPr>
          <w:rFonts w:asciiTheme="majorHAnsi" w:hAnsiTheme="majorHAnsi" w:cstheme="majorHAnsi"/>
        </w:rPr>
        <w:t xml:space="preserve">, </w:t>
      </w:r>
      <w:r>
        <w:rPr>
          <w:rFonts w:asciiTheme="majorHAnsi" w:hAnsiTheme="majorHAnsi" w:cstheme="majorHAnsi"/>
          <w:i/>
          <w:iCs/>
        </w:rPr>
        <w:t>transgender and gender expansiv</w:t>
      </w:r>
      <w:r>
        <w:rPr>
          <w:rFonts w:asciiTheme="majorHAnsi" w:hAnsiTheme="majorHAnsi" w:cstheme="majorHAnsi"/>
        </w:rPr>
        <w:t xml:space="preserve">e (Robinson &amp; Cooper, 2024), and </w:t>
      </w:r>
      <w:r>
        <w:rPr>
          <w:rFonts w:asciiTheme="majorHAnsi" w:hAnsiTheme="majorHAnsi" w:cstheme="majorHAnsi"/>
          <w:i/>
          <w:iCs/>
        </w:rPr>
        <w:t>prefer not to say</w:t>
      </w:r>
      <w:r>
        <w:rPr>
          <w:rFonts w:asciiTheme="majorHAnsi" w:hAnsiTheme="majorHAnsi" w:cstheme="majorHAnsi"/>
        </w:rPr>
        <w:t xml:space="preserve">. Respondents who reported that their sex assigned at birth aligned with their current gender identity (e.g., male and man; female and woman) were categorized as </w:t>
      </w:r>
      <w:r>
        <w:rPr>
          <w:rFonts w:asciiTheme="majorHAnsi" w:hAnsiTheme="majorHAnsi" w:cstheme="majorHAnsi"/>
          <w:i/>
          <w:iCs/>
        </w:rPr>
        <w:t>cisgender</w:t>
      </w:r>
      <w:r>
        <w:rPr>
          <w:rFonts w:asciiTheme="majorHAnsi" w:hAnsiTheme="majorHAnsi" w:cstheme="majorHAnsi"/>
        </w:rPr>
        <w:t xml:space="preserve">, while respondents who reported their sex assigned at birth differed from their current gender identity were categorized as </w:t>
      </w:r>
      <w:r>
        <w:rPr>
          <w:rFonts w:asciiTheme="majorHAnsi" w:hAnsiTheme="majorHAnsi" w:cstheme="majorHAnsi"/>
          <w:i/>
          <w:iCs/>
        </w:rPr>
        <w:t>trans(gender) and gender expansive</w:t>
      </w:r>
      <w:r>
        <w:rPr>
          <w:rFonts w:asciiTheme="majorHAnsi" w:hAnsiTheme="majorHAnsi" w:cstheme="majorHAnsi"/>
        </w:rPr>
        <w:t xml:space="preserve">. The Human Rights Campaign uses the term </w:t>
      </w:r>
      <w:r>
        <w:rPr>
          <w:rFonts w:asciiTheme="majorHAnsi" w:hAnsiTheme="majorHAnsi" w:cstheme="majorHAnsi"/>
          <w:i/>
          <w:iCs/>
        </w:rPr>
        <w:t>trans(gender) and gender expansive</w:t>
      </w:r>
      <w:r>
        <w:rPr>
          <w:rFonts w:asciiTheme="majorHAnsi" w:hAnsiTheme="majorHAnsi" w:cstheme="majorHAnsi"/>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43B3CD3B" w:rsidR="00BD041A"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We further classify trans and gender expansive students into the following sub-categories, which we utilize in our analysis: </w:t>
      </w:r>
      <w:r>
        <w:rPr>
          <w:rFonts w:asciiTheme="majorHAnsi" w:hAnsiTheme="majorHAnsi" w:cstheme="majorHAnsi"/>
          <w:i/>
          <w:iCs/>
        </w:rPr>
        <w:t xml:space="preserve">transgender men, transgender women, nonbinary, </w:t>
      </w:r>
      <w:r>
        <w:rPr>
          <w:rFonts w:asciiTheme="majorHAnsi" w:hAnsiTheme="majorHAnsi" w:cstheme="majorHAnsi"/>
        </w:rPr>
        <w:t>and</w:t>
      </w:r>
      <w:r>
        <w:rPr>
          <w:rFonts w:asciiTheme="majorHAnsi" w:hAnsiTheme="majorHAnsi" w:cstheme="majorHAnsi"/>
          <w:i/>
          <w:iCs/>
        </w:rPr>
        <w:t xml:space="preserve"> gender diverse/questioning. </w:t>
      </w:r>
      <w:r>
        <w:rPr>
          <w:rFonts w:asciiTheme="majorHAnsi" w:hAnsiTheme="majorHAnsi" w:cstheme="majorHAnsi"/>
        </w:rPr>
        <w:t xml:space="preserve">For example, students who reported their sex assigned at birth as female or male and who identified as a man or a woman were categorized as </w:t>
      </w:r>
      <w:r>
        <w:rPr>
          <w:rFonts w:asciiTheme="majorHAnsi" w:hAnsiTheme="majorHAnsi" w:cstheme="majorHAnsi"/>
          <w:i/>
          <w:iCs/>
        </w:rPr>
        <w:t xml:space="preserve">binary-identifying transgender men </w:t>
      </w:r>
      <w:r>
        <w:rPr>
          <w:rFonts w:asciiTheme="majorHAnsi" w:hAnsiTheme="majorHAnsi" w:cstheme="majorHAnsi"/>
        </w:rPr>
        <w:t>and</w:t>
      </w:r>
      <w:r>
        <w:rPr>
          <w:rFonts w:asciiTheme="majorHAnsi" w:hAnsiTheme="majorHAnsi" w:cstheme="majorHAnsi"/>
          <w:i/>
          <w:iCs/>
        </w:rPr>
        <w:t xml:space="preserve"> women</w:t>
      </w:r>
      <w:r>
        <w:rPr>
          <w:rFonts w:asciiTheme="majorHAnsi" w:hAnsiTheme="majorHAnsi" w:cstheme="majorHAnsi"/>
        </w:rPr>
        <w:t>,</w:t>
      </w:r>
      <w:r>
        <w:rPr>
          <w:rFonts w:asciiTheme="majorHAnsi" w:hAnsiTheme="majorHAnsi" w:cstheme="majorHAnsi"/>
          <w:i/>
          <w:iCs/>
        </w:rPr>
        <w:t xml:space="preserve"> </w:t>
      </w:r>
      <w:r>
        <w:rPr>
          <w:rFonts w:asciiTheme="majorHAnsi" w:hAnsiTheme="majorHAnsi" w:cstheme="majorHAnsi"/>
        </w:rPr>
        <w:t>respectively</w:t>
      </w:r>
      <w:r>
        <w:rPr>
          <w:rFonts w:asciiTheme="majorHAnsi" w:hAnsiTheme="majorHAnsi" w:cstheme="majorHAnsi"/>
          <w:i/>
          <w:iCs/>
        </w:rPr>
        <w:t xml:space="preserve">. </w:t>
      </w:r>
      <w:r>
        <w:rPr>
          <w:rFonts w:asciiTheme="majorHAnsi" w:hAnsiTheme="majorHAnsi" w:cstheme="majorHAnsi"/>
        </w:rPr>
        <w:t xml:space="preserve">Students who selected </w:t>
      </w:r>
      <w:r>
        <w:rPr>
          <w:rFonts w:asciiTheme="majorHAnsi" w:hAnsiTheme="majorHAnsi" w:cstheme="majorHAnsi"/>
          <w:i/>
          <w:iCs/>
        </w:rPr>
        <w:t xml:space="preserve">nonbinary </w:t>
      </w:r>
      <w:r>
        <w:rPr>
          <w:rFonts w:asciiTheme="majorHAnsi" w:hAnsiTheme="majorHAnsi" w:cstheme="majorHAnsi"/>
        </w:rPr>
        <w:t>or wrote in responses that included the term “nonbinary” in their written responses</w:t>
      </w:r>
      <w:r>
        <w:rPr>
          <w:rFonts w:asciiTheme="majorHAnsi" w:hAnsiTheme="majorHAnsi" w:cstheme="majorHAnsi"/>
          <w:i/>
          <w:iCs/>
        </w:rPr>
        <w:t xml:space="preserve"> </w:t>
      </w:r>
      <w:r>
        <w:rPr>
          <w:rFonts w:asciiTheme="majorHAnsi" w:hAnsiTheme="majorHAnsi" w:cstheme="majorHAnsi"/>
        </w:rPr>
        <w:t xml:space="preserve">were categorized as </w:t>
      </w:r>
      <w:r>
        <w:rPr>
          <w:rFonts w:asciiTheme="majorHAnsi" w:hAnsiTheme="majorHAnsi" w:cstheme="majorHAnsi"/>
          <w:i/>
          <w:iCs/>
        </w:rPr>
        <w:t>nonbinary</w:t>
      </w:r>
      <w:r>
        <w:rPr>
          <w:rFonts w:asciiTheme="majorHAnsi" w:hAnsiTheme="majorHAnsi" w:cstheme="majorHAnsi"/>
        </w:rPr>
        <w:t>, regardless of sex assigned at birth</w:t>
      </w:r>
      <w:r>
        <w:rPr>
          <w:rFonts w:asciiTheme="majorHAnsi" w:hAnsiTheme="majorHAnsi" w:cstheme="majorHAnsi"/>
          <w:i/>
          <w:iCs/>
        </w:rPr>
        <w:t>.</w:t>
      </w:r>
      <w:r>
        <w:rPr>
          <w:rFonts w:asciiTheme="majorHAnsi" w:hAnsiTheme="majorHAnsi" w:cstheme="majorHAnsi"/>
        </w:rPr>
        <w:t xml:space="preserve"> Students who wrote in other diverse gender identities (e.g., genderfluid) are captured by the term </w:t>
      </w:r>
      <w:r>
        <w:rPr>
          <w:rFonts w:asciiTheme="majorHAnsi" w:hAnsiTheme="majorHAnsi" w:cstheme="majorHAnsi"/>
          <w:i/>
          <w:iCs/>
        </w:rPr>
        <w:t>gender diverse/questioning</w:t>
      </w:r>
      <w:r>
        <w:rPr>
          <w:rFonts w:asciiTheme="majorHAnsi" w:hAnsiTheme="majorHAnsi" w:cstheme="majorHAnsi"/>
        </w:rPr>
        <w:t xml:space="preserve">. Our analysis revealed some significant differences between the </w:t>
      </w:r>
      <w:r>
        <w:rPr>
          <w:rFonts w:asciiTheme="majorHAnsi" w:hAnsiTheme="majorHAnsi" w:cstheme="majorHAnsi"/>
        </w:rPr>
        <w:lastRenderedPageBreak/>
        <w:t xml:space="preserve">experiences of nonbinary and gender diverse/questioning students, which provides additional support for these distinctions. Finally, students who chose </w:t>
      </w:r>
      <w:r>
        <w:rPr>
          <w:rFonts w:asciiTheme="majorHAnsi" w:hAnsiTheme="majorHAnsi" w:cstheme="majorHAnsi"/>
          <w:i/>
          <w:iCs/>
        </w:rPr>
        <w:t>prefer not to say</w:t>
      </w:r>
      <w:r>
        <w:rPr>
          <w:rFonts w:asciiTheme="majorHAnsi" w:hAnsiTheme="majorHAnsi" w:cstheme="majorHAnsi"/>
        </w:rPr>
        <w:t xml:space="preserve"> or wrote in </w:t>
      </w:r>
      <w:commentRangeStart w:id="37"/>
      <w:r>
        <w:rPr>
          <w:rFonts w:asciiTheme="majorHAnsi" w:hAnsiTheme="majorHAnsi" w:cstheme="majorHAnsi"/>
        </w:rPr>
        <w:t xml:space="preserve">malicious </w:t>
      </w:r>
      <w:commentRangeEnd w:id="37"/>
      <w:r>
        <w:rPr>
          <w:rStyle w:val="CommentReference"/>
          <w:rFonts w:asciiTheme="majorHAnsi" w:hAnsiTheme="majorHAnsi" w:cstheme="majorHAnsi"/>
          <w:sz w:val="24"/>
          <w:szCs w:val="24"/>
        </w:rPr>
        <w:commentReference w:id="37"/>
      </w:r>
      <w:r>
        <w:rPr>
          <w:rFonts w:asciiTheme="majorHAnsi" w:hAnsiTheme="majorHAnsi" w:cstheme="majorHAnsi"/>
        </w:rPr>
        <w:t xml:space="preserve">responses (e.g., racial and gender slurs) were classified as </w:t>
      </w:r>
      <w:r>
        <w:rPr>
          <w:rFonts w:asciiTheme="majorHAnsi" w:hAnsiTheme="majorHAnsi" w:cstheme="majorHAnsi"/>
          <w:i/>
          <w:iCs/>
        </w:rPr>
        <w:t>prefer not to say</w:t>
      </w:r>
      <w:r>
        <w:rPr>
          <w:rFonts w:asciiTheme="majorHAnsi" w:hAnsiTheme="majorHAnsi" w:cstheme="majorHAnsi"/>
        </w:rPr>
        <w:t>. Among the trans and gender expansive students in our sample (</w:t>
      </w:r>
      <w:r>
        <w:rPr>
          <w:rFonts w:asciiTheme="majorHAnsi" w:hAnsiTheme="majorHAnsi" w:cstheme="majorHAnsi"/>
          <w:i/>
          <w:iCs/>
        </w:rPr>
        <w:t xml:space="preserve">n </w:t>
      </w:r>
      <w:r>
        <w:rPr>
          <w:rFonts w:asciiTheme="majorHAnsi" w:hAnsiTheme="majorHAnsi" w:cstheme="majorHAnsi"/>
        </w:rPr>
        <w:t xml:space="preserve">= 417), </w:t>
      </w:r>
      <w:commentRangeStart w:id="38"/>
      <w:r>
        <w:rPr>
          <w:rFonts w:asciiTheme="majorHAnsi" w:hAnsiTheme="majorHAnsi" w:cstheme="majorHAnsi"/>
        </w:rPr>
        <w:t>about 19% identified as transgender, 64% as nonbinary, and 17% as gender diverse/questioning.</w:t>
      </w:r>
      <w:commentRangeEnd w:id="38"/>
      <w:r>
        <w:rPr>
          <w:rStyle w:val="CommentReference"/>
          <w:rFonts w:asciiTheme="majorHAnsi" w:hAnsiTheme="majorHAnsi" w:cstheme="majorHAnsi"/>
          <w:sz w:val="24"/>
          <w:szCs w:val="24"/>
        </w:rPr>
        <w:commentReference w:id="38"/>
      </w:r>
      <w:r>
        <w:rPr>
          <w:rFonts w:asciiTheme="majorHAnsi" w:hAnsiTheme="majorHAnsi" w:cstheme="majorHAnsi"/>
        </w:rPr>
        <w:t xml:space="preserve"> Beyond predefined options, students also noted 26 unique terms to describe their gender identity, including </w:t>
      </w:r>
      <w:r>
        <w:rPr>
          <w:rFonts w:asciiTheme="majorHAnsi" w:hAnsiTheme="majorHAnsi" w:cstheme="majorHAnsi"/>
          <w:i/>
          <w:iCs/>
        </w:rPr>
        <w:t>genderfluid</w:t>
      </w:r>
      <w:r>
        <w:rPr>
          <w:rFonts w:asciiTheme="majorHAnsi" w:hAnsiTheme="majorHAnsi" w:cstheme="majorHAnsi"/>
        </w:rPr>
        <w:t xml:space="preserve">, </w:t>
      </w:r>
      <w:r>
        <w:rPr>
          <w:rFonts w:asciiTheme="majorHAnsi" w:hAnsiTheme="majorHAnsi" w:cstheme="majorHAnsi"/>
          <w:i/>
          <w:iCs/>
        </w:rPr>
        <w:t>agender</w:t>
      </w:r>
      <w:r>
        <w:rPr>
          <w:rFonts w:asciiTheme="majorHAnsi" w:hAnsiTheme="majorHAnsi" w:cstheme="majorHAnsi"/>
        </w:rPr>
        <w:t xml:space="preserve">, </w:t>
      </w:r>
      <w:r>
        <w:rPr>
          <w:rFonts w:asciiTheme="majorHAnsi" w:hAnsiTheme="majorHAnsi" w:cstheme="majorHAnsi"/>
          <w:i/>
          <w:iCs/>
        </w:rPr>
        <w:t>genderqueer</w:t>
      </w:r>
      <w:r>
        <w:rPr>
          <w:rFonts w:asciiTheme="majorHAnsi" w:hAnsiTheme="majorHAnsi" w:cstheme="majorHAnsi"/>
        </w:rPr>
        <w:t xml:space="preserve">, and </w:t>
      </w:r>
      <w:r>
        <w:rPr>
          <w:rFonts w:asciiTheme="majorHAnsi" w:hAnsiTheme="majorHAnsi" w:cstheme="majorHAnsi"/>
          <w:i/>
          <w:iCs/>
        </w:rPr>
        <w:t>two-spirit</w:t>
      </w:r>
      <w:r>
        <w:rPr>
          <w:rFonts w:asciiTheme="majorHAnsi" w:hAnsiTheme="majorHAnsi" w:cstheme="majorHAnsi"/>
        </w:rPr>
        <w:t>, among many others</w:t>
      </w:r>
      <w:r>
        <w:rPr>
          <w:rStyle w:val="FootnoteReference"/>
          <w:rFonts w:asciiTheme="majorHAnsi" w:hAnsiTheme="majorHAnsi" w:cstheme="majorHAnsi"/>
        </w:rPr>
        <w:footnoteReference w:id="2"/>
      </w:r>
      <w:r>
        <w:rPr>
          <w:rFonts w:asciiTheme="majorHAnsi" w:hAnsiTheme="majorHAnsi" w:cstheme="majorHAnsi"/>
          <w:i/>
          <w:iCs/>
        </w:rPr>
        <w:t xml:space="preserve">. </w:t>
      </w:r>
      <w:r>
        <w:rPr>
          <w:rFonts w:asciiTheme="majorHAnsi" w:hAnsiTheme="majorHAnsi" w:cstheme="majorHAnsi"/>
        </w:rPr>
        <w:t>We also examined associations between gender identity and sexual orientation and found that trans and gender expansive students were more likely to select a non-heterosexual sexual orientation than cisgender students (see Table A1 in Appendix A).</w:t>
      </w:r>
      <w:r>
        <w:rPr>
          <w:rStyle w:val="FootnoteReference"/>
          <w:rFonts w:asciiTheme="majorHAnsi" w:hAnsiTheme="majorHAnsi" w:cstheme="majorHAnsi"/>
        </w:rPr>
        <w:footnoteReference w:id="3"/>
      </w:r>
    </w:p>
    <w:p w14:paraId="7439AE15" w14:textId="48A76BCF" w:rsidR="00BD041A" w:rsidRDefault="00602BF5" w:rsidP="003F369F">
      <w:pPr>
        <w:spacing w:line="360" w:lineRule="auto"/>
        <w:ind w:firstLine="720"/>
        <w:rPr>
          <w:rFonts w:asciiTheme="majorHAnsi" w:hAnsiTheme="majorHAnsi" w:cstheme="majorHAnsi"/>
        </w:rPr>
      </w:pPr>
      <w:r>
        <w:rPr>
          <w:rFonts w:asciiTheme="majorHAnsi" w:hAnsiTheme="majorHAnsi" w:cstheme="majorHAnsi"/>
        </w:rPr>
        <w:t xml:space="preserve">To measure sexual orientation, we adapted the survey instrument recommended by the </w:t>
      </w:r>
      <w:r>
        <w:rPr>
          <w:rFonts w:asciiTheme="majorHAnsi" w:hAnsiTheme="majorHAnsi" w:cstheme="majorHAnsi"/>
          <w:lang w:val="en-US"/>
        </w:rPr>
        <w:t xml:space="preserve">Sexual Minority Assessment Research Team (SMART) </w:t>
      </w:r>
      <w:r>
        <w:rPr>
          <w:rFonts w:asciiTheme="majorHAnsi" w:hAnsiTheme="majorHAnsi" w:cstheme="majorHAnsi"/>
        </w:rPr>
        <w:t xml:space="preserve">to capture the breadth of students’ identities. Students were asked to self-identify among the following options: </w:t>
      </w:r>
      <w:r>
        <w:rPr>
          <w:rFonts w:asciiTheme="majorHAnsi" w:hAnsiTheme="majorHAnsi" w:cstheme="majorHAnsi"/>
          <w:i/>
          <w:iCs/>
        </w:rPr>
        <w:t>lesbian or gay</w:t>
      </w:r>
      <w:r>
        <w:rPr>
          <w:rFonts w:asciiTheme="majorHAnsi" w:hAnsiTheme="majorHAnsi" w:cstheme="majorHAnsi"/>
        </w:rPr>
        <w:t xml:space="preserve">; </w:t>
      </w:r>
      <w:r>
        <w:rPr>
          <w:rFonts w:asciiTheme="majorHAnsi" w:hAnsiTheme="majorHAnsi" w:cstheme="majorHAnsi"/>
          <w:i/>
          <w:iCs/>
        </w:rPr>
        <w:t>straight (not gay or lesbian)</w:t>
      </w:r>
      <w:r>
        <w:rPr>
          <w:rFonts w:asciiTheme="majorHAnsi" w:hAnsiTheme="majorHAnsi" w:cstheme="majorHAnsi"/>
        </w:rPr>
        <w:t xml:space="preserve">; </w:t>
      </w:r>
      <w:r>
        <w:rPr>
          <w:rFonts w:asciiTheme="majorHAnsi" w:hAnsiTheme="majorHAnsi" w:cstheme="majorHAnsi"/>
          <w:i/>
          <w:iCs/>
        </w:rPr>
        <w:t>bisexual</w:t>
      </w:r>
      <w:r>
        <w:rPr>
          <w:rFonts w:asciiTheme="majorHAnsi" w:hAnsiTheme="majorHAnsi" w:cstheme="majorHAnsi"/>
        </w:rPr>
        <w:t xml:space="preserve">; </w:t>
      </w:r>
      <w:r>
        <w:rPr>
          <w:rFonts w:asciiTheme="majorHAnsi" w:hAnsiTheme="majorHAnsi" w:cstheme="majorHAnsi"/>
          <w:i/>
          <w:iCs/>
        </w:rPr>
        <w:t>asexual</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which also included the opportunity to write in a response </w:t>
      </w:r>
      <w:commentRangeStart w:id="39"/>
      <w:r>
        <w:rPr>
          <w:rFonts w:asciiTheme="majorHAnsi" w:hAnsiTheme="majorHAnsi" w:cstheme="majorHAnsi"/>
        </w:rPr>
        <w:t>(Badgett et al., 2009)</w:t>
      </w:r>
      <w:commentRangeEnd w:id="39"/>
      <w:r>
        <w:rPr>
          <w:rStyle w:val="CommentReference"/>
          <w:rFonts w:asciiTheme="majorHAnsi" w:hAnsiTheme="majorHAnsi" w:cstheme="majorHAnsi"/>
          <w:sz w:val="24"/>
          <w:szCs w:val="24"/>
        </w:rPr>
        <w:commentReference w:id="39"/>
      </w:r>
      <w:r>
        <w:rPr>
          <w:rFonts w:asciiTheme="majorHAnsi" w:hAnsiTheme="majorHAnsi" w:cstheme="majorHAnsi"/>
        </w:rPr>
        <w:t>. T</w:t>
      </w:r>
      <w:r>
        <w:rPr>
          <w:rFonts w:asciiTheme="majorHAnsi" w:hAnsiTheme="majorHAnsi" w:cstheme="majorHAnsi"/>
          <w:lang w:val="en-US"/>
        </w:rPr>
        <w:t xml:space="preserve">he option </w:t>
      </w:r>
      <w:r>
        <w:rPr>
          <w:rFonts w:asciiTheme="majorHAnsi" w:hAnsiTheme="majorHAnsi" w:cstheme="majorHAnsi"/>
          <w:i/>
          <w:iCs/>
          <w:lang w:val="en-US"/>
        </w:rPr>
        <w:t>asexual</w:t>
      </w:r>
      <w:r>
        <w:rPr>
          <w:rFonts w:asciiTheme="majorHAnsi" w:hAnsiTheme="majorHAnsi" w:cstheme="majorHAnsi"/>
          <w:lang w:val="en-US"/>
        </w:rPr>
        <w:t xml:space="preserve"> was added to proffer more expansive options for students</w:t>
      </w:r>
      <w:r>
        <w:rPr>
          <w:rFonts w:asciiTheme="majorHAnsi" w:hAnsiTheme="majorHAnsi" w:cstheme="majorHAnsi"/>
        </w:rPr>
        <w:t>. Within our sample, nearly one-quarter (</w:t>
      </w:r>
      <w:r>
        <w:rPr>
          <w:rFonts w:asciiTheme="majorHAnsi" w:hAnsiTheme="majorHAnsi" w:cstheme="majorHAnsi"/>
          <w:i/>
          <w:iCs/>
        </w:rPr>
        <w:t xml:space="preserve">n </w:t>
      </w:r>
      <w:r>
        <w:rPr>
          <w:rFonts w:asciiTheme="majorHAnsi" w:hAnsiTheme="majorHAnsi" w:cstheme="majorHAnsi"/>
        </w:rPr>
        <w:t>= 1,782) of students identified as LGB+, with most students identifying as bisexual/pansexual/omnisexual (15.2%), while about 4% of students identified as gay or lesbian, 2.4% as asexual/aromantic/demisexual, and 1.8% as other/</w:t>
      </w:r>
      <w:commentRangeStart w:id="40"/>
      <w:commentRangeStart w:id="41"/>
      <w:r>
        <w:rPr>
          <w:rFonts w:asciiTheme="majorHAnsi" w:hAnsiTheme="majorHAnsi" w:cstheme="majorHAnsi"/>
        </w:rPr>
        <w:t>queer</w:t>
      </w:r>
      <w:commentRangeEnd w:id="40"/>
      <w:r>
        <w:rPr>
          <w:rStyle w:val="CommentReference"/>
          <w:rFonts w:asciiTheme="majorHAnsi" w:hAnsiTheme="majorHAnsi" w:cstheme="majorHAnsi"/>
          <w:sz w:val="24"/>
          <w:szCs w:val="24"/>
        </w:rPr>
        <w:commentReference w:id="40"/>
      </w:r>
      <w:commentRangeEnd w:id="41"/>
      <w:r>
        <w:rPr>
          <w:rStyle w:val="CommentReference"/>
          <w:rFonts w:asciiTheme="majorHAnsi" w:hAnsiTheme="majorHAnsi" w:cstheme="majorHAnsi"/>
          <w:sz w:val="24"/>
          <w:szCs w:val="24"/>
        </w:rPr>
        <w:commentReference w:id="41"/>
      </w:r>
      <w:r>
        <w:rPr>
          <w:rFonts w:asciiTheme="majorHAnsi" w:hAnsiTheme="majorHAnsi" w:cstheme="majorHAnsi"/>
        </w:rPr>
        <w:t xml:space="preserve">/questioning. Similar to gender identity, students also used a variety of terms to describe their sexual orientation beyond those </w:t>
      </w:r>
      <w:commentRangeStart w:id="42"/>
      <w:commentRangeStart w:id="43"/>
      <w:r>
        <w:rPr>
          <w:rFonts w:asciiTheme="majorHAnsi" w:hAnsiTheme="majorHAnsi" w:cstheme="majorHAnsi"/>
        </w:rPr>
        <w:t>provided</w:t>
      </w:r>
      <w:commentRangeEnd w:id="42"/>
      <w:r>
        <w:rPr>
          <w:rStyle w:val="CommentReference"/>
          <w:rFonts w:asciiTheme="majorHAnsi" w:hAnsiTheme="majorHAnsi" w:cstheme="majorHAnsi"/>
          <w:sz w:val="24"/>
          <w:szCs w:val="24"/>
        </w:rPr>
        <w:commentReference w:id="42"/>
      </w:r>
      <w:commentRangeEnd w:id="43"/>
      <w:r>
        <w:rPr>
          <w:rStyle w:val="CommentReference"/>
          <w:rFonts w:asciiTheme="majorHAnsi" w:hAnsiTheme="majorHAnsi" w:cstheme="majorHAnsi"/>
          <w:sz w:val="24"/>
          <w:szCs w:val="24"/>
        </w:rPr>
        <w:commentReference w:id="43"/>
      </w:r>
      <w:r>
        <w:rPr>
          <w:rFonts w:asciiTheme="majorHAnsi" w:hAnsiTheme="majorHAnsi" w:cstheme="majorHAnsi"/>
        </w:rPr>
        <w:t xml:space="preserve">, such as </w:t>
      </w:r>
      <w:r>
        <w:rPr>
          <w:rFonts w:asciiTheme="majorHAnsi" w:hAnsiTheme="majorHAnsi" w:cstheme="majorHAnsi"/>
          <w:i/>
          <w:iCs/>
        </w:rPr>
        <w:t xml:space="preserve">pansexual </w:t>
      </w:r>
      <w:r>
        <w:rPr>
          <w:rFonts w:asciiTheme="majorHAnsi" w:hAnsiTheme="majorHAnsi" w:cstheme="majorHAnsi"/>
        </w:rPr>
        <w:t xml:space="preserve">and </w:t>
      </w:r>
      <w:r>
        <w:rPr>
          <w:rFonts w:asciiTheme="majorHAnsi" w:hAnsiTheme="majorHAnsi" w:cstheme="majorHAnsi"/>
          <w:i/>
          <w:iCs/>
        </w:rPr>
        <w:t>queer</w:t>
      </w:r>
      <w:r>
        <w:rPr>
          <w:rFonts w:asciiTheme="majorHAnsi" w:hAnsiTheme="majorHAnsi" w:cstheme="majorHAnsi"/>
        </w:rPr>
        <w:t>, while others used multiple terms or did not want to label their sexual orientation.</w:t>
      </w:r>
      <w:r>
        <w:rPr>
          <w:rStyle w:val="FootnoteReference"/>
          <w:rFonts w:asciiTheme="majorHAnsi" w:hAnsiTheme="majorHAnsi" w:cstheme="majorHAnsi"/>
        </w:rPr>
        <w:footnoteReference w:id="4"/>
      </w:r>
      <w:r>
        <w:rPr>
          <w:rFonts w:asciiTheme="majorHAnsi" w:hAnsiTheme="majorHAnsi" w:cstheme="majorHAnsi"/>
        </w:rPr>
        <w:t xml:space="preserve"> </w:t>
      </w:r>
    </w:p>
    <w:p w14:paraId="265EC08F" w14:textId="77777777" w:rsidR="00C92FC2" w:rsidRDefault="00C92FC2" w:rsidP="003803B1">
      <w:pPr>
        <w:spacing w:line="360" w:lineRule="auto"/>
        <w:ind w:firstLine="720"/>
        <w:rPr>
          <w:rFonts w:asciiTheme="majorHAnsi" w:hAnsiTheme="majorHAnsi" w:cstheme="majorHAnsi"/>
        </w:rPr>
      </w:pPr>
      <w:r>
        <w:rPr>
          <w:rFonts w:asciiTheme="majorHAnsi" w:hAnsiTheme="majorHAnsi" w:cstheme="majorHAnsi"/>
        </w:rPr>
        <w:t xml:space="preserve">We also adapted questions on bullying and harassment from the California Healthy Kids Survey (Austin et al., 2023) to examine students' experiences with identity-based victimization in high school. Specifically, we asked students to report the frequency with which they were bullied or harassed at school in the past 12 months, with response options ranging from zero </w:t>
      </w:r>
      <w:r>
        <w:rPr>
          <w:rFonts w:asciiTheme="majorHAnsi" w:hAnsiTheme="majorHAnsi" w:cstheme="majorHAnsi"/>
        </w:rPr>
        <w:lastRenderedPageBreak/>
        <w:t>times to four or more times. Students who reported being bullied at least once were then asked to identify the reasons for their victimization, including race or ethnicity, religion, gender identity, or sexual orientation.</w:t>
      </w:r>
    </w:p>
    <w:p w14:paraId="7439AE16" w14:textId="11528902" w:rsidR="00BD041A"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t>A full descriptive examination of the rich diversity of labels students used to describe their gender identities and sexual orientation in the open response option, beyond those provided, is included in a companion paper currently under review (Hurtt et al., 2026, forthcoming). Here, we turn to how LGBTQ+ identities relate to students’ high school experiences and college expectations.</w:t>
      </w:r>
    </w:p>
    <w:p w14:paraId="3962C7BD" w14:textId="3A0CE6BF" w:rsidR="00654EC3" w:rsidRPr="006159A0" w:rsidRDefault="00602BF5" w:rsidP="00784751">
      <w:pPr>
        <w:pStyle w:val="Heading1"/>
        <w:spacing w:before="0" w:after="0" w:line="360" w:lineRule="auto"/>
        <w:rPr>
          <w:rFonts w:asciiTheme="majorHAnsi" w:hAnsiTheme="majorHAnsi" w:cstheme="majorHAnsi"/>
          <w:b/>
          <w:bCs/>
          <w:sz w:val="24"/>
          <w:szCs w:val="28"/>
        </w:rPr>
      </w:pPr>
      <w:bookmarkStart w:id="44" w:name="_scgysuqoik8m" w:colFirst="0" w:colLast="0"/>
      <w:bookmarkEnd w:id="44"/>
      <w:commentRangeStart w:id="45"/>
      <w:commentRangeStart w:id="46"/>
      <w:r>
        <w:rPr>
          <w:rFonts w:asciiTheme="majorHAnsi" w:hAnsiTheme="majorHAnsi" w:cstheme="majorHAnsi"/>
          <w:b/>
          <w:bCs/>
          <w:sz w:val="24"/>
          <w:szCs w:val="28"/>
        </w:rPr>
        <w:t xml:space="preserve">Data </w:t>
      </w:r>
      <w:commentRangeStart w:id="47"/>
      <w:commentRangeStart w:id="48"/>
      <w:r>
        <w:rPr>
          <w:rFonts w:asciiTheme="majorHAnsi" w:hAnsiTheme="majorHAnsi" w:cstheme="majorHAnsi"/>
          <w:b/>
          <w:bCs/>
          <w:sz w:val="24"/>
          <w:szCs w:val="28"/>
        </w:rPr>
        <w:t>Analysis</w:t>
      </w:r>
      <w:bookmarkStart w:id="49" w:name="_aa45wrhg3h9a" w:colFirst="0" w:colLast="0"/>
      <w:bookmarkEnd w:id="49"/>
      <w:commentRangeEnd w:id="45"/>
      <w:r w:rsidRPr="006159A0">
        <w:rPr>
          <w:rStyle w:val="CommentReference"/>
          <w:rFonts w:asciiTheme="majorHAnsi" w:hAnsiTheme="majorHAnsi" w:cstheme="majorHAnsi"/>
          <w:b/>
          <w:bCs/>
          <w:sz w:val="24"/>
          <w:szCs w:val="28"/>
        </w:rPr>
        <w:commentReference w:id="45"/>
      </w:r>
      <w:commentRangeEnd w:id="46"/>
      <w:r w:rsidRPr="006159A0">
        <w:rPr>
          <w:rStyle w:val="CommentReference"/>
          <w:rFonts w:asciiTheme="majorHAnsi" w:hAnsiTheme="majorHAnsi" w:cstheme="majorHAnsi"/>
          <w:b/>
          <w:bCs/>
          <w:sz w:val="24"/>
          <w:szCs w:val="28"/>
        </w:rPr>
        <w:commentReference w:id="46"/>
      </w:r>
      <w:commentRangeEnd w:id="47"/>
      <w:r w:rsidRPr="006159A0">
        <w:rPr>
          <w:rStyle w:val="CommentReference"/>
          <w:rFonts w:asciiTheme="majorHAnsi" w:hAnsiTheme="majorHAnsi" w:cstheme="majorHAnsi"/>
          <w:b/>
          <w:bCs/>
          <w:sz w:val="24"/>
          <w:szCs w:val="28"/>
        </w:rPr>
        <w:commentReference w:id="47"/>
      </w:r>
      <w:commentRangeEnd w:id="48"/>
      <w:r w:rsidRPr="006159A0">
        <w:rPr>
          <w:rStyle w:val="CommentReference"/>
          <w:rFonts w:asciiTheme="majorHAnsi" w:hAnsiTheme="majorHAnsi" w:cstheme="majorHAnsi"/>
          <w:b/>
          <w:bCs/>
          <w:sz w:val="24"/>
          <w:szCs w:val="28"/>
        </w:rPr>
        <w:commentReference w:id="48"/>
      </w:r>
    </w:p>
    <w:p w14:paraId="430CD9F1" w14:textId="32A1407F" w:rsidR="007C5D8A" w:rsidRPr="00D5066E" w:rsidRDefault="007C5D8A" w:rsidP="003803B1">
      <w:pPr>
        <w:spacing w:line="360" w:lineRule="auto"/>
        <w:ind w:firstLine="720"/>
        <w:rPr>
          <w:rFonts w:asciiTheme="majorHAnsi" w:hAnsiTheme="majorHAnsi" w:cstheme="majorHAnsi"/>
        </w:rPr>
      </w:pPr>
      <w:r>
        <w:rPr>
          <w:rFonts w:asciiTheme="majorHAnsi" w:hAnsiTheme="majorHAnsi" w:cstheme="majorHAnsi"/>
        </w:rPr>
        <w:t>We examine four main areas: high school experience; bullying and harassment; concerns about college; and postsecondary educational plans—including intended field of study, enrollment intentions, and degree aspiration.</w:t>
      </w:r>
    </w:p>
    <w:p w14:paraId="2763A334" w14:textId="18DC26A2" w:rsidR="00682C86" w:rsidRPr="006159A0" w:rsidRDefault="00311ECC" w:rsidP="00342026">
      <w:pPr>
        <w:spacing w:line="360" w:lineRule="auto"/>
        <w:ind w:firstLine="720"/>
        <w:rPr>
          <w:rFonts w:asciiTheme="majorHAnsi" w:hAnsiTheme="majorHAnsi" w:cstheme="majorHAnsi"/>
          <w:iCs/>
        </w:rPr>
      </w:pPr>
      <w:r>
        <w:rPr>
          <w:rFonts w:asciiTheme="majorHAnsi" w:hAnsiTheme="majorHAnsi" w:cstheme="majorHAnsi"/>
        </w:rPr>
        <w:t xml:space="preserve">To measure high school experience, we construct an additive index </w:t>
      </w:r>
      <w:r>
        <w:rPr>
          <w:rFonts w:asciiTheme="majorHAnsi" w:hAnsiTheme="majorHAnsi" w:cstheme="majorHAnsi"/>
          <w:iCs/>
        </w:rPr>
        <w:t xml:space="preserve">(equally weighted) </w:t>
      </w:r>
      <w:r>
        <w:rPr>
          <w:rFonts w:asciiTheme="majorHAnsi" w:hAnsiTheme="majorHAnsi" w:cstheme="majorHAnsi"/>
        </w:rPr>
        <w:t>from six survey items: students’ ratings of their high school academic performance, social experience, sense of belonging in their school community, whether teachers and staff cared about their future, the quality of college advising, and feelings of preparedness for college.</w:t>
      </w:r>
      <w:r>
        <w:rPr>
          <w:rStyle w:val="FootnoteReference"/>
          <w:rFonts w:asciiTheme="majorHAnsi" w:hAnsiTheme="majorHAnsi" w:cstheme="majorHAnsi"/>
        </w:rPr>
        <w:footnoteReference w:id="5"/>
      </w:r>
      <w:r>
        <w:rPr>
          <w:rFonts w:asciiTheme="majorHAnsi" w:hAnsiTheme="majorHAnsi" w:cstheme="majorHAnsi"/>
        </w:rPr>
        <w:t xml:space="preserve"> </w:t>
      </w:r>
      <w:r>
        <w:rPr>
          <w:rFonts w:asciiTheme="majorHAnsi" w:hAnsiTheme="majorHAnsi" w:cstheme="majorHAnsi"/>
          <w:iCs/>
        </w:rPr>
        <w:t>All items range from -2 to 2, with -2 indicating a very negative experience, 2 indicating a very positive experience, and 0 indicating a neutral experience. We construct the additive index using these items given their internal consistency (Cronbach’s alpha = 0.74). The index for high school experiences ranges from -12 to 12, with higher values indicating more positive high school experiences. To explore differences in high school experience by gender and sexual orientation, we regress the high school experience index on gender identity/sexual orientation, first in an unconditional model and then adding controls for race/ethnicity and parental education.</w:t>
      </w:r>
      <w:r>
        <w:rPr>
          <w:rStyle w:val="FootnoteReference"/>
          <w:rFonts w:asciiTheme="majorHAnsi" w:hAnsiTheme="majorHAnsi" w:cstheme="majorHAnsi"/>
          <w:iCs/>
        </w:rPr>
        <w:footnoteReference w:id="6"/>
      </w:r>
    </w:p>
    <w:p w14:paraId="4EC7B020" w14:textId="6265CFE8" w:rsidR="003B34CD" w:rsidRPr="006159A0" w:rsidRDefault="003B34CD" w:rsidP="003B34CD">
      <w:pPr>
        <w:spacing w:line="360" w:lineRule="auto"/>
        <w:ind w:firstLine="720"/>
        <w:rPr>
          <w:rFonts w:asciiTheme="majorHAnsi" w:hAnsiTheme="majorHAnsi" w:cstheme="majorHAnsi"/>
        </w:rPr>
      </w:pPr>
      <w:r>
        <w:rPr>
          <w:rFonts w:asciiTheme="majorHAnsi" w:hAnsiTheme="majorHAnsi" w:cstheme="majorHAnsi"/>
        </w:rPr>
        <w:t xml:space="preserve">We also descriptively examine rates of experiencing bullying and harassment in high school, disaggregated by gender identity and sexual orientation. For students who reported </w:t>
      </w:r>
      <w:r>
        <w:rPr>
          <w:rFonts w:asciiTheme="majorHAnsi" w:hAnsiTheme="majorHAnsi" w:cstheme="majorHAnsi"/>
        </w:rPr>
        <w:lastRenderedPageBreak/>
        <w:t>being bullied at least once, we further examine whether they attributed the bullying to their gender identity or sexual orientation.</w:t>
      </w:r>
    </w:p>
    <w:p w14:paraId="65CA4FF3" w14:textId="3A993258" w:rsidR="00A671BA" w:rsidRPr="006159A0" w:rsidRDefault="00E72B2A" w:rsidP="003803B1">
      <w:pPr>
        <w:spacing w:line="360" w:lineRule="auto"/>
        <w:ind w:firstLine="720"/>
        <w:rPr>
          <w:rFonts w:asciiTheme="majorHAnsi" w:hAnsiTheme="majorHAnsi" w:cstheme="majorHAnsi"/>
        </w:rPr>
      </w:pPr>
      <w:r>
        <w:rPr>
          <w:rFonts w:asciiTheme="majorHAnsi" w:hAnsiTheme="majorHAnsi" w:cstheme="majorHAnsi"/>
        </w:rPr>
        <w:t>To examine college concerns, we analyze the battery of 12 survey items in which students were asked to rate how worried they were about their upcoming college experience on a four-point Likert scale (0 = "Not at all worried", 1 = “Slightly worried”, 2 = “Somewhat worried”, and 3 = "Very worried"). Eight items captured general concerns: affording tuition, living expenses, performing well academically, balancing work obligations, balancing family obligations, finding community, living away from home, and having adequate support for emotional and mental health needs. Four items captured concerns about discrimination: discrimination based on race, gender identity, sexual orientation, and religion (see Appendix C and D for disaggregation of each item by gender identity and sexual orientation, respectively).</w:t>
      </w:r>
    </w:p>
    <w:p w14:paraId="71772609" w14:textId="1FCA023F" w:rsidR="00103CDD" w:rsidRPr="006159A0" w:rsidRDefault="00A62CE9" w:rsidP="004D5A62">
      <w:pPr>
        <w:spacing w:line="360" w:lineRule="auto"/>
        <w:ind w:firstLine="720"/>
        <w:rPr>
          <w:rFonts w:asciiTheme="majorHAnsi" w:hAnsiTheme="majorHAnsi" w:cstheme="majorHAnsi"/>
        </w:rPr>
      </w:pPr>
      <w:r>
        <w:rPr>
          <w:rFonts w:asciiTheme="majorHAnsi" w:hAnsiTheme="majorHAnsi" w:cstheme="majorHAnsi"/>
        </w:rPr>
        <w:t>We assessed the internal consistency of the 12 items using Cronbach’s alpha (0.80) and then performed principal component analysis (PCA</w:t>
      </w:r>
      <w:commentRangeStart w:id="50"/>
      <w:r>
        <w:rPr>
          <w:rFonts w:asciiTheme="majorHAnsi" w:hAnsiTheme="majorHAnsi" w:cstheme="majorHAnsi"/>
        </w:rPr>
        <w:t>)</w:t>
      </w:r>
      <w:r>
        <w:rPr>
          <w:rFonts w:asciiTheme="majorHAnsi" w:hAnsiTheme="majorHAnsi" w:cstheme="majorHAnsi"/>
          <w:vertAlign w:val="superscript"/>
        </w:rPr>
        <w:footnoteReference w:id="7"/>
      </w:r>
      <w:commentRangeEnd w:id="50"/>
      <w:r>
        <w:rPr>
          <w:rStyle w:val="CommentReference"/>
          <w:rFonts w:asciiTheme="majorHAnsi" w:hAnsiTheme="majorHAnsi" w:cstheme="majorHAnsi"/>
          <w:sz w:val="24"/>
          <w:szCs w:val="24"/>
        </w:rPr>
        <w:commentReference w:id="50"/>
      </w:r>
      <w:r>
        <w:rPr>
          <w:rFonts w:asciiTheme="majorHAnsi" w:hAnsiTheme="majorHAnsi" w:cstheme="majorHAnsi"/>
        </w:rPr>
        <w:t xml:space="preserve"> to identify underlying dimensions of college worry. We retained components with eigenvalues greater than 1.0, which identified three principal components. We then constructed a composite worry index for each retained component for every student as a weighted sum of the student’s responses to the 12 worry items, with weights given by the eigenvector of the corresponding component. The first component, which we label as </w:t>
      </w:r>
      <w:r>
        <w:rPr>
          <w:rFonts w:asciiTheme="majorHAnsi" w:hAnsiTheme="majorHAnsi" w:cstheme="majorHAnsi"/>
          <w:i/>
          <w:iCs/>
        </w:rPr>
        <w:t>general worries</w:t>
      </w:r>
      <w:r>
        <w:rPr>
          <w:rFonts w:asciiTheme="majorHAnsi" w:hAnsiTheme="majorHAnsi" w:cstheme="majorHAnsi"/>
        </w:rPr>
        <w:t xml:space="preserve">, loads broadly across most items and captures overall anxiety about the college transition. The second component, </w:t>
      </w:r>
      <w:r>
        <w:rPr>
          <w:rFonts w:asciiTheme="majorHAnsi" w:hAnsiTheme="majorHAnsi" w:cstheme="majorHAnsi"/>
          <w:i/>
          <w:iCs/>
        </w:rPr>
        <w:t>worries about discrimination</w:t>
      </w:r>
      <w:r>
        <w:rPr>
          <w:rFonts w:asciiTheme="majorHAnsi" w:hAnsiTheme="majorHAnsi" w:cstheme="majorHAnsi"/>
        </w:rPr>
        <w:t xml:space="preserve">, loads most heavily on the four discrimination items. The third component, </w:t>
      </w:r>
      <w:r>
        <w:rPr>
          <w:rFonts w:asciiTheme="majorHAnsi" w:hAnsiTheme="majorHAnsi" w:cstheme="majorHAnsi"/>
          <w:i/>
          <w:iCs/>
        </w:rPr>
        <w:t>worries about financial burdens</w:t>
      </w:r>
      <w:r>
        <w:rPr>
          <w:rFonts w:asciiTheme="majorHAnsi" w:hAnsiTheme="majorHAnsi" w:cstheme="majorHAnsi"/>
        </w:rPr>
        <w:t xml:space="preserve">, loads primarily on the tuition and living expense items. Each index is a continuous measure, with higher values indicating greater concern along that dimension. </w:t>
      </w:r>
    </w:p>
    <w:p w14:paraId="7439AE19" w14:textId="55DA9C7B" w:rsidR="00BD041A" w:rsidRPr="006159A0" w:rsidRDefault="00602BF5" w:rsidP="004D5A62">
      <w:pPr>
        <w:spacing w:line="360" w:lineRule="auto"/>
        <w:ind w:firstLine="720"/>
        <w:rPr>
          <w:rFonts w:asciiTheme="majorHAnsi" w:hAnsiTheme="majorHAnsi" w:cstheme="majorHAnsi"/>
        </w:rPr>
      </w:pPr>
      <w:r>
        <w:rPr>
          <w:rFonts w:asciiTheme="majorHAnsi" w:hAnsiTheme="majorHAnsi" w:cstheme="majorHAnsi"/>
        </w:rPr>
        <w:t xml:space="preserve">We then use regression analysis to explore potential differences in the level of each type of worry by gender identity and sexual orientation. </w:t>
      </w:r>
      <w:commentRangeStart w:id="51"/>
      <w:r>
        <w:rPr>
          <w:rFonts w:asciiTheme="majorHAnsi" w:hAnsiTheme="majorHAnsi" w:cstheme="majorHAnsi"/>
        </w:rPr>
        <w:t xml:space="preserve">We estimate three different specifications in our analysis: (1) an unconditional model with gender identity/sexual orientation alone; (2) a </w:t>
      </w:r>
      <w:r>
        <w:rPr>
          <w:rFonts w:asciiTheme="majorHAnsi" w:hAnsiTheme="majorHAnsi" w:cstheme="majorHAnsi"/>
        </w:rPr>
        <w:lastRenderedPageBreak/>
        <w:t xml:space="preserve">model controlling for student demographics (i.e., the full set of race/ethnicity and highest parental education </w:t>
      </w:r>
      <w:commentRangeStart w:id="52"/>
      <w:r>
        <w:rPr>
          <w:rFonts w:asciiTheme="majorHAnsi" w:hAnsiTheme="majorHAnsi" w:cstheme="majorHAnsi"/>
        </w:rPr>
        <w:t>indicators</w:t>
      </w:r>
      <w:commentRangeEnd w:id="52"/>
      <w:r>
        <w:rPr>
          <w:rStyle w:val="CommentReference"/>
          <w:rFonts w:asciiTheme="majorHAnsi" w:hAnsiTheme="majorHAnsi" w:cstheme="majorHAnsi"/>
          <w:sz w:val="24"/>
          <w:szCs w:val="24"/>
        </w:rPr>
        <w:commentReference w:id="52"/>
      </w:r>
      <w:r>
        <w:rPr>
          <w:rFonts w:asciiTheme="majorHAnsi" w:hAnsiTheme="majorHAnsi" w:cstheme="majorHAnsi"/>
        </w:rPr>
        <w:t xml:space="preserve">); and (3) a model that controls for student demographics and high school experience index. Coefficient estimates from models (2) and (3) are very similar, therefore we report only models (1) and (3). For robustness, we also additionally estimate a model that controls for demographics, high school experience index, and sex assigned at birth for differences by sexual orientation. Results for this additional model are reported in Appendix G.  </w:t>
      </w:r>
      <w:commentRangeEnd w:id="51"/>
      <w:r w:rsidRPr="006159A0">
        <w:rPr>
          <w:rStyle w:val="CommentReference"/>
          <w:rFonts w:asciiTheme="majorHAnsi" w:hAnsiTheme="majorHAnsi" w:cstheme="majorHAnsi"/>
          <w:sz w:val="24"/>
          <w:szCs w:val="24"/>
        </w:rPr>
        <w:commentReference w:id="51"/>
      </w:r>
    </w:p>
    <w:p w14:paraId="0AFF2787" w14:textId="77777777" w:rsidR="00D05A55" w:rsidRDefault="00BE6A6B" w:rsidP="00953074">
      <w:pPr>
        <w:spacing w:line="360" w:lineRule="auto"/>
        <w:ind w:firstLine="720"/>
        <w:rPr>
          <w:rFonts w:asciiTheme="majorHAnsi" w:hAnsiTheme="majorHAnsi" w:cstheme="majorHAnsi"/>
        </w:rPr>
      </w:pPr>
      <w:r>
        <w:rPr>
          <w:rFonts w:asciiTheme="majorHAnsi" w:hAnsiTheme="majorHAnsi" w:cstheme="majorHAnsi"/>
        </w:rPr>
        <w:t>We examine postsecondary educational plans along three dimensions. First, we tabulate intended field of study by gender identity (Table 5). Second, we estimate logit models for intent to attend a four-year (versus two-year) college. Third, we estimate ordered logit models for highest degree aspirations, where the outcome is an ordinal measure with five categories: vocational/technical certificate, associate degree, bachelor’s degree, master’s degree, and doctoral degree. The logit and ordered logit models are estimated separately by gender identity and sexual orientation. In each case, we estimate an unconditional model and a model with controls for race/ethnicity and parent education. For sexual orientation models, we additionally estimate a specification that controls for assigned sex at birth. Cisgender men and straight/heterosexual students serve as the reference categories. We report odds ratios with 95% confidence intervals and present predicted probabilities from the ordered logit models as a stacked bar chart, evaluated at sample means.</w:t>
      </w:r>
    </w:p>
    <w:p w14:paraId="7439AE1C" w14:textId="347BC346" w:rsidR="00BD041A" w:rsidRPr="006159A0" w:rsidRDefault="00BE6A6B" w:rsidP="00953074">
      <w:pPr>
        <w:spacing w:line="360" w:lineRule="auto"/>
        <w:ind w:firstLine="720"/>
        <w:rPr>
          <w:rFonts w:asciiTheme="majorHAnsi" w:hAnsiTheme="majorHAnsi" w:cstheme="majorHAnsi"/>
        </w:rPr>
      </w:pPr>
      <w:r>
        <w:rPr>
          <w:rFonts w:asciiTheme="majorHAnsi" w:hAnsiTheme="majorHAnsi" w:cstheme="majorHAnsi"/>
        </w:rPr>
        <w:t xml:space="preserve"> </w:t>
      </w:r>
      <w:bookmarkStart w:id="53" w:name="_q9mjyjyr4vts" w:colFirst="0" w:colLast="0"/>
      <w:bookmarkEnd w:id="53"/>
    </w:p>
    <w:p w14:paraId="6453B361" w14:textId="77777777" w:rsidR="00784751" w:rsidRPr="006159A0" w:rsidRDefault="00602BF5" w:rsidP="00784751">
      <w:pPr>
        <w:pStyle w:val="Heading1"/>
        <w:spacing w:before="0" w:after="0" w:line="360" w:lineRule="auto"/>
        <w:rPr>
          <w:rFonts w:asciiTheme="majorHAnsi" w:hAnsiTheme="majorHAnsi" w:cstheme="majorHAnsi"/>
          <w:b/>
          <w:bCs/>
          <w:sz w:val="24"/>
          <w:szCs w:val="24"/>
        </w:rPr>
      </w:pPr>
      <w:bookmarkStart w:id="54" w:name="_pnxq2vtsfjef" w:colFirst="0" w:colLast="0"/>
      <w:bookmarkEnd w:id="54"/>
      <w:commentRangeStart w:id="55"/>
      <w:r>
        <w:rPr>
          <w:rFonts w:asciiTheme="majorHAnsi" w:hAnsiTheme="majorHAnsi" w:cstheme="majorHAnsi"/>
          <w:b/>
          <w:bCs/>
          <w:sz w:val="24"/>
          <w:szCs w:val="24"/>
        </w:rPr>
        <w:t>Findings</w:t>
      </w:r>
      <w:bookmarkStart w:id="56" w:name="_ot3pv1sdux7u" w:colFirst="0" w:colLast="0"/>
      <w:bookmarkEnd w:id="56"/>
      <w:commentRangeEnd w:id="55"/>
      <w:r w:rsidRPr="006159A0">
        <w:rPr>
          <w:rStyle w:val="CommentReference"/>
          <w:rFonts w:asciiTheme="majorHAnsi" w:hAnsiTheme="majorHAnsi" w:cstheme="majorHAnsi"/>
          <w:b/>
          <w:bCs/>
          <w:sz w:val="24"/>
          <w:szCs w:val="24"/>
        </w:rPr>
        <w:commentReference w:id="55"/>
      </w:r>
    </w:p>
    <w:p w14:paraId="5DC6305C" w14:textId="425397D0" w:rsidR="003202AF" w:rsidRPr="00B621E1" w:rsidRDefault="00602BF5" w:rsidP="001B2966">
      <w:pPr>
        <w:spacing w:line="360" w:lineRule="auto"/>
        <w:rPr>
          <w:rFonts w:asciiTheme="majorHAnsi" w:hAnsiTheme="majorHAnsi" w:cstheme="majorHAnsi"/>
        </w:rPr>
      </w:pPr>
      <w:bookmarkStart w:id="57" w:name="_q8blxzy9nm45" w:colFirst="0" w:colLast="0"/>
      <w:bookmarkEnd w:id="57"/>
      <w:r>
        <w:rPr>
          <w:rFonts w:asciiTheme="majorHAnsi" w:hAnsiTheme="majorHAnsi" w:cstheme="majorHAnsi"/>
          <w:b/>
          <w:bCs/>
        </w:rPr>
        <w:t xml:space="preserve">High School Experiences </w:t>
      </w:r>
    </w:p>
    <w:p w14:paraId="7439B006" w14:textId="2DD394A4"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Using the high school experience index described in the Data Analysis section, we first compare average high school experiences by gender identity and sexual orientation. For summary statistics of survey items over the entire sample, see Appendix B. For summary statistics of survey items disaggregated by gender identity and sexual orientation, see Appendix C.</w:t>
      </w:r>
    </w:p>
    <w:p w14:paraId="3474721A" w14:textId="483C2795" w:rsidR="003F106B" w:rsidRPr="00B621E1" w:rsidRDefault="003D5B76" w:rsidP="00D5066E">
      <w:pPr>
        <w:spacing w:line="360" w:lineRule="auto"/>
        <w:ind w:firstLine="720"/>
        <w:rPr>
          <w:rFonts w:asciiTheme="majorHAnsi" w:hAnsiTheme="majorHAnsi" w:cstheme="majorHAnsi"/>
          <w:b/>
          <w:bCs/>
        </w:rPr>
      </w:pPr>
      <w:r>
        <w:rPr>
          <w:rFonts w:asciiTheme="majorHAnsi" w:hAnsiTheme="majorHAnsi" w:cstheme="majorHAnsi"/>
        </w:rPr>
        <w:t xml:space="preserve">We first compare average high school experiences by gender identity (Table 2). Cisgender men report the most positive high school experiences (mean = 4.27), followed by </w:t>
      </w:r>
      <w:r>
        <w:rPr>
          <w:rFonts w:asciiTheme="majorHAnsi" w:hAnsiTheme="majorHAnsi" w:cstheme="majorHAnsi"/>
        </w:rPr>
        <w:lastRenderedPageBreak/>
        <w:t>cisgender women (mean = 3.79). Trans and gender expansive students report substantially less positive experiences, with gender diverse/questioning students reporting the lowest scores (mean = 1.11). We plot these differences as regression coefficients in Figure 1 and find them statistically significant and robust to the inclusion of demographic controls. While not causal, these results indicate that there is an association between gender identity and students’ experiences in high school, which we consider in later analyses.</w:t>
      </w:r>
    </w:p>
    <w:p w14:paraId="7DCBA1C7" w14:textId="152480F8"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b/>
          <w:bCs/>
        </w:rPr>
        <w:t>Table 2</w:t>
      </w:r>
    </w:p>
    <w:p w14:paraId="080A4502" w14:textId="3ABF7D5F" w:rsidR="003F106B" w:rsidRPr="00B621E1" w:rsidRDefault="004B7BF1" w:rsidP="003F106B">
      <w:pPr>
        <w:spacing w:line="360" w:lineRule="auto"/>
        <w:rPr>
          <w:rFonts w:asciiTheme="majorHAnsi" w:hAnsiTheme="majorHAnsi" w:cstheme="majorHAnsi"/>
          <w:i/>
          <w:iCs/>
        </w:rPr>
      </w:pPr>
      <w:r>
        <w:rPr>
          <w:rFonts w:asciiTheme="majorHAnsi" w:hAnsiTheme="majorHAnsi" w:cstheme="majorHAnsi"/>
          <w:i/>
          <w:iCs/>
        </w:rPr>
        <w:t>Summary Statistics of High School Experience Index by Gender Identity</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5171D6ED"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0D061EF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3EDFB1C4"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26B38E9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2C02EC86"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174F12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man</w:t>
            </w:r>
          </w:p>
        </w:tc>
        <w:tc>
          <w:tcPr>
            <w:tcW w:w="963" w:type="pct"/>
            <w:tcBorders>
              <w:top w:val="single" w:sz="4" w:space="0" w:color="000000"/>
            </w:tcBorders>
            <w:tcMar>
              <w:top w:w="20" w:type="dxa"/>
              <w:left w:w="20" w:type="dxa"/>
              <w:bottom w:w="20" w:type="dxa"/>
              <w:right w:w="20" w:type="dxa"/>
            </w:tcMar>
            <w:vAlign w:val="center"/>
          </w:tcPr>
          <w:p w14:paraId="4F7428E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2,659</w:t>
            </w:r>
          </w:p>
        </w:tc>
        <w:tc>
          <w:tcPr>
            <w:tcW w:w="2311" w:type="pct"/>
            <w:tcBorders>
              <w:top w:val="single" w:sz="4" w:space="0" w:color="000000"/>
            </w:tcBorders>
            <w:tcMar>
              <w:top w:w="0" w:type="dxa"/>
              <w:left w:w="100" w:type="dxa"/>
              <w:bottom w:w="0" w:type="dxa"/>
              <w:right w:w="100" w:type="dxa"/>
            </w:tcMar>
            <w:vAlign w:val="center"/>
          </w:tcPr>
          <w:p w14:paraId="365312B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4.3</w:t>
            </w:r>
          </w:p>
        </w:tc>
      </w:tr>
      <w:tr w:rsidR="003F106B" w:rsidRPr="00B621E1" w14:paraId="60F75E3E" w14:textId="77777777" w:rsidTr="00806A88">
        <w:trPr>
          <w:trHeight w:val="270"/>
        </w:trPr>
        <w:tc>
          <w:tcPr>
            <w:tcW w:w="1726" w:type="pct"/>
            <w:tcMar>
              <w:top w:w="0" w:type="dxa"/>
              <w:left w:w="100" w:type="dxa"/>
              <w:bottom w:w="0" w:type="dxa"/>
              <w:right w:w="100" w:type="dxa"/>
            </w:tcMar>
            <w:vAlign w:val="center"/>
          </w:tcPr>
          <w:p w14:paraId="0738A0EF"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woman</w:t>
            </w:r>
          </w:p>
        </w:tc>
        <w:tc>
          <w:tcPr>
            <w:tcW w:w="963" w:type="pct"/>
            <w:tcMar>
              <w:top w:w="20" w:type="dxa"/>
              <w:left w:w="20" w:type="dxa"/>
              <w:bottom w:w="20" w:type="dxa"/>
              <w:right w:w="20" w:type="dxa"/>
            </w:tcMar>
            <w:vAlign w:val="center"/>
          </w:tcPr>
          <w:p w14:paraId="2282928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4,269</w:t>
            </w:r>
          </w:p>
        </w:tc>
        <w:tc>
          <w:tcPr>
            <w:tcW w:w="2311" w:type="pct"/>
            <w:tcMar>
              <w:top w:w="0" w:type="dxa"/>
              <w:left w:w="100" w:type="dxa"/>
              <w:bottom w:w="0" w:type="dxa"/>
              <w:right w:w="100" w:type="dxa"/>
            </w:tcMar>
            <w:vAlign w:val="center"/>
          </w:tcPr>
          <w:p w14:paraId="063CAE4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r w:rsidR="003F106B" w:rsidRPr="00B621E1" w14:paraId="75DEBF28" w14:textId="77777777" w:rsidTr="00806A88">
        <w:trPr>
          <w:trHeight w:val="270"/>
        </w:trPr>
        <w:tc>
          <w:tcPr>
            <w:tcW w:w="1726" w:type="pct"/>
            <w:tcMar>
              <w:top w:w="0" w:type="dxa"/>
              <w:left w:w="100" w:type="dxa"/>
              <w:bottom w:w="0" w:type="dxa"/>
              <w:right w:w="100" w:type="dxa"/>
            </w:tcMar>
            <w:vAlign w:val="center"/>
          </w:tcPr>
          <w:p w14:paraId="0CE759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man</w:t>
            </w:r>
          </w:p>
        </w:tc>
        <w:tc>
          <w:tcPr>
            <w:tcW w:w="963" w:type="pct"/>
            <w:tcMar>
              <w:top w:w="20" w:type="dxa"/>
              <w:left w:w="20" w:type="dxa"/>
              <w:bottom w:w="20" w:type="dxa"/>
              <w:right w:w="20" w:type="dxa"/>
            </w:tcMar>
            <w:vAlign w:val="center"/>
          </w:tcPr>
          <w:p w14:paraId="22500A1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59</w:t>
            </w:r>
          </w:p>
        </w:tc>
        <w:tc>
          <w:tcPr>
            <w:tcW w:w="2311" w:type="pct"/>
            <w:tcMar>
              <w:top w:w="0" w:type="dxa"/>
              <w:left w:w="100" w:type="dxa"/>
              <w:bottom w:w="0" w:type="dxa"/>
              <w:right w:w="100" w:type="dxa"/>
            </w:tcMar>
            <w:vAlign w:val="center"/>
          </w:tcPr>
          <w:p w14:paraId="73A0AB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2.4</w:t>
            </w:r>
          </w:p>
        </w:tc>
      </w:tr>
      <w:tr w:rsidR="003F106B" w:rsidRPr="00B621E1" w14:paraId="42A5A8B9" w14:textId="77777777" w:rsidTr="00806A88">
        <w:trPr>
          <w:trHeight w:val="270"/>
        </w:trPr>
        <w:tc>
          <w:tcPr>
            <w:tcW w:w="1726" w:type="pct"/>
            <w:tcMar>
              <w:top w:w="0" w:type="dxa"/>
              <w:left w:w="100" w:type="dxa"/>
              <w:bottom w:w="0" w:type="dxa"/>
              <w:right w:w="100" w:type="dxa"/>
            </w:tcMar>
            <w:vAlign w:val="center"/>
          </w:tcPr>
          <w:p w14:paraId="7D5853F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woman</w:t>
            </w:r>
          </w:p>
        </w:tc>
        <w:tc>
          <w:tcPr>
            <w:tcW w:w="963" w:type="pct"/>
            <w:tcMar>
              <w:top w:w="20" w:type="dxa"/>
              <w:left w:w="20" w:type="dxa"/>
              <w:bottom w:w="20" w:type="dxa"/>
              <w:right w:w="20" w:type="dxa"/>
            </w:tcMar>
            <w:vAlign w:val="center"/>
          </w:tcPr>
          <w:p w14:paraId="409952D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20</w:t>
            </w:r>
          </w:p>
        </w:tc>
        <w:tc>
          <w:tcPr>
            <w:tcW w:w="2311" w:type="pct"/>
            <w:tcMar>
              <w:top w:w="0" w:type="dxa"/>
              <w:left w:w="100" w:type="dxa"/>
              <w:bottom w:w="0" w:type="dxa"/>
              <w:right w:w="100" w:type="dxa"/>
            </w:tcMar>
            <w:vAlign w:val="center"/>
          </w:tcPr>
          <w:p w14:paraId="550BD98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w:t>
            </w:r>
          </w:p>
        </w:tc>
      </w:tr>
      <w:tr w:rsidR="003F106B" w:rsidRPr="00B621E1" w14:paraId="328FEF1D" w14:textId="77777777" w:rsidTr="00806A88">
        <w:trPr>
          <w:trHeight w:val="270"/>
        </w:trPr>
        <w:tc>
          <w:tcPr>
            <w:tcW w:w="1726" w:type="pct"/>
            <w:tcMar>
              <w:top w:w="0" w:type="dxa"/>
              <w:left w:w="100" w:type="dxa"/>
              <w:bottom w:w="0" w:type="dxa"/>
              <w:right w:w="100" w:type="dxa"/>
            </w:tcMar>
            <w:vAlign w:val="center"/>
          </w:tcPr>
          <w:p w14:paraId="6846AB6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Nonbinary</w:t>
            </w:r>
          </w:p>
        </w:tc>
        <w:tc>
          <w:tcPr>
            <w:tcW w:w="963" w:type="pct"/>
            <w:tcMar>
              <w:top w:w="20" w:type="dxa"/>
              <w:left w:w="20" w:type="dxa"/>
              <w:bottom w:w="20" w:type="dxa"/>
              <w:right w:w="20" w:type="dxa"/>
            </w:tcMar>
            <w:vAlign w:val="center"/>
          </w:tcPr>
          <w:p w14:paraId="7A2990D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267</w:t>
            </w:r>
          </w:p>
        </w:tc>
        <w:tc>
          <w:tcPr>
            <w:tcW w:w="2311" w:type="pct"/>
            <w:tcMar>
              <w:top w:w="0" w:type="dxa"/>
              <w:left w:w="100" w:type="dxa"/>
              <w:bottom w:w="0" w:type="dxa"/>
              <w:right w:w="100" w:type="dxa"/>
            </w:tcMar>
            <w:vAlign w:val="center"/>
          </w:tcPr>
          <w:p w14:paraId="27A651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2.3</w:t>
            </w:r>
          </w:p>
        </w:tc>
      </w:tr>
      <w:tr w:rsidR="003F106B" w:rsidRPr="00B621E1" w14:paraId="158DB200" w14:textId="77777777" w:rsidTr="00806A88">
        <w:trPr>
          <w:trHeight w:val="270"/>
        </w:trPr>
        <w:tc>
          <w:tcPr>
            <w:tcW w:w="1726" w:type="pct"/>
            <w:tcMar>
              <w:top w:w="0" w:type="dxa"/>
              <w:left w:w="100" w:type="dxa"/>
              <w:bottom w:w="0" w:type="dxa"/>
              <w:right w:w="100" w:type="dxa"/>
            </w:tcMar>
            <w:vAlign w:val="center"/>
          </w:tcPr>
          <w:p w14:paraId="56D4FDC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Gender diverse/questioning</w:t>
            </w:r>
          </w:p>
        </w:tc>
        <w:tc>
          <w:tcPr>
            <w:tcW w:w="963" w:type="pct"/>
            <w:tcMar>
              <w:top w:w="20" w:type="dxa"/>
              <w:left w:w="20" w:type="dxa"/>
              <w:bottom w:w="20" w:type="dxa"/>
              <w:right w:w="20" w:type="dxa"/>
            </w:tcMar>
            <w:vAlign w:val="center"/>
          </w:tcPr>
          <w:p w14:paraId="4419B29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71</w:t>
            </w:r>
          </w:p>
        </w:tc>
        <w:tc>
          <w:tcPr>
            <w:tcW w:w="2311" w:type="pct"/>
            <w:tcMar>
              <w:top w:w="0" w:type="dxa"/>
              <w:left w:w="100" w:type="dxa"/>
              <w:bottom w:w="0" w:type="dxa"/>
              <w:right w:w="100" w:type="dxa"/>
            </w:tcMar>
            <w:vAlign w:val="center"/>
          </w:tcPr>
          <w:p w14:paraId="28E5DE4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1.1</w:t>
            </w:r>
          </w:p>
        </w:tc>
      </w:tr>
      <w:tr w:rsidR="003F106B" w:rsidRPr="00B621E1" w14:paraId="28E5E4EB"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7F259C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Prefer not to say</w:t>
            </w:r>
          </w:p>
        </w:tc>
        <w:tc>
          <w:tcPr>
            <w:tcW w:w="963" w:type="pct"/>
            <w:tcBorders>
              <w:bottom w:val="single" w:sz="6" w:space="0" w:color="000000"/>
            </w:tcBorders>
            <w:tcMar>
              <w:top w:w="20" w:type="dxa"/>
              <w:left w:w="20" w:type="dxa"/>
              <w:bottom w:w="20" w:type="dxa"/>
              <w:right w:w="20" w:type="dxa"/>
            </w:tcMar>
            <w:vAlign w:val="center"/>
          </w:tcPr>
          <w:p w14:paraId="276C0955"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138</w:t>
            </w:r>
          </w:p>
        </w:tc>
        <w:tc>
          <w:tcPr>
            <w:tcW w:w="2311" w:type="pct"/>
            <w:tcBorders>
              <w:bottom w:val="single" w:sz="6" w:space="0" w:color="000000"/>
            </w:tcBorders>
            <w:tcMar>
              <w:top w:w="0" w:type="dxa"/>
              <w:left w:w="100" w:type="dxa"/>
              <w:bottom w:w="0" w:type="dxa"/>
              <w:right w:w="100" w:type="dxa"/>
            </w:tcMar>
            <w:vAlign w:val="center"/>
          </w:tcPr>
          <w:p w14:paraId="76AEBF18"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2.2</w:t>
            </w:r>
          </w:p>
        </w:tc>
      </w:tr>
      <w:tr w:rsidR="003F106B" w:rsidRPr="00B621E1" w14:paraId="2D10A817" w14:textId="77777777" w:rsidTr="00806A88">
        <w:trPr>
          <w:trHeight w:val="285"/>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168BE61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Total</w:t>
            </w:r>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100798B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7,483</w:t>
            </w:r>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0E7B58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bl>
    <w:p w14:paraId="5EB1F2DF" w14:textId="41B455F4" w:rsidR="003F106B" w:rsidRPr="00D5066E" w:rsidRDefault="003F106B" w:rsidP="00D5066E">
      <w:pPr>
        <w:spacing w:after="160"/>
        <w:rPr>
          <w:rFonts w:asciiTheme="majorHAnsi" w:hAnsiTheme="majorHAnsi" w:cstheme="majorHAnsi"/>
          <w:b/>
          <w:bCs/>
        </w:rPr>
      </w:pPr>
      <w:r>
        <w:rPr>
          <w:rFonts w:asciiTheme="majorHAnsi" w:hAnsiTheme="majorHAnsi" w:cstheme="majorHAnsi"/>
          <w:i/>
          <w:iCs/>
          <w:sz w:val="20"/>
          <w:szCs w:val="20"/>
        </w:rPr>
        <w:t>Note.</w:t>
      </w:r>
      <w:commentRangeStart w:id="58"/>
      <w:r>
        <w:rPr>
          <w:rFonts w:asciiTheme="majorHAnsi" w:hAnsiTheme="majorHAnsi" w:cstheme="majorHAnsi"/>
          <w:i/>
          <w:iCs/>
          <w:sz w:val="20"/>
          <w:szCs w:val="20"/>
        </w:rPr>
        <w:t xml:space="preserv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8"/>
      <w:r w:rsidRPr="00D5066E">
        <w:rPr>
          <w:rStyle w:val="CommentReference"/>
          <w:rFonts w:asciiTheme="majorHAnsi" w:hAnsiTheme="majorHAnsi" w:cstheme="majorHAnsi"/>
          <w:b/>
          <w:bCs/>
          <w:sz w:val="24"/>
          <w:szCs w:val="24"/>
        </w:rPr>
        <w:commentReference w:id="58"/>
      </w:r>
    </w:p>
    <w:p w14:paraId="6BBF4C5F" w14:textId="77777777" w:rsidR="003F106B" w:rsidRPr="00B621E1" w:rsidRDefault="003F106B" w:rsidP="003F106B">
      <w:pPr>
        <w:spacing w:line="360" w:lineRule="auto"/>
        <w:rPr>
          <w:rFonts w:asciiTheme="majorHAnsi" w:hAnsiTheme="majorHAnsi" w:cstheme="majorHAnsi"/>
          <w:b/>
          <w:bCs/>
        </w:rPr>
      </w:pPr>
    </w:p>
    <w:p w14:paraId="24FEB878" w14:textId="77777777" w:rsidR="00906CF7" w:rsidRDefault="00906CF7">
      <w:pPr>
        <w:rPr>
          <w:rFonts w:asciiTheme="majorHAnsi" w:hAnsiTheme="majorHAnsi" w:cstheme="majorHAnsi"/>
          <w:b/>
          <w:bCs/>
        </w:rPr>
      </w:pPr>
      <w:r>
        <w:rPr>
          <w:rFonts w:asciiTheme="majorHAnsi" w:hAnsiTheme="majorHAnsi" w:cstheme="majorHAnsi"/>
          <w:b/>
          <w:bCs/>
        </w:rPr>
        <w:br w:type="page"/>
      </w:r>
    </w:p>
    <w:p w14:paraId="24E1BFEA" w14:textId="670AD0F2"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b/>
          <w:bCs/>
        </w:rPr>
        <w:lastRenderedPageBreak/>
        <w:t>Figure 1</w:t>
      </w:r>
    </w:p>
    <w:p w14:paraId="038C40F7" w14:textId="77777777"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noProof/>
        </w:rPr>
        <w:drawing>
          <wp:anchor distT="114300" distB="114300" distL="114300" distR="114300" simplePos="0" relativeHeight="251660289" behindDoc="0" locked="0" layoutInCell="1" hidden="0" allowOverlap="0" wp14:anchorId="6F0EBC0E" wp14:editId="3D398567">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1836870939" name="image4.png" descr="A graph with numbers and lines  AI-generated content may be incorrect."/>
            <wp:cNvGraphicFramePr/>
            <a:graphic xmlns:a="http://schemas.openxmlformats.org/drawingml/2006/main">
              <a:graphicData uri="http://schemas.openxmlformats.org/drawingml/2006/picture">
                <pic:pic xmlns:pic="http://schemas.openxmlformats.org/drawingml/2006/picture">
                  <pic:nvPicPr>
                    <pic:cNvPr id="1836870939" name="image4.png" descr="A graph with numbers and lines  AI-generated content may be incorrect."/>
                    <pic:cNvPicPr preferRelativeResize="0"/>
                  </pic:nvPicPr>
                  <pic:blipFill>
                    <a:blip r:embed="rId12"/>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i/>
          <w:iCs/>
        </w:rPr>
        <w:t>Regression of High School Experience Index on Gender Identity</w:t>
      </w:r>
    </w:p>
    <w:p w14:paraId="36A4E5C0" w14:textId="77777777" w:rsidR="003F106B" w:rsidRPr="00B621E1" w:rsidRDefault="003F106B" w:rsidP="003F106B">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 percent confidence intervals while the sample frequency and mean index of each gender identity are reported in parentheses. The vertical line at 0 represents the coefficient for the reference group (cisgender man).</w:t>
      </w:r>
    </w:p>
    <w:p w14:paraId="15C11BE5" w14:textId="77777777" w:rsidR="003F106B" w:rsidRPr="00B621E1" w:rsidRDefault="003F106B" w:rsidP="003D5B76">
      <w:pPr>
        <w:spacing w:line="360" w:lineRule="auto"/>
        <w:ind w:firstLine="720"/>
        <w:rPr>
          <w:rFonts w:asciiTheme="majorHAnsi" w:hAnsiTheme="majorHAnsi" w:cstheme="majorHAnsi"/>
        </w:rPr>
      </w:pPr>
    </w:p>
    <w:p w14:paraId="437B8B1E" w14:textId="1C325F20" w:rsidR="003D5B76" w:rsidRPr="00B621E1" w:rsidRDefault="003D5B76" w:rsidP="003F106B">
      <w:pPr>
        <w:spacing w:line="360" w:lineRule="auto"/>
        <w:ind w:firstLine="720"/>
        <w:rPr>
          <w:rFonts w:asciiTheme="majorHAnsi" w:hAnsiTheme="majorHAnsi" w:cstheme="majorHAnsi"/>
        </w:rPr>
      </w:pPr>
      <w:r>
        <w:rPr>
          <w:rFonts w:asciiTheme="majorHAnsi" w:hAnsiTheme="majorHAnsi" w:cstheme="majorHAnsi"/>
        </w:rPr>
        <w:t>We observe a similar pattern by sexual orientation (see Table 3). Relative to straight/heterosexual students (mean = 4.13), all other sexual orientation groups report significantly lower high school experience scores. Students who prefer not to disclose their sexual orientation (mean = 2.91) and bisexual/pansexual/omnisexual students (mean = 3.12) report the largest gaps, while asexual/aromantic/demisexual students (mean = 3.68) and gay or lesbian students (mean = 3.55) report somewhat smaller but still significant differences. These differences are attenuated but remain statistically significant after controlling for race/ethnicity and parental education, as well as assigned sex at birth (results presented in Figure 2). While not causal, these results indicate that there is an association between both gender identity and sexual orientation and students' experiences in high school, which we consider in later analyses.</w:t>
      </w:r>
    </w:p>
    <w:p w14:paraId="60941504" w14:textId="60D87B03" w:rsidR="003F106B" w:rsidRPr="001A3945" w:rsidRDefault="003F106B" w:rsidP="003F106B">
      <w:pPr>
        <w:spacing w:line="360" w:lineRule="auto"/>
        <w:rPr>
          <w:rFonts w:asciiTheme="majorHAnsi" w:hAnsiTheme="majorHAnsi" w:cstheme="majorHAnsi"/>
          <w:b/>
          <w:bCs/>
        </w:rPr>
      </w:pPr>
      <w:r>
        <w:rPr>
          <w:rFonts w:asciiTheme="majorHAnsi" w:hAnsiTheme="majorHAnsi" w:cstheme="majorHAnsi"/>
          <w:b/>
          <w:bCs/>
        </w:rPr>
        <w:lastRenderedPageBreak/>
        <w:t>Table 3</w:t>
      </w:r>
    </w:p>
    <w:p w14:paraId="2BF716EB" w14:textId="77777777" w:rsidR="003F106B" w:rsidRPr="00B621E1" w:rsidRDefault="003F106B" w:rsidP="003F106B">
      <w:pPr>
        <w:spacing w:line="360" w:lineRule="auto"/>
        <w:rPr>
          <w:rFonts w:asciiTheme="majorHAnsi" w:hAnsiTheme="majorHAnsi" w:cstheme="majorHAnsi"/>
          <w:i/>
          <w:iCs/>
        </w:rPr>
      </w:pPr>
      <w:r>
        <w:rPr>
          <w:rFonts w:asciiTheme="majorHAnsi" w:hAnsiTheme="majorHAnsi" w:cstheme="majorHAnsi"/>
          <w:i/>
          <w:iCs/>
        </w:rPr>
        <w:t>General High School Experience by Sexual Orientation</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0D137EEC"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4136EE64"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36454EE" w14:textId="166F208E" w:rsidR="003F106B" w:rsidRPr="00B621E1" w:rsidRDefault="00953074"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6B1B302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0F416217"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3FF8D81C"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Straight/Heterosexual</w:t>
            </w:r>
          </w:p>
        </w:tc>
        <w:tc>
          <w:tcPr>
            <w:tcW w:w="963" w:type="pct"/>
            <w:tcBorders>
              <w:top w:val="single" w:sz="4" w:space="0" w:color="000000"/>
            </w:tcBorders>
            <w:tcMar>
              <w:top w:w="20" w:type="dxa"/>
              <w:left w:w="20" w:type="dxa"/>
              <w:bottom w:w="20" w:type="dxa"/>
              <w:right w:w="20" w:type="dxa"/>
            </w:tcMar>
            <w:vAlign w:val="center"/>
          </w:tcPr>
          <w:p w14:paraId="488782BD" w14:textId="0E70673B"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5,159</w:t>
            </w:r>
          </w:p>
        </w:tc>
        <w:tc>
          <w:tcPr>
            <w:tcW w:w="2311" w:type="pct"/>
            <w:tcBorders>
              <w:top w:val="single" w:sz="4" w:space="0" w:color="000000"/>
            </w:tcBorders>
            <w:tcMar>
              <w:top w:w="0" w:type="dxa"/>
              <w:left w:w="100" w:type="dxa"/>
              <w:bottom w:w="0" w:type="dxa"/>
              <w:right w:w="100" w:type="dxa"/>
            </w:tcMar>
            <w:vAlign w:val="center"/>
          </w:tcPr>
          <w:p w14:paraId="11AF5A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4.1</w:t>
            </w:r>
          </w:p>
        </w:tc>
      </w:tr>
      <w:tr w:rsidR="003F106B" w:rsidRPr="00B621E1" w14:paraId="297F99EA" w14:textId="77777777" w:rsidTr="00806A88">
        <w:trPr>
          <w:trHeight w:val="270"/>
        </w:trPr>
        <w:tc>
          <w:tcPr>
            <w:tcW w:w="1726" w:type="pct"/>
            <w:tcMar>
              <w:top w:w="0" w:type="dxa"/>
              <w:left w:w="100" w:type="dxa"/>
              <w:bottom w:w="0" w:type="dxa"/>
              <w:right w:w="100" w:type="dxa"/>
            </w:tcMar>
            <w:vAlign w:val="center"/>
          </w:tcPr>
          <w:p w14:paraId="5A5CD436"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Gay or Lesbian</w:t>
            </w:r>
          </w:p>
        </w:tc>
        <w:tc>
          <w:tcPr>
            <w:tcW w:w="963" w:type="pct"/>
            <w:tcMar>
              <w:top w:w="20" w:type="dxa"/>
              <w:left w:w="20" w:type="dxa"/>
              <w:bottom w:w="20" w:type="dxa"/>
              <w:right w:w="20" w:type="dxa"/>
            </w:tcMar>
            <w:vAlign w:val="center"/>
          </w:tcPr>
          <w:p w14:paraId="3645FCE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329</w:t>
            </w:r>
          </w:p>
        </w:tc>
        <w:tc>
          <w:tcPr>
            <w:tcW w:w="2311" w:type="pct"/>
            <w:tcMar>
              <w:top w:w="0" w:type="dxa"/>
              <w:left w:w="100" w:type="dxa"/>
              <w:bottom w:w="0" w:type="dxa"/>
              <w:right w:w="100" w:type="dxa"/>
            </w:tcMar>
            <w:vAlign w:val="center"/>
          </w:tcPr>
          <w:p w14:paraId="3602EE6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3.6</w:t>
            </w:r>
          </w:p>
        </w:tc>
      </w:tr>
      <w:tr w:rsidR="003F106B" w:rsidRPr="00B621E1" w14:paraId="2AE65FF7" w14:textId="77777777" w:rsidTr="00806A88">
        <w:trPr>
          <w:trHeight w:val="270"/>
        </w:trPr>
        <w:tc>
          <w:tcPr>
            <w:tcW w:w="1726" w:type="pct"/>
            <w:tcMar>
              <w:top w:w="0" w:type="dxa"/>
              <w:left w:w="100" w:type="dxa"/>
              <w:bottom w:w="0" w:type="dxa"/>
              <w:right w:w="100" w:type="dxa"/>
            </w:tcMar>
            <w:vAlign w:val="center"/>
          </w:tcPr>
          <w:p w14:paraId="1F4072F6"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Bisexual/Pansexual/Omnisexual</w:t>
            </w:r>
          </w:p>
        </w:tc>
        <w:tc>
          <w:tcPr>
            <w:tcW w:w="963" w:type="pct"/>
            <w:tcMar>
              <w:top w:w="20" w:type="dxa"/>
              <w:left w:w="20" w:type="dxa"/>
              <w:bottom w:w="20" w:type="dxa"/>
              <w:right w:w="20" w:type="dxa"/>
            </w:tcMar>
            <w:vAlign w:val="center"/>
          </w:tcPr>
          <w:p w14:paraId="06870FC0" w14:textId="6743DEE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1,136</w:t>
            </w:r>
          </w:p>
        </w:tc>
        <w:tc>
          <w:tcPr>
            <w:tcW w:w="2311" w:type="pct"/>
            <w:tcMar>
              <w:top w:w="0" w:type="dxa"/>
              <w:left w:w="100" w:type="dxa"/>
              <w:bottom w:w="0" w:type="dxa"/>
              <w:right w:w="100" w:type="dxa"/>
            </w:tcMar>
            <w:vAlign w:val="center"/>
          </w:tcPr>
          <w:p w14:paraId="0673FE1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3.1</w:t>
            </w:r>
          </w:p>
        </w:tc>
      </w:tr>
      <w:tr w:rsidR="003F106B" w:rsidRPr="00B621E1" w14:paraId="10A67270" w14:textId="77777777" w:rsidTr="00806A88">
        <w:trPr>
          <w:trHeight w:val="270"/>
        </w:trPr>
        <w:tc>
          <w:tcPr>
            <w:tcW w:w="1726" w:type="pct"/>
            <w:tcMar>
              <w:top w:w="0" w:type="dxa"/>
              <w:left w:w="100" w:type="dxa"/>
              <w:bottom w:w="0" w:type="dxa"/>
              <w:right w:w="100" w:type="dxa"/>
            </w:tcMar>
            <w:vAlign w:val="center"/>
          </w:tcPr>
          <w:p w14:paraId="62FC4A64"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Asexual/Aromantic/Demisexual</w:t>
            </w:r>
          </w:p>
        </w:tc>
        <w:tc>
          <w:tcPr>
            <w:tcW w:w="963" w:type="pct"/>
            <w:tcMar>
              <w:top w:w="20" w:type="dxa"/>
              <w:left w:w="20" w:type="dxa"/>
              <w:bottom w:w="20" w:type="dxa"/>
              <w:right w:w="20" w:type="dxa"/>
            </w:tcMar>
            <w:vAlign w:val="center"/>
          </w:tcPr>
          <w:p w14:paraId="03BEB8F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182</w:t>
            </w:r>
          </w:p>
        </w:tc>
        <w:tc>
          <w:tcPr>
            <w:tcW w:w="2311" w:type="pct"/>
            <w:tcMar>
              <w:top w:w="0" w:type="dxa"/>
              <w:left w:w="100" w:type="dxa"/>
              <w:bottom w:w="0" w:type="dxa"/>
              <w:right w:w="100" w:type="dxa"/>
            </w:tcMar>
            <w:vAlign w:val="center"/>
          </w:tcPr>
          <w:p w14:paraId="46CBB9D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3.7</w:t>
            </w:r>
          </w:p>
        </w:tc>
      </w:tr>
      <w:tr w:rsidR="003F106B" w:rsidRPr="00B621E1" w14:paraId="3B513625" w14:textId="77777777" w:rsidTr="00806A88">
        <w:trPr>
          <w:trHeight w:val="270"/>
        </w:trPr>
        <w:tc>
          <w:tcPr>
            <w:tcW w:w="1726" w:type="pct"/>
            <w:tcMar>
              <w:top w:w="0" w:type="dxa"/>
              <w:left w:w="100" w:type="dxa"/>
              <w:bottom w:w="0" w:type="dxa"/>
              <w:right w:w="100" w:type="dxa"/>
            </w:tcMar>
            <w:vAlign w:val="center"/>
          </w:tcPr>
          <w:p w14:paraId="5C80DEAB"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Other/Queer/Questioning</w:t>
            </w:r>
          </w:p>
        </w:tc>
        <w:tc>
          <w:tcPr>
            <w:tcW w:w="963" w:type="pct"/>
            <w:tcMar>
              <w:top w:w="20" w:type="dxa"/>
              <w:left w:w="20" w:type="dxa"/>
              <w:bottom w:w="20" w:type="dxa"/>
              <w:right w:w="20" w:type="dxa"/>
            </w:tcMar>
            <w:vAlign w:val="center"/>
          </w:tcPr>
          <w:p w14:paraId="56EB37D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131</w:t>
            </w:r>
          </w:p>
        </w:tc>
        <w:tc>
          <w:tcPr>
            <w:tcW w:w="2311" w:type="pct"/>
            <w:tcMar>
              <w:top w:w="0" w:type="dxa"/>
              <w:left w:w="100" w:type="dxa"/>
              <w:bottom w:w="0" w:type="dxa"/>
              <w:right w:w="100" w:type="dxa"/>
            </w:tcMar>
            <w:vAlign w:val="center"/>
          </w:tcPr>
          <w:p w14:paraId="18CAE8C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w:t>
            </w:r>
          </w:p>
        </w:tc>
      </w:tr>
      <w:tr w:rsidR="003F106B" w:rsidRPr="00B621E1" w14:paraId="346A789E" w14:textId="77777777" w:rsidTr="00806A88">
        <w:trPr>
          <w:trHeight w:val="270"/>
        </w:trPr>
        <w:tc>
          <w:tcPr>
            <w:tcW w:w="1726" w:type="pct"/>
            <w:tcMar>
              <w:top w:w="0" w:type="dxa"/>
              <w:left w:w="100" w:type="dxa"/>
              <w:bottom w:w="0" w:type="dxa"/>
              <w:right w:w="100" w:type="dxa"/>
            </w:tcMar>
            <w:vAlign w:val="center"/>
          </w:tcPr>
          <w:p w14:paraId="3596FC17"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Prefer Not to Say</w:t>
            </w:r>
          </w:p>
        </w:tc>
        <w:tc>
          <w:tcPr>
            <w:tcW w:w="963" w:type="pct"/>
            <w:tcMar>
              <w:top w:w="20" w:type="dxa"/>
              <w:left w:w="20" w:type="dxa"/>
              <w:bottom w:w="20" w:type="dxa"/>
              <w:right w:w="20" w:type="dxa"/>
            </w:tcMar>
            <w:vAlign w:val="center"/>
          </w:tcPr>
          <w:p w14:paraId="7C51BF3D"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505</w:t>
            </w:r>
          </w:p>
        </w:tc>
        <w:tc>
          <w:tcPr>
            <w:tcW w:w="2311" w:type="pct"/>
            <w:tcMar>
              <w:top w:w="0" w:type="dxa"/>
              <w:left w:w="100" w:type="dxa"/>
              <w:bottom w:w="0" w:type="dxa"/>
              <w:right w:w="100" w:type="dxa"/>
            </w:tcMar>
            <w:vAlign w:val="center"/>
          </w:tcPr>
          <w:p w14:paraId="672292E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2.9</w:t>
            </w:r>
          </w:p>
        </w:tc>
      </w:tr>
      <w:tr w:rsidR="003F106B" w:rsidRPr="00B621E1" w14:paraId="661988EF"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3A210EC"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Total</w:t>
            </w:r>
          </w:p>
        </w:tc>
        <w:tc>
          <w:tcPr>
            <w:tcW w:w="963" w:type="pct"/>
            <w:tcBorders>
              <w:bottom w:val="single" w:sz="6" w:space="0" w:color="000000"/>
            </w:tcBorders>
            <w:tcMar>
              <w:top w:w="20" w:type="dxa"/>
              <w:left w:w="20" w:type="dxa"/>
              <w:bottom w:w="20" w:type="dxa"/>
              <w:right w:w="20" w:type="dxa"/>
            </w:tcMar>
            <w:vAlign w:val="center"/>
          </w:tcPr>
          <w:p w14:paraId="2B703189" w14:textId="69F5B32D"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7,442</w:t>
            </w:r>
          </w:p>
        </w:tc>
        <w:tc>
          <w:tcPr>
            <w:tcW w:w="2311" w:type="pct"/>
            <w:tcBorders>
              <w:bottom w:val="single" w:sz="6" w:space="0" w:color="000000"/>
            </w:tcBorders>
            <w:tcMar>
              <w:top w:w="0" w:type="dxa"/>
              <w:left w:w="100" w:type="dxa"/>
              <w:bottom w:w="0" w:type="dxa"/>
              <w:right w:w="100" w:type="dxa"/>
            </w:tcMar>
            <w:vAlign w:val="center"/>
          </w:tcPr>
          <w:p w14:paraId="0A291BB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3.8</w:t>
            </w:r>
          </w:p>
        </w:tc>
      </w:tr>
    </w:tbl>
    <w:p w14:paraId="7CA714E8" w14:textId="77777777" w:rsidR="003F106B" w:rsidRPr="00AB6684" w:rsidRDefault="003F106B" w:rsidP="003F106B">
      <w:pPr>
        <w:spacing w:after="160"/>
        <w:rPr>
          <w:rFonts w:asciiTheme="majorHAnsi" w:hAnsiTheme="majorHAnsi" w:cstheme="majorHAnsi"/>
          <w:sz w:val="20"/>
          <w:szCs w:val="20"/>
        </w:rPr>
      </w:pPr>
      <w:r>
        <w:rPr>
          <w:rFonts w:asciiTheme="majorHAnsi" w:hAnsiTheme="majorHAnsi" w:cstheme="majorHAnsi"/>
          <w:i/>
          <w:iCs/>
          <w:sz w:val="20"/>
          <w:szCs w:val="20"/>
        </w:rPr>
        <w:t>Note.</w:t>
      </w:r>
      <w:commentRangeStart w:id="59"/>
      <w:r>
        <w:rPr>
          <w:rFonts w:asciiTheme="majorHAnsi" w:hAnsiTheme="majorHAnsi" w:cstheme="majorHAnsi"/>
          <w:i/>
          <w:iCs/>
          <w:sz w:val="20"/>
          <w:szCs w:val="20"/>
        </w:rPr>
        <w:t xml:space="preserv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9"/>
      <w:r w:rsidRPr="00AB6684">
        <w:rPr>
          <w:rStyle w:val="CommentReference"/>
          <w:rFonts w:asciiTheme="majorHAnsi" w:hAnsiTheme="majorHAnsi" w:cstheme="majorHAnsi"/>
          <w:sz w:val="20"/>
          <w:szCs w:val="20"/>
        </w:rPr>
        <w:commentReference w:id="59"/>
      </w:r>
    </w:p>
    <w:p w14:paraId="5552E13D" w14:textId="77777777" w:rsidR="00C06DAA" w:rsidRPr="00B621E1" w:rsidRDefault="00C06DAA" w:rsidP="003D5B76">
      <w:pPr>
        <w:spacing w:line="360" w:lineRule="auto"/>
        <w:rPr>
          <w:rFonts w:asciiTheme="majorHAnsi" w:hAnsiTheme="majorHAnsi" w:cstheme="majorHAnsi"/>
          <w:b/>
          <w:bCs/>
        </w:rPr>
      </w:pPr>
    </w:p>
    <w:p w14:paraId="584E2B7E" w14:textId="2E183613" w:rsidR="003D5B76" w:rsidRPr="00B621E1" w:rsidRDefault="003D5B76" w:rsidP="003D5B76">
      <w:pPr>
        <w:spacing w:line="360" w:lineRule="auto"/>
        <w:rPr>
          <w:rFonts w:asciiTheme="majorHAnsi" w:hAnsiTheme="majorHAnsi" w:cstheme="majorHAnsi"/>
          <w:b/>
          <w:bCs/>
        </w:rPr>
      </w:pPr>
      <w:r>
        <w:rPr>
          <w:rFonts w:asciiTheme="majorHAnsi" w:hAnsiTheme="majorHAnsi" w:cstheme="majorHAnsi"/>
          <w:b/>
          <w:bCs/>
        </w:rPr>
        <w:t>Figure 2</w:t>
      </w:r>
    </w:p>
    <w:p w14:paraId="49E759A3" w14:textId="1ECDB166" w:rsidR="003D5B76" w:rsidRPr="00B621E1" w:rsidRDefault="003D5B76" w:rsidP="003D5B76">
      <w:pPr>
        <w:spacing w:line="360" w:lineRule="auto"/>
        <w:rPr>
          <w:rFonts w:asciiTheme="majorHAnsi" w:hAnsiTheme="majorHAnsi" w:cstheme="majorHAnsi"/>
          <w:i/>
          <w:iCs/>
        </w:rPr>
      </w:pPr>
      <w:r>
        <w:rPr>
          <w:rFonts w:asciiTheme="majorHAnsi" w:hAnsiTheme="majorHAnsi" w:cstheme="majorHAnsi"/>
          <w:i/>
          <w:iCs/>
        </w:rPr>
        <w:t>Regression of High School Experience Index on Sexual Orientation</w:t>
      </w:r>
    </w:p>
    <w:p w14:paraId="55E6955C" w14:textId="5C1F13D0" w:rsidR="006E705A" w:rsidRPr="00B621E1" w:rsidRDefault="006E705A" w:rsidP="00D5066E">
      <w:pPr>
        <w:spacing w:line="360" w:lineRule="auto"/>
        <w:jc w:val="center"/>
        <w:rPr>
          <w:rFonts w:asciiTheme="majorHAnsi" w:hAnsiTheme="majorHAnsi" w:cstheme="majorHAnsi"/>
          <w:b/>
          <w:bCs/>
        </w:rPr>
      </w:pPr>
      <w:r>
        <w:rPr>
          <w:rFonts w:asciiTheme="majorHAnsi" w:hAnsiTheme="majorHAnsi" w:cstheme="majorHAnsi"/>
          <w:noProof/>
        </w:rPr>
        <w:drawing>
          <wp:inline distT="0" distB="0" distL="0" distR="0" wp14:anchorId="2F47E788" wp14:editId="62A889B3">
            <wp:extent cx="5033099" cy="3657600"/>
            <wp:effectExtent l="0" t="0" r="0" b="0"/>
            <wp:docPr id="522347261" name="Picture 5" descr="A graph with colored lines and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7261" name="Picture 5" descr="A graph with colored lines and dots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3EF5281" w14:textId="666D2BB8" w:rsidR="003D5B76" w:rsidRDefault="0019183A" w:rsidP="00D5066E">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 percent confidence intervals while the sample frequency and mean index of each sexual orientation are reported in parentheses. The vertical line at 0 represents the coefficient for the reference group (straight/heterosexual).</w:t>
      </w:r>
    </w:p>
    <w:p w14:paraId="7439B036" w14:textId="3368F125" w:rsidR="00BD041A" w:rsidRPr="00B621E1" w:rsidRDefault="00602BF5" w:rsidP="00D5066E">
      <w:pPr>
        <w:pStyle w:val="Heading2"/>
        <w:spacing w:after="0" w:line="360" w:lineRule="auto"/>
        <w:rPr>
          <w:rFonts w:asciiTheme="majorHAnsi" w:hAnsiTheme="majorHAnsi" w:cstheme="majorHAnsi"/>
          <w:b/>
          <w:bCs/>
          <w:sz w:val="24"/>
          <w:szCs w:val="28"/>
        </w:rPr>
      </w:pPr>
      <w:bookmarkStart w:id="60" w:name="_1ou31tc7vaj8" w:colFirst="0" w:colLast="0"/>
      <w:bookmarkEnd w:id="60"/>
      <w:r>
        <w:rPr>
          <w:rFonts w:asciiTheme="majorHAnsi" w:hAnsiTheme="majorHAnsi" w:cstheme="majorHAnsi"/>
          <w:b/>
          <w:bCs/>
          <w:sz w:val="24"/>
          <w:szCs w:val="28"/>
        </w:rPr>
        <w:lastRenderedPageBreak/>
        <w:t>Bullying in High School</w:t>
      </w:r>
    </w:p>
    <w:p w14:paraId="7439B037" w14:textId="0816F0A1"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As described in Data and Methods, students reported the frequency with which they were bullied or harassed at school (response options included </w:t>
      </w:r>
      <w:r>
        <w:rPr>
          <w:rFonts w:asciiTheme="majorHAnsi" w:hAnsiTheme="majorHAnsi" w:cstheme="majorHAnsi"/>
          <w:i/>
          <w:iCs/>
        </w:rPr>
        <w:t>0 times</w:t>
      </w:r>
      <w:r>
        <w:rPr>
          <w:rFonts w:asciiTheme="majorHAnsi" w:hAnsiTheme="majorHAnsi" w:cstheme="majorHAnsi"/>
        </w:rPr>
        <w:t xml:space="preserve">, </w:t>
      </w:r>
      <w:r>
        <w:rPr>
          <w:rFonts w:asciiTheme="majorHAnsi" w:hAnsiTheme="majorHAnsi" w:cstheme="majorHAnsi"/>
          <w:i/>
          <w:iCs/>
        </w:rPr>
        <w:t>1 time</w:t>
      </w:r>
      <w:r>
        <w:rPr>
          <w:rFonts w:asciiTheme="majorHAnsi" w:hAnsiTheme="majorHAnsi" w:cstheme="majorHAnsi"/>
        </w:rPr>
        <w:t xml:space="preserve">, </w:t>
      </w:r>
      <w:r>
        <w:rPr>
          <w:rFonts w:asciiTheme="majorHAnsi" w:hAnsiTheme="majorHAnsi" w:cstheme="majorHAnsi"/>
          <w:i/>
          <w:iCs/>
        </w:rPr>
        <w:t>2-3 times</w:t>
      </w:r>
      <w:r>
        <w:rPr>
          <w:rFonts w:asciiTheme="majorHAnsi" w:hAnsiTheme="majorHAnsi" w:cstheme="majorHAnsi"/>
        </w:rPr>
        <w:t xml:space="preserve">, and </w:t>
      </w:r>
      <w:r>
        <w:rPr>
          <w:rFonts w:asciiTheme="majorHAnsi" w:hAnsiTheme="majorHAnsi" w:cstheme="majorHAnsi"/>
          <w:i/>
          <w:iCs/>
        </w:rPr>
        <w:t>4 or more times</w:t>
      </w:r>
      <w:r>
        <w:rPr>
          <w:rFonts w:asciiTheme="majorHAnsi" w:hAnsiTheme="majorHAnsi" w:cstheme="majorHAnsi"/>
        </w:rPr>
        <w:t xml:space="preserve">). For students who reported being bullied at least once, students were also asked about the reasons they were harassed or bullied (i.e., race or ethnicity, religion, gender identity, or sexual orientation). </w:t>
      </w:r>
    </w:p>
    <w:p w14:paraId="0922CEFD" w14:textId="49DF523D" w:rsidR="003F4E39" w:rsidRPr="00B621E1" w:rsidRDefault="00602BF5" w:rsidP="003F4E39">
      <w:pPr>
        <w:spacing w:line="360" w:lineRule="auto"/>
        <w:ind w:firstLine="720"/>
        <w:rPr>
          <w:rFonts w:asciiTheme="majorHAnsi" w:hAnsiTheme="majorHAnsi" w:cstheme="majorHAnsi"/>
        </w:rPr>
      </w:pPr>
      <w:r>
        <w:rPr>
          <w:rFonts w:asciiTheme="majorHAnsi" w:hAnsiTheme="majorHAnsi" w:cstheme="majorHAnsi"/>
        </w:rPr>
        <w:t>Figure 3 presents the frequency of bullying by gender identity and sexual orientation. Across all respondents, approximately 77% of students reported not being bullied or harassed on school property in the past year, while roughly 10% reported being bullied once, 9% reported being bullied two to three times, and about 4% reported being bullied four or more times. However, these rates varied considerably by gender identity. Among cisgender men, nearly 84% reported no bullying compared to only about 35% of transgender students and 54% of nonbinary and gender diverse/questioning students. Moreover, transgender students reported the highest rates of repeated victimization, with approximately 27% experiencing bullying two to three times and nearly 16% experiencing bullying four or more times — rates far exceeding those of any other gender identity group. Nonbinary and gender diverse/questioning students also reported elevated rates of bullying relative to their cisgender peers, with roughly 23% reporting two to three incidents and about 10% reporting four or more.</w:t>
      </w:r>
    </w:p>
    <w:p w14:paraId="581AACFA" w14:textId="176B660D" w:rsidR="00BD041A" w:rsidRPr="00B621E1" w:rsidRDefault="003F4E39" w:rsidP="003F4E39">
      <w:pPr>
        <w:spacing w:line="360" w:lineRule="auto"/>
        <w:ind w:firstLine="720"/>
        <w:rPr>
          <w:rFonts w:asciiTheme="majorHAnsi" w:hAnsiTheme="majorHAnsi" w:cstheme="majorHAnsi"/>
        </w:rPr>
      </w:pPr>
      <w:r>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r>
        <w:rPr>
          <w:rFonts w:asciiTheme="majorHAnsi" w:hAnsiTheme="majorHAnsi" w:cstheme="majorHAnsi"/>
        </w:rPr>
        <w:br w:type="page"/>
      </w:r>
    </w:p>
    <w:p w14:paraId="7439B03C" w14:textId="79BC5E1F"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3</w:t>
      </w:r>
    </w:p>
    <w:p w14:paraId="7439B03D" w14:textId="00A4C9AC" w:rsidR="00BD041A" w:rsidRPr="00B621E1" w:rsidRDefault="0071788A" w:rsidP="001B2966">
      <w:pPr>
        <w:spacing w:line="360" w:lineRule="auto"/>
        <w:rPr>
          <w:rFonts w:asciiTheme="majorHAnsi" w:hAnsiTheme="majorHAnsi" w:cstheme="majorHAnsi"/>
          <w:i/>
          <w:iCs/>
        </w:rPr>
      </w:pPr>
      <w:commentRangeStart w:id="61"/>
      <w:r>
        <w:rPr>
          <w:rFonts w:asciiTheme="majorHAnsi" w:hAnsiTheme="majorHAnsi" w:cstheme="majorHAnsi"/>
          <w:i/>
          <w:iCs/>
        </w:rPr>
        <w:t>Frequency of Bullying/Harassment in the Past Year</w:t>
      </w:r>
      <w:commentRangeEnd w:id="61"/>
      <w:r w:rsidRPr="00B621E1">
        <w:rPr>
          <w:rStyle w:val="CommentReference"/>
          <w:rFonts w:asciiTheme="majorHAnsi" w:hAnsiTheme="majorHAnsi" w:cstheme="majorHAnsi"/>
          <w:i/>
          <w:iCs/>
          <w:sz w:val="24"/>
          <w:szCs w:val="24"/>
        </w:rPr>
        <w:commentReference w:id="61"/>
      </w:r>
    </w:p>
    <w:p w14:paraId="7439B03E" w14:textId="407CD1BC" w:rsidR="00BD041A" w:rsidRPr="00B621E1" w:rsidRDefault="00D70A5E" w:rsidP="001B2966">
      <w:pPr>
        <w:pStyle w:val="Heading2"/>
        <w:spacing w:before="0" w:after="0" w:line="360" w:lineRule="auto"/>
        <w:rPr>
          <w:rFonts w:asciiTheme="majorHAnsi" w:hAnsiTheme="majorHAnsi" w:cstheme="majorHAnsi"/>
          <w:sz w:val="24"/>
          <w:szCs w:val="24"/>
        </w:rPr>
      </w:pPr>
      <w:bookmarkStart w:id="62" w:name="_jq9y13bm3euw" w:colFirst="0" w:colLast="0"/>
      <w:bookmarkEnd w:id="62"/>
      <w:r>
        <w:rPr>
          <w:rFonts w:asciiTheme="majorHAnsi" w:hAnsiTheme="majorHAnsi" w:cstheme="majorHAnsi"/>
          <w:i/>
          <w:iCs/>
          <w:noProof/>
          <w:sz w:val="24"/>
          <w:szCs w:val="24"/>
        </w:rPr>
        <w:drawing>
          <wp:inline distT="0" distB="0" distL="0" distR="0" wp14:anchorId="579B30BB" wp14:editId="0BBA989B">
            <wp:extent cx="5943600" cy="3189605"/>
            <wp:effectExtent l="0" t="0" r="0" b="0"/>
            <wp:docPr id="637054483" name="Picture 1" descr="A graph of a number of bullied in the last 12 month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4483" name="Picture 1" descr="A graph of a number of bullied in the last 12 months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6A0F5D10" w14:textId="3E687AE0" w:rsidR="001B2966"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Note.</w:t>
      </w:r>
      <w:r>
        <w:rPr>
          <w:rFonts w:asciiTheme="majorHAnsi" w:hAnsiTheme="majorHAnsi" w:cstheme="majorHAnsi"/>
          <w:sz w:val="20"/>
        </w:rPr>
        <w:t xml:space="preserve"> Rates depicted in the figure represent the sample of students that responded to questions about bullying and harassment (n = 7,512 for disaggregation by gender, and </w:t>
      </w:r>
      <w:r>
        <w:rPr>
          <w:rFonts w:asciiTheme="majorHAnsi" w:hAnsiTheme="majorHAnsi" w:cstheme="majorHAnsi"/>
          <w:i/>
          <w:iCs/>
          <w:sz w:val="20"/>
        </w:rPr>
        <w:t>n</w:t>
      </w:r>
      <w:r>
        <w:rPr>
          <w:rFonts w:asciiTheme="majorHAnsi" w:hAnsiTheme="majorHAnsi" w:cstheme="majorHAnsi"/>
          <w:sz w:val="20"/>
        </w:rPr>
        <w:t xml:space="preserve"> = 7,471 for disaggregation by sexual orientation). </w:t>
      </w:r>
    </w:p>
    <w:p w14:paraId="5F15EE9E" w14:textId="3338445A" w:rsidR="00C93A68" w:rsidRPr="00B621E1" w:rsidRDefault="001B2966" w:rsidP="001B2966">
      <w:pPr>
        <w:spacing w:line="360" w:lineRule="auto"/>
        <w:ind w:firstLine="720"/>
        <w:rPr>
          <w:rFonts w:asciiTheme="majorHAnsi" w:hAnsiTheme="majorHAnsi" w:cstheme="majorHAnsi"/>
          <w:b/>
          <w:bCs/>
        </w:rPr>
      </w:pPr>
      <w:r>
        <w:rPr>
          <w:rFonts w:asciiTheme="majorHAnsi" w:hAnsiTheme="majorHAnsi" w:cstheme="majorHAnsi"/>
        </w:rPr>
        <w:t>Among students who reported being bullied one or more times, we further examined whether students attributed the bullying to their gender identity or sexual orientation (Figure 4). Overall, about 55% of students that were bullied indicated they had been harassed because of their gender or sexual orientation. This figure, however, masks stark differences across identity groups. Among transgender students who reported being bullied (</w:t>
      </w:r>
      <w:r>
        <w:rPr>
          <w:rFonts w:asciiTheme="majorHAnsi" w:hAnsiTheme="majorHAnsi" w:cstheme="majorHAnsi"/>
          <w:i/>
          <w:iCs/>
        </w:rPr>
        <w:t>n</w:t>
      </w:r>
      <w:r>
        <w:rPr>
          <w:rFonts w:asciiTheme="majorHAnsi" w:hAnsiTheme="majorHAnsi" w:cstheme="majorHAnsi"/>
        </w:rPr>
        <w:t xml:space="preserve"> = 42), all attributed the bullying to their gender 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about 77% of bisexual, pansexual, and omnisexual students and only 28% of straight/heterosexual students. These patterns underscore that trans and gender expansive students and sexual minority students not only experience higher rates of bullying overall, but are also disproportionately targeted because of </w:t>
      </w:r>
      <w:r>
        <w:rPr>
          <w:rFonts w:asciiTheme="majorHAnsi" w:hAnsiTheme="majorHAnsi" w:cstheme="majorHAnsi"/>
        </w:rPr>
        <w:lastRenderedPageBreak/>
        <w:t>their identity — a finding consistent with prior research documenting the heightened risk of bias-based victimization among LGBTQ+ youth (Day et al., 2018; Kosciw et al., 2022).</w:t>
      </w:r>
    </w:p>
    <w:p w14:paraId="7439B042" w14:textId="57DB5FC5"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t>Figure 4</w:t>
      </w:r>
    </w:p>
    <w:p w14:paraId="7439B043"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Student Responses to “During the past 12 months, were you harassed or bullied for your gender identity or sexual orientation?”</w:t>
      </w:r>
    </w:p>
    <w:p w14:paraId="7439B049" w14:textId="325FD330" w:rsidR="00BD041A" w:rsidRPr="00B621E1" w:rsidRDefault="00602BF5" w:rsidP="003F4E39">
      <w:pPr>
        <w:spacing w:after="240"/>
        <w:rPr>
          <w:rFonts w:asciiTheme="majorHAnsi" w:hAnsiTheme="majorHAnsi" w:cstheme="majorHAnsi"/>
        </w:rPr>
      </w:pPr>
      <w:r>
        <w:rPr>
          <w:rFonts w:asciiTheme="majorHAnsi" w:hAnsiTheme="majorHAnsi" w:cstheme="majorHAnsi"/>
          <w:noProof/>
        </w:rPr>
        <w:drawing>
          <wp:anchor distT="0" distB="0" distL="114300" distR="114300" simplePos="0" relativeHeight="251658241" behindDoc="0" locked="0" layoutInCell="1" allowOverlap="1" wp14:anchorId="7439B286" wp14:editId="217362F8">
            <wp:simplePos x="0" y="0"/>
            <wp:positionH relativeFrom="column">
              <wp:posOffset>0</wp:posOffset>
            </wp:positionH>
            <wp:positionV relativeFrom="paragraph">
              <wp:posOffset>80645</wp:posOffset>
            </wp:positionV>
            <wp:extent cx="5755005" cy="3200400"/>
            <wp:effectExtent l="0" t="0" r="0" b="0"/>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755005" cy="3200400"/>
                    </a:xfrm>
                    <a:prstGeom prst="rect">
                      <a:avLst/>
                    </a:prstGeom>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i/>
          <w:iCs/>
          <w:sz w:val="20"/>
        </w:rPr>
        <w:t>Note</w:t>
      </w:r>
      <w:r>
        <w:rPr>
          <w:rFonts w:asciiTheme="majorHAnsi" w:hAnsiTheme="majorHAnsi" w:cstheme="majorHAnsi"/>
          <w:sz w:val="20"/>
        </w:rPr>
        <w:t>. Rates depicted in the figure represent the sample of students that reported being bullied or harassed more than once (</w:t>
      </w:r>
      <w:r>
        <w:rPr>
          <w:rFonts w:asciiTheme="majorHAnsi" w:hAnsiTheme="majorHAnsi" w:cstheme="majorHAnsi"/>
          <w:i/>
          <w:iCs/>
          <w:sz w:val="20"/>
        </w:rPr>
        <w:t>n</w:t>
      </w:r>
      <w:r>
        <w:rPr>
          <w:rFonts w:asciiTheme="majorHAnsi" w:hAnsiTheme="majorHAnsi" w:cstheme="majorHAnsi"/>
          <w:sz w:val="20"/>
        </w:rPr>
        <w:t xml:space="preserve"> = 960 for disaggregation by gender, and </w:t>
      </w:r>
      <w:r>
        <w:rPr>
          <w:rFonts w:asciiTheme="majorHAnsi" w:hAnsiTheme="majorHAnsi" w:cstheme="majorHAnsi"/>
          <w:i/>
          <w:iCs/>
          <w:sz w:val="20"/>
        </w:rPr>
        <w:t>n</w:t>
      </w:r>
      <w:r>
        <w:rPr>
          <w:rFonts w:asciiTheme="majorHAnsi" w:hAnsiTheme="majorHAnsi" w:cstheme="majorHAnsi"/>
          <w:sz w:val="20"/>
        </w:rPr>
        <w:t xml:space="preserve"> = 958 for disaggregation by sexual orientation). </w:t>
      </w:r>
    </w:p>
    <w:p w14:paraId="7439B04A" w14:textId="77777777" w:rsidR="00BD041A" w:rsidRDefault="00602BF5" w:rsidP="001B2966">
      <w:pPr>
        <w:spacing w:line="360" w:lineRule="auto"/>
        <w:ind w:firstLine="720"/>
        <w:rPr>
          <w:rFonts w:asciiTheme="majorHAnsi" w:hAnsiTheme="majorHAnsi" w:cstheme="majorHAnsi"/>
        </w:rPr>
      </w:pPr>
      <w:r>
        <w:rPr>
          <w:rFonts w:asciiTheme="majorHAnsi" w:hAnsiTheme="majorHAnsi" w:cstheme="majorHAnsi"/>
        </w:rPr>
        <w:t>Together, these patterns paint a troubling picture of the high school climate for trans and gender expansive students and sexual minority students more broadly. Not only are these students bullied at substantially higher rates, but the bullying they experience is overwhelmingly tied to their identity. Importantly, these experiences do not exist in isolation from students’ expectations for college. As we examine in the following section, the elevated rates of identity-based victimization documented here likely contribute to the heightened worries about discrimination that trans and gender expansive students report ahead of the college transition, even as students simultaneously express excitement about the possibility of finding safer, more affirming postsecondary environments.</w:t>
      </w:r>
    </w:p>
    <w:p w14:paraId="116D41F2" w14:textId="77777777" w:rsidR="001751C5" w:rsidRDefault="001751C5" w:rsidP="001B2966">
      <w:pPr>
        <w:spacing w:line="360" w:lineRule="auto"/>
        <w:ind w:firstLine="720"/>
        <w:rPr>
          <w:rFonts w:asciiTheme="majorHAnsi" w:hAnsiTheme="majorHAnsi" w:cstheme="majorHAnsi"/>
        </w:rPr>
      </w:pPr>
    </w:p>
    <w:p w14:paraId="0E19CD04" w14:textId="398A57B6" w:rsidR="001751C5" w:rsidRPr="001A3945" w:rsidRDefault="001751C5" w:rsidP="001751C5">
      <w:pPr>
        <w:spacing w:line="360" w:lineRule="auto"/>
        <w:jc w:val="both"/>
        <w:rPr>
          <w:rFonts w:asciiTheme="majorHAnsi" w:hAnsiTheme="majorHAnsi" w:cstheme="majorHAnsi"/>
          <w:b/>
          <w:bCs/>
        </w:rPr>
      </w:pPr>
      <w:r>
        <w:rPr>
          <w:rFonts w:asciiTheme="majorHAnsi" w:hAnsiTheme="majorHAnsi" w:cstheme="majorHAnsi"/>
          <w:b/>
          <w:bCs/>
        </w:rPr>
        <w:t>Bullying as a Potential Mediator of High School Experiences</w:t>
      </w:r>
    </w:p>
    <w:p w14:paraId="11714852" w14:textId="17D3E4BB" w:rsidR="001751C5" w:rsidRPr="00352836" w:rsidRDefault="001751C5" w:rsidP="001751C5">
      <w:pPr>
        <w:spacing w:line="360" w:lineRule="auto"/>
        <w:ind w:firstLine="720"/>
        <w:rPr>
          <w:rFonts w:asciiTheme="majorHAnsi" w:hAnsiTheme="majorHAnsi" w:cstheme="majorHAnsi"/>
        </w:rPr>
      </w:pPr>
      <w:r>
        <w:rPr>
          <w:rFonts w:asciiTheme="majorHAnsi" w:hAnsiTheme="majorHAnsi" w:cstheme="majorHAnsi"/>
        </w:rPr>
        <w:lastRenderedPageBreak/>
        <w:t>To investigate whether identity-based victimization helps explain the observed differences in high school experience by gender identity and sexual orientation, we estimated additional models that control for the frequency of bullying or harassment in the past year (results presented in Appendix I). As shown in Appendix Figure I1, adding bullying as a covariate substantially attenuates the coefficients for gender identity. For example, the gap between gender diverse/questioning students and cisgender men narrows from -3.29 to -2.46 index points, and the gap for nonbinary students narrows from -2.03 to -1.44, though both remain highly significant. The coefficient for transgender women is no longer statistically significant after controlling for bullying (b = -0.80, p = 0.39), consistent with this group's small sample size. Across all gender identity categories, the R-squared increases from 0.034 (demographics only) to 0.072 (demographics plus bullying), indicating that bullying frequency explains a meaningful share, but not all, of the variation in high school experiences.</w:t>
      </w:r>
    </w:p>
    <w:p w14:paraId="41F01DB2" w14:textId="77777777" w:rsidR="001751C5" w:rsidRPr="00352836" w:rsidRDefault="001751C5" w:rsidP="001751C5">
      <w:pPr>
        <w:spacing w:line="360" w:lineRule="auto"/>
        <w:ind w:firstLine="720"/>
        <w:rPr>
          <w:rFonts w:asciiTheme="majorHAnsi" w:hAnsiTheme="majorHAnsi" w:cstheme="majorHAnsi"/>
        </w:rPr>
      </w:pPr>
      <w:r>
        <w:rPr>
          <w:rFonts w:asciiTheme="majorHAnsi" w:hAnsiTheme="majorHAnsi" w:cstheme="majorHAnsi"/>
        </w:rPr>
        <w:t>A similar pattern emerges by sexual orientation (Appendix Figure I2). After controlling for bullying, the coefficient for gay or lesbian students is no longer statistically significant (b = -0.32, p = 0.18), suggesting that the lower high school experience reported by this group is largely attributable to bullying experiences. The gap for bisexual/pansexual/omnisexual students narrows from -1.11 to -0.72 but remains significant, indicating that bullying explains part but not all of the difference for this group. Further controlling for assigned sex at birth produces only modest additional attenuation. These results suggest that bullying is a meaningful mediator of the relationship between gender identity, sexual orientation, and overall high school experience, though it does not fully account for the observed disparities — particularly for bisexual/pansexual/omnisexual students and those who prefer not to disclose their sexual orientation.</w:t>
      </w:r>
    </w:p>
    <w:p w14:paraId="33B02070" w14:textId="77777777" w:rsidR="001751C5" w:rsidRPr="00D5066E" w:rsidRDefault="001751C5" w:rsidP="001751C5">
      <w:pPr>
        <w:rPr>
          <w:rFonts w:asciiTheme="majorHAnsi" w:hAnsiTheme="majorHAnsi" w:cstheme="majorHAnsi"/>
        </w:rPr>
      </w:pPr>
    </w:p>
    <w:p w14:paraId="09A2FB4C" w14:textId="77777777" w:rsidR="001751C5" w:rsidRPr="00B621E1" w:rsidRDefault="001751C5" w:rsidP="001A3945">
      <w:pPr>
        <w:spacing w:line="360" w:lineRule="auto"/>
        <w:jc w:val="both"/>
        <w:rPr>
          <w:rFonts w:asciiTheme="majorHAnsi" w:hAnsiTheme="majorHAnsi" w:cstheme="majorHAnsi"/>
        </w:rPr>
      </w:pPr>
    </w:p>
    <w:p w14:paraId="646156BF" w14:textId="4947FE76" w:rsidR="00487CAD" w:rsidRPr="00B621E1" w:rsidRDefault="00602BF5" w:rsidP="001B2966">
      <w:pPr>
        <w:pStyle w:val="Heading2"/>
        <w:spacing w:before="0" w:after="0" w:line="360" w:lineRule="auto"/>
        <w:rPr>
          <w:rFonts w:asciiTheme="majorHAnsi" w:hAnsiTheme="majorHAnsi" w:cstheme="majorHAnsi"/>
          <w:b/>
          <w:bCs/>
          <w:sz w:val="24"/>
          <w:szCs w:val="28"/>
        </w:rPr>
      </w:pPr>
      <w:bookmarkStart w:id="63" w:name="_xymerxmxx7ya" w:colFirst="0" w:colLast="0"/>
      <w:bookmarkEnd w:id="63"/>
      <w:r>
        <w:rPr>
          <w:rFonts w:asciiTheme="majorHAnsi" w:hAnsiTheme="majorHAnsi" w:cstheme="majorHAnsi"/>
          <w:b/>
          <w:bCs/>
          <w:sz w:val="24"/>
          <w:szCs w:val="28"/>
        </w:rPr>
        <w:t xml:space="preserve">Concerns About College </w:t>
      </w:r>
    </w:p>
    <w:p w14:paraId="4F52614C" w14:textId="06A4DD09" w:rsidR="00E32A0E"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Having established that bullying partly accounts for identity-related differences in high school experience, we next turn to students’ concerns ahead of the college transition. Students were asked about their concerns ahead of the transition to college (Table 4). The three PCA-derived worry indices described in the Data Analysis section together explained 56.0% of the </w:t>
      </w:r>
      <w:r>
        <w:rPr>
          <w:rFonts w:asciiTheme="majorHAnsi" w:hAnsiTheme="majorHAnsi" w:cstheme="majorHAnsi"/>
        </w:rPr>
        <w:lastRenderedPageBreak/>
        <w:t xml:space="preserve">variance in overall worries about the transition to college: (1) general worries; (2) worries about discrimination (including gender, sexuality, race, and religion); and (3) worries about financial burdens (including tuition and living costs). For summary statistics of the survey items used to construct these dimensions by gender identity and sexual orientation, see Appendix D. Together, these components explained 56.0% of the variance in overall worries about the transition to college. We constructed three indices of worries using PCA eigenvectors (summary statistics of the PCA constructs are reported in Table 4). </w:t>
      </w:r>
    </w:p>
    <w:p w14:paraId="127A85C8" w14:textId="7D365727" w:rsidR="00E32A0E" w:rsidRPr="00B621E1" w:rsidRDefault="00602BF5" w:rsidP="001B2966">
      <w:pPr>
        <w:spacing w:line="360" w:lineRule="auto"/>
        <w:rPr>
          <w:rFonts w:asciiTheme="majorHAnsi" w:hAnsiTheme="majorHAnsi" w:cstheme="majorHAnsi"/>
        </w:rPr>
      </w:pPr>
      <w:r>
        <w:rPr>
          <w:rFonts w:asciiTheme="majorHAnsi" w:hAnsiTheme="majorHAnsi" w:cstheme="majorHAnsi"/>
          <w:b/>
          <w:bCs/>
        </w:rPr>
        <w:t>Table 4</w:t>
      </w:r>
    </w:p>
    <w:p w14:paraId="7439B04E" w14:textId="66F6507C" w:rsidR="00BD041A" w:rsidRPr="00B621E1" w:rsidRDefault="00602BF5" w:rsidP="001B2966">
      <w:pPr>
        <w:spacing w:line="360" w:lineRule="auto"/>
        <w:rPr>
          <w:rFonts w:asciiTheme="majorHAnsi" w:hAnsiTheme="majorHAnsi" w:cstheme="majorHAnsi"/>
        </w:rPr>
      </w:pPr>
      <w:r>
        <w:rPr>
          <w:rFonts w:asciiTheme="majorHAnsi" w:hAnsiTheme="majorHAnsi" w:cstheme="majorHAnsi"/>
          <w:i/>
          <w:iCs/>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B621E1"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B621E1" w:rsidRDefault="00602BF5" w:rsidP="003F4E39">
            <w:pPr>
              <w:jc w:val="right"/>
              <w:rPr>
                <w:rFonts w:asciiTheme="majorHAnsi" w:hAnsiTheme="majorHAnsi" w:cstheme="majorHAnsi"/>
                <w:sz w:val="20"/>
                <w:szCs w:val="20"/>
              </w:rPr>
            </w:pPr>
            <w:r>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Mean</w:t>
            </w:r>
          </w:p>
        </w:tc>
      </w:tr>
      <w:tr w:rsidR="00BD041A" w:rsidRPr="00B621E1"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B621E1"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3C39F65C"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1.8</w:t>
            </w:r>
          </w:p>
        </w:tc>
      </w:tr>
      <w:tr w:rsidR="00BD041A" w:rsidRPr="00B621E1"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16AD09BB"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1.7</w:t>
            </w:r>
          </w:p>
        </w:tc>
      </w:tr>
      <w:tr w:rsidR="00BD041A" w:rsidRPr="00B621E1"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075B0A6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4AAABF20"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1.6</w:t>
            </w:r>
          </w:p>
        </w:tc>
      </w:tr>
      <w:tr w:rsidR="00BD041A" w:rsidRPr="00B621E1"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137300D3"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3DF35C18"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1.3</w:t>
            </w:r>
          </w:p>
        </w:tc>
      </w:tr>
      <w:tr w:rsidR="00BD041A" w:rsidRPr="00B621E1"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3C20DC76"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.9</w:t>
            </w:r>
          </w:p>
        </w:tc>
      </w:tr>
      <w:tr w:rsidR="00BD041A" w:rsidRPr="00B621E1"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53B6693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17F04937"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0.4</w:t>
            </w:r>
          </w:p>
        </w:tc>
      </w:tr>
      <w:tr w:rsidR="00BD041A" w:rsidRPr="00B621E1"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83586B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0.3</w:t>
            </w:r>
          </w:p>
        </w:tc>
      </w:tr>
      <w:tr w:rsidR="00BD041A" w:rsidRPr="00B621E1"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387DFC1D"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543DB21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PCA Constructs: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92" w14:textId="77777777" w:rsidTr="003F4E39">
        <w:trPr>
          <w:trHeight w:val="240"/>
        </w:trPr>
        <w:tc>
          <w:tcPr>
            <w:tcW w:w="3896" w:type="pct"/>
            <w:tcMar>
              <w:top w:w="0" w:type="dxa"/>
              <w:left w:w="100" w:type="dxa"/>
              <w:bottom w:w="0" w:type="dxa"/>
              <w:right w:w="100" w:type="dxa"/>
            </w:tcMar>
            <w:vAlign w:val="center"/>
          </w:tcPr>
          <w:p w14:paraId="7439B08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General worries (32.03%)</w:t>
            </w:r>
          </w:p>
        </w:tc>
        <w:tc>
          <w:tcPr>
            <w:tcW w:w="563" w:type="pct"/>
            <w:tcMar>
              <w:top w:w="0" w:type="dxa"/>
              <w:left w:w="100" w:type="dxa"/>
              <w:bottom w:w="0" w:type="dxa"/>
              <w:right w:w="100" w:type="dxa"/>
            </w:tcMar>
            <w:vAlign w:val="center"/>
          </w:tcPr>
          <w:p w14:paraId="7439B09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5DE5CFC1"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3.8</w:t>
            </w:r>
          </w:p>
        </w:tc>
      </w:tr>
      <w:tr w:rsidR="00BD041A" w:rsidRPr="00B621E1" w14:paraId="7439B096" w14:textId="77777777" w:rsidTr="00262B50">
        <w:trPr>
          <w:trHeight w:val="240"/>
        </w:trPr>
        <w:tc>
          <w:tcPr>
            <w:tcW w:w="3896" w:type="pct"/>
            <w:tcMar>
              <w:top w:w="0" w:type="dxa"/>
              <w:left w:w="100" w:type="dxa"/>
              <w:bottom w:w="0" w:type="dxa"/>
              <w:right w:w="100" w:type="dxa"/>
            </w:tcMar>
            <w:vAlign w:val="center"/>
          </w:tcPr>
          <w:p w14:paraId="7439B09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discrimination (13.79%)</w:t>
            </w:r>
          </w:p>
        </w:tc>
        <w:tc>
          <w:tcPr>
            <w:tcW w:w="563" w:type="pct"/>
            <w:tcMar>
              <w:top w:w="0" w:type="dxa"/>
              <w:left w:w="100" w:type="dxa"/>
              <w:bottom w:w="0" w:type="dxa"/>
              <w:right w:w="100" w:type="dxa"/>
            </w:tcMar>
            <w:vAlign w:val="center"/>
          </w:tcPr>
          <w:p w14:paraId="7439B09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5460102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1.2</w:t>
            </w:r>
          </w:p>
        </w:tc>
      </w:tr>
      <w:tr w:rsidR="00BD041A" w:rsidRPr="00B621E1"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financial burdens (10.26%)</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0459923A"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0.6</w:t>
            </w:r>
          </w:p>
        </w:tc>
      </w:tr>
    </w:tbl>
    <w:p w14:paraId="7439B09B" w14:textId="3A84A260"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The first twelve rows are survey items related to college worries. Each item ranges from 0 (</w:t>
      </w:r>
      <w:r>
        <w:rPr>
          <w:rFonts w:asciiTheme="majorHAnsi" w:hAnsiTheme="majorHAnsi" w:cstheme="majorHAnsi"/>
          <w:i/>
          <w:iCs/>
          <w:sz w:val="20"/>
        </w:rPr>
        <w:t>not worried at all</w:t>
      </w:r>
      <w:r>
        <w:rPr>
          <w:rFonts w:asciiTheme="majorHAnsi" w:hAnsiTheme="majorHAnsi" w:cstheme="majorHAnsi"/>
          <w:sz w:val="20"/>
        </w:rPr>
        <w:t>)</w:t>
      </w:r>
      <w:r>
        <w:rPr>
          <w:rFonts w:asciiTheme="majorHAnsi" w:hAnsiTheme="majorHAnsi" w:cstheme="majorHAnsi"/>
          <w:i/>
          <w:iCs/>
          <w:sz w:val="20"/>
        </w:rPr>
        <w:t xml:space="preserve"> </w:t>
      </w:r>
      <w:r>
        <w:rPr>
          <w:rFonts w:asciiTheme="majorHAnsi" w:hAnsiTheme="majorHAnsi" w:cstheme="majorHAnsi"/>
          <w:sz w:val="20"/>
        </w:rPr>
        <w:t>to 3 (</w:t>
      </w:r>
      <w:r>
        <w:rPr>
          <w:rFonts w:asciiTheme="majorHAnsi" w:hAnsiTheme="majorHAnsi" w:cstheme="majorHAnsi"/>
          <w:i/>
          <w:iCs/>
          <w:sz w:val="20"/>
        </w:rPr>
        <w:t>very worried</w:t>
      </w:r>
      <w:r>
        <w:rPr>
          <w:rFonts w:asciiTheme="majorHAnsi" w:hAnsiTheme="majorHAnsi" w:cstheme="majorHAnsi"/>
          <w:sz w:val="20"/>
        </w:rPr>
        <w:t xml:space="preserve">). The last three rows indicate the three constructs: (1) </w:t>
      </w:r>
      <w:r>
        <w:rPr>
          <w:rFonts w:asciiTheme="majorHAnsi" w:hAnsiTheme="majorHAnsi" w:cstheme="majorHAnsi"/>
          <w:i/>
          <w:iCs/>
          <w:sz w:val="20"/>
        </w:rPr>
        <w:t>general worries</w:t>
      </w:r>
      <w:r>
        <w:rPr>
          <w:rFonts w:asciiTheme="majorHAnsi" w:hAnsiTheme="majorHAnsi" w:cstheme="majorHAnsi"/>
          <w:sz w:val="20"/>
        </w:rPr>
        <w:t xml:space="preserve"> ranges from 0 to 10.23; (2) </w:t>
      </w:r>
      <w:commentRangeStart w:id="64"/>
      <w:r>
        <w:rPr>
          <w:rFonts w:asciiTheme="majorHAnsi" w:hAnsiTheme="majorHAnsi" w:cstheme="majorHAnsi"/>
          <w:i/>
          <w:iCs/>
          <w:sz w:val="20"/>
        </w:rPr>
        <w:t>worries about discrimination</w:t>
      </w:r>
      <w:r>
        <w:rPr>
          <w:rFonts w:asciiTheme="majorHAnsi" w:hAnsiTheme="majorHAnsi" w:cstheme="majorHAnsi"/>
          <w:sz w:val="20"/>
        </w:rPr>
        <w:t xml:space="preserve"> ranges from -3.83 to 5.12; and (3) </w:t>
      </w:r>
      <w:r>
        <w:rPr>
          <w:rFonts w:asciiTheme="majorHAnsi" w:hAnsiTheme="majorHAnsi" w:cstheme="majorHAnsi"/>
          <w:i/>
          <w:iCs/>
          <w:sz w:val="20"/>
        </w:rPr>
        <w:t>worries about financial burdens</w:t>
      </w:r>
      <w:r>
        <w:rPr>
          <w:rFonts w:asciiTheme="majorHAnsi" w:hAnsiTheme="majorHAnsi" w:cstheme="majorHAnsi"/>
          <w:sz w:val="20"/>
        </w:rPr>
        <w:t xml:space="preserve"> ranges from -3.64 to 3.65</w:t>
      </w:r>
      <w:commentRangeEnd w:id="64"/>
      <w:r>
        <w:rPr>
          <w:rStyle w:val="CommentReference"/>
          <w:rFonts w:asciiTheme="majorHAnsi" w:hAnsiTheme="majorHAnsi" w:cstheme="majorHAnsi"/>
          <w:sz w:val="20"/>
          <w:szCs w:val="24"/>
        </w:rPr>
        <w:commentReference w:id="64"/>
      </w:r>
      <w:r>
        <w:rPr>
          <w:rFonts w:asciiTheme="majorHAnsi" w:hAnsiTheme="majorHAnsi" w:cstheme="majorHAnsi"/>
          <w:sz w:val="20"/>
        </w:rPr>
        <w:t>. Constructs were only created for high school students that reported non-missing values for all twelve items. The PCA proportion explained is reported in parentheses after each construct. See Data Analysis section for details on the construction of the worry indices.</w:t>
      </w:r>
    </w:p>
    <w:p w14:paraId="7439B09D" w14:textId="77777777"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In terms of broad concerns, we find trans and gender expansive students experience a higher level of general worries compared to cisgender students. When we correlated these worries to students’ high school experiences, there appeared to be a negative, fairly weak correlation between high school experience and general worries about college; that is, students who reported more negative experiences in high school, on average, reported more worries. </w:t>
      </w:r>
      <w:r>
        <w:rPr>
          <w:rFonts w:asciiTheme="majorHAnsi" w:hAnsiTheme="majorHAnsi" w:cstheme="majorHAnsi"/>
        </w:rPr>
        <w:lastRenderedPageBreak/>
        <w:t>However, there is almost no correlation between high school experience and worries about discrimination or financial burdens, respectively.</w:t>
      </w:r>
      <w:r>
        <w:rPr>
          <w:rFonts w:asciiTheme="majorHAnsi" w:hAnsiTheme="majorHAnsi" w:cstheme="majorHAnsi"/>
          <w:b/>
          <w:bCs/>
        </w:rPr>
        <w:t xml:space="preserve"> </w:t>
      </w:r>
    </w:p>
    <w:p w14:paraId="7439B09E" w14:textId="77777777"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Regression estimates for each component of worry by gender identity, with and without controls, are presented in Figures 5 through 7 (see Data Analysis for specification details). In all regressions, </w:t>
      </w:r>
      <w:r>
        <w:rPr>
          <w:rFonts w:asciiTheme="majorHAnsi" w:hAnsiTheme="majorHAnsi" w:cstheme="majorHAnsi"/>
          <w:i/>
          <w:iCs/>
        </w:rPr>
        <w:t>cisgender men</w:t>
      </w:r>
      <w:r>
        <w:rPr>
          <w:rFonts w:asciiTheme="majorHAnsi" w:hAnsiTheme="majorHAnsi" w:cstheme="majorHAnsi"/>
        </w:rPr>
        <w:t xml:space="preserve"> was set as the baseline comparison category. </w:t>
      </w:r>
    </w:p>
    <w:p w14:paraId="7439B09F" w14:textId="368F380B" w:rsidR="00BD041A"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Regression estimates for general college worries on gender categories are presented in Figure 5. Among trans and gender expansive students, we find no statistical differences in general worries between different gender identities. That is, the general worries of transgender men, transgender women, and nonbinary or gender questioning students were significantly higher than cisgender men, but not significantly different from each other. </w:t>
      </w:r>
    </w:p>
    <w:p w14:paraId="3AABCD96" w14:textId="77777777" w:rsidR="00662874" w:rsidRPr="00B621E1" w:rsidRDefault="00662874" w:rsidP="001B2966">
      <w:pPr>
        <w:spacing w:line="360" w:lineRule="auto"/>
        <w:ind w:firstLine="720"/>
        <w:rPr>
          <w:rFonts w:asciiTheme="majorHAnsi" w:hAnsiTheme="majorHAnsi" w:cstheme="majorHAnsi"/>
        </w:rPr>
      </w:pPr>
    </w:p>
    <w:p w14:paraId="7439B0A0" w14:textId="759B5383"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t>Figure 5</w:t>
      </w:r>
    </w:p>
    <w:p w14:paraId="7439B0A1"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 xml:space="preserve">Regression of General College Worries on Gender Identity </w:t>
      </w:r>
      <w:commentRangeStart w:id="65"/>
      <w:r>
        <w:rPr>
          <w:rFonts w:asciiTheme="majorHAnsi" w:hAnsiTheme="majorHAnsi" w:cstheme="majorHAnsi"/>
          <w:i/>
          <w:iCs/>
        </w:rPr>
        <w:t>Categories</w:t>
      </w:r>
      <w:commentRangeEnd w:id="65"/>
      <w:r w:rsidRPr="00B621E1">
        <w:rPr>
          <w:rStyle w:val="CommentReference"/>
          <w:rFonts w:asciiTheme="majorHAnsi" w:hAnsiTheme="majorHAnsi" w:cstheme="majorHAnsi"/>
          <w:i/>
          <w:iCs/>
          <w:sz w:val="24"/>
          <w:szCs w:val="24"/>
        </w:rPr>
        <w:commentReference w:id="65"/>
      </w:r>
    </w:p>
    <w:p w14:paraId="7439B0A2"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8" wp14:editId="02BE52F6">
            <wp:extent cx="5351929" cy="3656965"/>
            <wp:effectExtent l="0" t="0" r="0" b="63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6"/>
                    <a:srcRect t="2499" r="1488" b="4838"/>
                    <a:stretch>
                      <a:fillRect/>
                    </a:stretch>
                  </pic:blipFill>
                  <pic:spPr bwMode="auto">
                    <a:xfrm>
                      <a:off x="0" y="0"/>
                      <a:ext cx="5353205" cy="3657837"/>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77777777"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1DC69F2F" w14:textId="77777777" w:rsidR="00662874" w:rsidRDefault="00602BF5" w:rsidP="00662874">
      <w:pPr>
        <w:spacing w:line="360" w:lineRule="auto"/>
        <w:ind w:firstLine="720"/>
        <w:rPr>
          <w:rFonts w:asciiTheme="majorHAnsi" w:hAnsiTheme="majorHAnsi" w:cstheme="majorHAnsi"/>
        </w:rPr>
      </w:pPr>
      <w:r>
        <w:rPr>
          <w:rFonts w:asciiTheme="majorHAnsi" w:hAnsiTheme="majorHAnsi" w:cstheme="majorHAnsi"/>
        </w:rPr>
        <w:lastRenderedPageBreak/>
        <w:t>Additionally, results illustrate that trans and gender expansive students maintain higher levels of worry about discrimination compared to cisgender students (Figure 6),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7 suggests that worries about financial burdens do not differ by gender identity.</w:t>
      </w:r>
    </w:p>
    <w:p w14:paraId="352E7520" w14:textId="77777777" w:rsidR="00662874" w:rsidRDefault="00662874" w:rsidP="00662874">
      <w:pPr>
        <w:spacing w:line="360" w:lineRule="auto"/>
        <w:rPr>
          <w:rFonts w:asciiTheme="majorHAnsi" w:hAnsiTheme="majorHAnsi" w:cstheme="majorHAnsi"/>
        </w:rPr>
      </w:pPr>
    </w:p>
    <w:p w14:paraId="7439B0A6" w14:textId="22F8930F" w:rsidR="00BD041A" w:rsidRPr="00662874" w:rsidRDefault="00602BF5" w:rsidP="00662874">
      <w:pPr>
        <w:spacing w:line="360" w:lineRule="auto"/>
        <w:rPr>
          <w:rFonts w:asciiTheme="majorHAnsi" w:hAnsiTheme="majorHAnsi" w:cstheme="majorHAnsi"/>
        </w:rPr>
      </w:pPr>
      <w:r>
        <w:rPr>
          <w:rFonts w:asciiTheme="majorHAnsi" w:hAnsiTheme="majorHAnsi" w:cstheme="majorHAnsi"/>
          <w:b/>
          <w:bCs/>
        </w:rPr>
        <w:t>Figure 6</w:t>
      </w:r>
    </w:p>
    <w:p w14:paraId="7439B0A7"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Regression of Worries about Discrimination on Gender Identity Categories</w:t>
      </w:r>
    </w:p>
    <w:p w14:paraId="7439B0A8"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7"/>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77777777" w:rsidR="00BD041A" w:rsidRPr="00B621E1" w:rsidRDefault="00602BF5" w:rsidP="003F4E39">
      <w:pPr>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0C65722A" w14:textId="77777777" w:rsidR="006366C4" w:rsidRPr="00B621E1" w:rsidRDefault="006366C4" w:rsidP="001B2966">
      <w:pPr>
        <w:spacing w:line="360" w:lineRule="auto"/>
        <w:rPr>
          <w:rFonts w:asciiTheme="majorHAnsi" w:hAnsiTheme="majorHAnsi" w:cstheme="majorHAnsi"/>
          <w:b/>
          <w:bCs/>
        </w:rPr>
      </w:pPr>
      <w:r>
        <w:rPr>
          <w:rFonts w:asciiTheme="majorHAnsi" w:hAnsiTheme="majorHAnsi" w:cstheme="majorHAnsi"/>
          <w:b/>
          <w:bCs/>
        </w:rPr>
        <w:br w:type="page"/>
      </w:r>
    </w:p>
    <w:p w14:paraId="7439B0AB" w14:textId="09BEC3A2"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7</w:t>
      </w:r>
    </w:p>
    <w:p w14:paraId="7439B0AC"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 xml:space="preserve">Regression of Worries about Financial Burdens on Gender Identity </w:t>
      </w:r>
      <w:commentRangeStart w:id="66"/>
      <w:commentRangeStart w:id="67"/>
      <w:r>
        <w:rPr>
          <w:rFonts w:asciiTheme="majorHAnsi" w:hAnsiTheme="majorHAnsi" w:cstheme="majorHAnsi"/>
          <w:i/>
          <w:iCs/>
        </w:rPr>
        <w:t>Categories</w:t>
      </w:r>
      <w:commentRangeEnd w:id="66"/>
      <w:r w:rsidRPr="00B621E1">
        <w:rPr>
          <w:rStyle w:val="CommentReference"/>
          <w:rFonts w:asciiTheme="majorHAnsi" w:hAnsiTheme="majorHAnsi" w:cstheme="majorHAnsi"/>
          <w:i/>
          <w:iCs/>
          <w:sz w:val="24"/>
          <w:szCs w:val="24"/>
        </w:rPr>
        <w:commentReference w:id="66"/>
      </w:r>
      <w:commentRangeEnd w:id="67"/>
      <w:r w:rsidRPr="00B621E1">
        <w:rPr>
          <w:rStyle w:val="CommentReference"/>
          <w:rFonts w:asciiTheme="majorHAnsi" w:hAnsiTheme="majorHAnsi" w:cstheme="majorHAnsi"/>
          <w:i/>
          <w:iCs/>
          <w:sz w:val="24"/>
          <w:szCs w:val="24"/>
        </w:rPr>
        <w:commentReference w:id="67"/>
      </w:r>
    </w:p>
    <w:p w14:paraId="7439B0AE" w14:textId="39493948"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8"/>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77777777"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04331480" w14:textId="172AB0B9" w:rsidR="00871AA2" w:rsidRPr="00953074" w:rsidRDefault="00871AA2" w:rsidP="00953074">
      <w:pPr>
        <w:spacing w:line="360" w:lineRule="auto"/>
        <w:ind w:firstLine="720"/>
        <w:rPr>
          <w:rFonts w:asciiTheme="majorHAnsi" w:hAnsiTheme="majorHAnsi" w:cstheme="majorHAnsi"/>
        </w:rPr>
      </w:pPr>
      <w:bookmarkStart w:id="68" w:name="_1t7u8xxsbxel" w:colFirst="0" w:colLast="0"/>
      <w:bookmarkEnd w:id="68"/>
      <w:r>
        <w:rPr>
          <w:rFonts w:asciiTheme="majorHAnsi" w:hAnsiTheme="majorHAnsi" w:cstheme="majorHAnsi"/>
        </w:rPr>
        <w:t>We find a similar pattern when examining college concerns by sexual orientation. All non-heterosexual groups report significantly higher levels of general worries compared to straight/heterosexual students (Figure 8). The magnitude of these differences is fairly consistent across sexual orientation categories, with point estimates ranging from roughly 0.5 to 1.0 units above straight/heterosexual students. Other/queer/questioning students report the highest level of general worries (mean = 4.58), though the confidence interval is wider due to smaller sample size. These differences remain statistically significant after controlling for demographics and high school experience, though the estimates are somewhat attenuated.</w:t>
      </w:r>
    </w:p>
    <w:p w14:paraId="202E1ACE" w14:textId="3E8370D1" w:rsidR="00871AA2" w:rsidRPr="00953074" w:rsidRDefault="00871AA2" w:rsidP="00953074">
      <w:pPr>
        <w:spacing w:line="360" w:lineRule="auto"/>
        <w:ind w:firstLine="720"/>
        <w:rPr>
          <w:rFonts w:asciiTheme="majorHAnsi" w:hAnsiTheme="majorHAnsi" w:cstheme="majorHAnsi"/>
        </w:rPr>
      </w:pPr>
      <w:r>
        <w:rPr>
          <w:rFonts w:asciiTheme="majorHAnsi" w:hAnsiTheme="majorHAnsi" w:cstheme="majorHAnsi"/>
        </w:rPr>
        <w:lastRenderedPageBreak/>
        <w:t>Worries about discrimination also differ significantly by sexual orientation (Figure 9). All non-heterosexual groups report higher levels of worry about discrimination relative to straight/heterosexual students (mean = -1.39). Among sexual minority students, asexual/aromantic/demisexual and other/queer/questioning students report the largest differences, while bisexual/pansexual/omnisexual students report somewhat smaller but still significant differences. These estimates are robust to the inclusion of demographic controls and the high school experience index.</w:t>
      </w:r>
    </w:p>
    <w:p w14:paraId="599926DD" w14:textId="23C71459" w:rsidR="00871AA2" w:rsidRPr="00B621E1" w:rsidRDefault="00871AA2" w:rsidP="00871AA2">
      <w:pPr>
        <w:spacing w:line="360" w:lineRule="auto"/>
        <w:ind w:firstLine="720"/>
        <w:rPr>
          <w:rFonts w:asciiTheme="majorHAnsi" w:hAnsiTheme="majorHAnsi" w:cstheme="majorHAnsi"/>
        </w:rPr>
      </w:pPr>
      <w:r>
        <w:rPr>
          <w:rFonts w:asciiTheme="majorHAnsi" w:hAnsiTheme="majorHAnsi" w:cstheme="majorHAnsi"/>
        </w:rPr>
        <w:t>As with gender identity, worries about financial burdens do not differ meaningfully by sexual orientation (Figure 10). Point estimates are close to zero for most groups and confidence intervals generally overlap with the reference line, suggesting that financial concerns about college are not strongly associated with sexual orientation.</w:t>
      </w:r>
    </w:p>
    <w:p w14:paraId="7C82FEE7" w14:textId="77777777" w:rsidR="00896CB9" w:rsidRPr="00B621E1" w:rsidRDefault="00896CB9" w:rsidP="00896CB9">
      <w:pPr>
        <w:spacing w:line="360" w:lineRule="auto"/>
        <w:rPr>
          <w:rFonts w:asciiTheme="majorHAnsi" w:hAnsiTheme="majorHAnsi" w:cstheme="majorHAnsi"/>
        </w:rPr>
      </w:pPr>
    </w:p>
    <w:p w14:paraId="2B3F998E" w14:textId="716A7244" w:rsidR="00896CB9" w:rsidRPr="00B621E1" w:rsidRDefault="00896CB9" w:rsidP="00896CB9">
      <w:pPr>
        <w:spacing w:line="360" w:lineRule="auto"/>
        <w:rPr>
          <w:rFonts w:asciiTheme="majorHAnsi" w:hAnsiTheme="majorHAnsi" w:cstheme="majorHAnsi"/>
          <w:b/>
          <w:bCs/>
        </w:rPr>
      </w:pPr>
      <w:r>
        <w:rPr>
          <w:rFonts w:asciiTheme="majorHAnsi" w:hAnsiTheme="majorHAnsi" w:cstheme="majorHAnsi"/>
          <w:b/>
          <w:bCs/>
        </w:rPr>
        <w:t>Figure 8</w:t>
      </w:r>
    </w:p>
    <w:p w14:paraId="6A60C209" w14:textId="42647EFE" w:rsidR="00896CB9" w:rsidRPr="00953074" w:rsidRDefault="00896CB9" w:rsidP="00953074">
      <w:pPr>
        <w:spacing w:line="360" w:lineRule="auto"/>
        <w:rPr>
          <w:rFonts w:asciiTheme="majorHAnsi" w:hAnsiTheme="majorHAnsi" w:cstheme="majorHAnsi"/>
          <w:i/>
          <w:iCs/>
        </w:rPr>
      </w:pPr>
      <w:r>
        <w:rPr>
          <w:rFonts w:asciiTheme="majorHAnsi" w:hAnsiTheme="majorHAnsi" w:cstheme="majorHAnsi"/>
          <w:i/>
          <w:iCs/>
        </w:rPr>
        <w:t>Regression of General College Worries on Sexual Orientation</w:t>
      </w:r>
    </w:p>
    <w:p w14:paraId="56B54C34" w14:textId="77777777" w:rsidR="00871AA2" w:rsidRPr="00B621E1" w:rsidRDefault="00871AA2" w:rsidP="00871AA2">
      <w:pPr>
        <w:spacing w:line="360" w:lineRule="auto"/>
        <w:ind w:firstLine="720"/>
        <w:rPr>
          <w:rFonts w:asciiTheme="majorHAnsi" w:hAnsiTheme="majorHAnsi" w:cstheme="majorHAnsi"/>
        </w:rPr>
      </w:pPr>
    </w:p>
    <w:p w14:paraId="64609EC1" w14:textId="77777777" w:rsidR="00871AA2" w:rsidRPr="00B621E1" w:rsidRDefault="00871AA2" w:rsidP="00953074">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69AAF15D" wp14:editId="4023334A">
            <wp:extent cx="5033099" cy="3657600"/>
            <wp:effectExtent l="0" t="0" r="0" b="0"/>
            <wp:docPr id="1107634215" name="Picture 7" descr="A graph with blue and yellow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4215" name="Picture 7" descr="A graph with blue and yellow dots  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6AA295" w14:textId="405076C7" w:rsidR="000322E6" w:rsidRPr="00B621E1" w:rsidRDefault="000322E6" w:rsidP="000322E6">
      <w:pPr>
        <w:rPr>
          <w:rFonts w:asciiTheme="majorHAnsi" w:hAnsiTheme="majorHAnsi" w:cstheme="majorHAnsi"/>
          <w:sz w:val="20"/>
          <w:szCs w:val="20"/>
        </w:rPr>
      </w:pPr>
      <w:r>
        <w:rPr>
          <w:rFonts w:asciiTheme="majorHAnsi" w:hAnsiTheme="majorHAnsi" w:cstheme="majorHAnsi"/>
          <w:i/>
          <w:iCs/>
          <w:sz w:val="20"/>
          <w:szCs w:val="20"/>
        </w:rPr>
        <w:lastRenderedPageBreak/>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BBAF437" w14:textId="77777777" w:rsidR="00871AA2" w:rsidRPr="00B621E1" w:rsidRDefault="00871AA2" w:rsidP="000322E6">
      <w:pPr>
        <w:spacing w:line="360" w:lineRule="auto"/>
        <w:rPr>
          <w:rFonts w:asciiTheme="majorHAnsi" w:hAnsiTheme="majorHAnsi" w:cstheme="majorHAnsi"/>
        </w:rPr>
      </w:pPr>
    </w:p>
    <w:p w14:paraId="3B1A2076" w14:textId="14628911" w:rsidR="000322E6" w:rsidRPr="00B621E1" w:rsidRDefault="000322E6" w:rsidP="000322E6">
      <w:pPr>
        <w:spacing w:line="360" w:lineRule="auto"/>
        <w:rPr>
          <w:rFonts w:asciiTheme="majorHAnsi" w:hAnsiTheme="majorHAnsi" w:cstheme="majorHAnsi"/>
          <w:b/>
          <w:bCs/>
        </w:rPr>
      </w:pPr>
      <w:r>
        <w:rPr>
          <w:rFonts w:asciiTheme="majorHAnsi" w:hAnsiTheme="majorHAnsi" w:cstheme="majorHAnsi"/>
          <w:b/>
          <w:bCs/>
        </w:rPr>
        <w:t>Figure 9</w:t>
      </w:r>
    </w:p>
    <w:p w14:paraId="14E2D760" w14:textId="1E0E13E0" w:rsidR="000322E6" w:rsidRPr="00953074" w:rsidRDefault="000322E6" w:rsidP="00953074">
      <w:pPr>
        <w:spacing w:line="360" w:lineRule="auto"/>
        <w:rPr>
          <w:rFonts w:asciiTheme="majorHAnsi" w:hAnsiTheme="majorHAnsi" w:cstheme="majorHAnsi"/>
          <w:i/>
          <w:iCs/>
        </w:rPr>
      </w:pPr>
      <w:r>
        <w:rPr>
          <w:rFonts w:asciiTheme="majorHAnsi" w:hAnsiTheme="majorHAnsi" w:cstheme="majorHAnsi"/>
          <w:i/>
          <w:iCs/>
        </w:rPr>
        <w:t>Regression of College Worries about Discrimination on Sexual Orientation</w:t>
      </w:r>
    </w:p>
    <w:p w14:paraId="5CDA6F54" w14:textId="77777777" w:rsidR="00871AA2" w:rsidRPr="00B621E1" w:rsidRDefault="00871AA2" w:rsidP="00871AA2">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188938AA" wp14:editId="1D28C53B">
            <wp:extent cx="5033099" cy="3657600"/>
            <wp:effectExtent l="0" t="0" r="0" b="0"/>
            <wp:docPr id="170835997" name="Picture 8"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997" name="Picture 8" descr="A graph with numbers and lines  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80C2E8" w14:textId="77777777" w:rsidR="000322E6" w:rsidRPr="00B621E1" w:rsidRDefault="000322E6" w:rsidP="000322E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1461DB1" w14:textId="77777777" w:rsidR="000D563E" w:rsidRPr="00B621E1" w:rsidRDefault="000D563E" w:rsidP="000D563E">
      <w:pPr>
        <w:spacing w:line="360" w:lineRule="auto"/>
        <w:rPr>
          <w:rFonts w:asciiTheme="majorHAnsi" w:hAnsiTheme="majorHAnsi" w:cstheme="majorHAnsi"/>
          <w:b/>
          <w:bCs/>
        </w:rPr>
      </w:pPr>
    </w:p>
    <w:p w14:paraId="74F741AD" w14:textId="77777777" w:rsidR="000D563E" w:rsidRPr="00B621E1" w:rsidRDefault="000D563E" w:rsidP="000D563E">
      <w:pPr>
        <w:spacing w:line="360" w:lineRule="auto"/>
        <w:rPr>
          <w:rFonts w:asciiTheme="majorHAnsi" w:hAnsiTheme="majorHAnsi" w:cstheme="majorHAnsi"/>
          <w:b/>
          <w:bCs/>
        </w:rPr>
      </w:pPr>
    </w:p>
    <w:p w14:paraId="1D46C014" w14:textId="77777777" w:rsidR="000D563E" w:rsidRPr="00B621E1" w:rsidRDefault="000D563E" w:rsidP="000D563E">
      <w:pPr>
        <w:spacing w:line="360" w:lineRule="auto"/>
        <w:rPr>
          <w:rFonts w:asciiTheme="majorHAnsi" w:hAnsiTheme="majorHAnsi" w:cstheme="majorHAnsi"/>
          <w:b/>
          <w:bCs/>
        </w:rPr>
      </w:pPr>
    </w:p>
    <w:p w14:paraId="3F1C7799" w14:textId="77777777" w:rsidR="000D563E" w:rsidRPr="00B621E1" w:rsidRDefault="000D563E" w:rsidP="000D563E">
      <w:pPr>
        <w:spacing w:line="360" w:lineRule="auto"/>
        <w:rPr>
          <w:rFonts w:asciiTheme="majorHAnsi" w:hAnsiTheme="majorHAnsi" w:cstheme="majorHAnsi"/>
          <w:b/>
          <w:bCs/>
        </w:rPr>
      </w:pPr>
    </w:p>
    <w:p w14:paraId="00CF2287" w14:textId="77777777" w:rsidR="000D563E" w:rsidRPr="00B621E1" w:rsidRDefault="000D563E" w:rsidP="000D563E">
      <w:pPr>
        <w:spacing w:line="360" w:lineRule="auto"/>
        <w:rPr>
          <w:rFonts w:asciiTheme="majorHAnsi" w:hAnsiTheme="majorHAnsi" w:cstheme="majorHAnsi"/>
          <w:b/>
          <w:bCs/>
        </w:rPr>
      </w:pPr>
    </w:p>
    <w:p w14:paraId="3091748A" w14:textId="77777777" w:rsidR="000D563E" w:rsidRPr="00B621E1" w:rsidRDefault="000D563E" w:rsidP="000D563E">
      <w:pPr>
        <w:spacing w:line="360" w:lineRule="auto"/>
        <w:rPr>
          <w:rFonts w:asciiTheme="majorHAnsi" w:hAnsiTheme="majorHAnsi" w:cstheme="majorHAnsi"/>
          <w:b/>
          <w:bCs/>
        </w:rPr>
      </w:pPr>
    </w:p>
    <w:p w14:paraId="1E6C188B" w14:textId="77777777" w:rsidR="000D563E" w:rsidRPr="00B621E1" w:rsidRDefault="000D563E" w:rsidP="000D563E">
      <w:pPr>
        <w:spacing w:line="360" w:lineRule="auto"/>
        <w:rPr>
          <w:rFonts w:asciiTheme="majorHAnsi" w:hAnsiTheme="majorHAnsi" w:cstheme="majorHAnsi"/>
          <w:b/>
          <w:bCs/>
        </w:rPr>
      </w:pPr>
    </w:p>
    <w:p w14:paraId="20C731AE" w14:textId="77777777" w:rsidR="000D563E" w:rsidRPr="00B621E1" w:rsidRDefault="000D563E" w:rsidP="000D563E">
      <w:pPr>
        <w:spacing w:line="360" w:lineRule="auto"/>
        <w:rPr>
          <w:rFonts w:asciiTheme="majorHAnsi" w:hAnsiTheme="majorHAnsi" w:cstheme="majorHAnsi"/>
          <w:b/>
          <w:bCs/>
        </w:rPr>
      </w:pPr>
    </w:p>
    <w:p w14:paraId="25B1B63A" w14:textId="5979B35B" w:rsidR="000D563E" w:rsidRPr="00B621E1" w:rsidRDefault="000D563E" w:rsidP="000D563E">
      <w:pPr>
        <w:spacing w:line="360" w:lineRule="auto"/>
        <w:rPr>
          <w:rFonts w:asciiTheme="majorHAnsi" w:hAnsiTheme="majorHAnsi" w:cstheme="majorHAnsi"/>
          <w:b/>
          <w:bCs/>
        </w:rPr>
      </w:pPr>
      <w:r>
        <w:rPr>
          <w:rFonts w:asciiTheme="majorHAnsi" w:hAnsiTheme="majorHAnsi" w:cstheme="majorHAnsi"/>
          <w:b/>
          <w:bCs/>
        </w:rPr>
        <w:lastRenderedPageBreak/>
        <w:t>Figure 10</w:t>
      </w:r>
    </w:p>
    <w:p w14:paraId="64FE7472" w14:textId="6A2380DC" w:rsidR="00871AA2" w:rsidRPr="00D5066E" w:rsidRDefault="000D563E" w:rsidP="00D5066E">
      <w:pPr>
        <w:spacing w:line="360" w:lineRule="auto"/>
        <w:rPr>
          <w:rFonts w:asciiTheme="majorHAnsi" w:hAnsiTheme="majorHAnsi" w:cstheme="majorHAnsi"/>
          <w:i/>
          <w:iCs/>
        </w:rPr>
      </w:pPr>
      <w:r>
        <w:rPr>
          <w:rFonts w:asciiTheme="majorHAnsi" w:hAnsiTheme="majorHAnsi" w:cstheme="majorHAnsi"/>
          <w:i/>
          <w:iCs/>
        </w:rPr>
        <w:t>Regression of College Worries about Financial Burdens on Sexual Orientation</w:t>
      </w:r>
    </w:p>
    <w:p w14:paraId="7FD479CF" w14:textId="54F20D8B" w:rsidR="00871AA2" w:rsidRPr="00B621E1" w:rsidRDefault="00871AA2" w:rsidP="00D5066E">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5224DA5A" wp14:editId="6DE8F5C0">
            <wp:extent cx="5033099" cy="3657600"/>
            <wp:effectExtent l="0" t="0" r="0" b="0"/>
            <wp:docPr id="985779706" name="Picture 9"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9706" name="Picture 9" descr="A graph with numbers and lines  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CF4E8AA" w14:textId="04E2E052" w:rsidR="00871AA2" w:rsidRPr="00D5066E" w:rsidRDefault="000322E6" w:rsidP="00D5066E">
      <w:pPr>
        <w:rPr>
          <w:rFonts w:asciiTheme="majorHAnsi" w:hAnsiTheme="majorHAnsi" w:cstheme="majorHAnsi"/>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61BE3B6B" w14:textId="77777777" w:rsidR="00871AA2" w:rsidRPr="00D5066E" w:rsidRDefault="00871AA2" w:rsidP="00D5066E">
      <w:pPr>
        <w:rPr>
          <w:rFonts w:asciiTheme="majorHAnsi" w:hAnsiTheme="majorHAnsi" w:cstheme="majorHAnsi"/>
        </w:rPr>
      </w:pPr>
    </w:p>
    <w:p w14:paraId="3AB9505E" w14:textId="5CAEE2AB" w:rsidR="001751C5" w:rsidRPr="001751C5" w:rsidRDefault="001751C5" w:rsidP="001A3945">
      <w:pPr>
        <w:pStyle w:val="Heading1"/>
        <w:spacing w:line="360" w:lineRule="auto"/>
        <w:jc w:val="left"/>
        <w:rPr>
          <w:rFonts w:asciiTheme="majorHAnsi" w:hAnsiTheme="majorHAnsi" w:cstheme="majorHAnsi"/>
          <w:b/>
          <w:bCs/>
          <w:sz w:val="24"/>
          <w:szCs w:val="28"/>
        </w:rPr>
      </w:pPr>
      <w:r>
        <w:rPr>
          <w:rFonts w:asciiTheme="majorHAnsi" w:hAnsiTheme="majorHAnsi" w:cstheme="majorHAnsi"/>
          <w:b/>
          <w:bCs/>
          <w:sz w:val="24"/>
          <w:szCs w:val="28"/>
        </w:rPr>
        <w:t>Bullying as a Potential Mediator of College Worries</w:t>
      </w:r>
    </w:p>
    <w:p w14:paraId="0B90066B" w14:textId="3FE4625E"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To investigate whether bullying experiences help explain the observed differences in college worries, we estimated additional models that control for the frequency of bullying or harassment in the past year, alongside demographic controls and the high school experience index (results are presented in Appendix J).</w:t>
      </w:r>
    </w:p>
    <w:p w14:paraId="1B626518" w14:textId="6FA09F9E"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 xml:space="preserve">For general worries by gender identity, controlling for bullying modestly attenuates the coefficients but does not substantively change the pattern of results (Appendix Figure J1). For example, the coefficient for nonbinary students decreases from 1.64 to 1.49, and for gender diverse/questioning students from 1.81 to 1.62, but all trans and gender expansive categories remain significantly higher than cisgender men. The bullying coefficients themselves are </w:t>
      </w:r>
      <w:r>
        <w:rPr>
          <w:rFonts w:asciiTheme="majorHAnsi" w:hAnsiTheme="majorHAnsi" w:cstheme="majorHAnsi"/>
        </w:rPr>
        <w:lastRenderedPageBreak/>
        <w:t>positive and significant, indicating that students who experienced more frequent bullying report higher general worries about college, though this association does not fully account for the gender identity differences. A similar pattern holds by sexual orientation (Appendix Figure J2): all non-heterosexual groups continue to report significantly higher general worries after controlling for bullying, with only modest attenuation of the coefficients.</w:t>
      </w:r>
    </w:p>
    <w:p w14:paraId="5A903F0B" w14:textId="0C30F176"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For worries about discrimination, the results are even more striking. After controlling for bullying, the coefficients for gender identity remain large and highly significant (Appendix Figure J3). Transgender men maintain the highest level of worry about discrimination relative to cisgender men (b = 1.48), followed by transgender women (b = 1.22), nonbinary students (b = 0.97), and gender diverse/questioning students (b = 0.73). The persistence of these large coefficients after controlling for bullying suggests that worry about discrimination is not simply a reflection of past bullying experiences but may reflect broader anticipation of discrimination in the college environment. By sexual orientation (Appendix Figure J4), all non-heterosexual groups likewise maintain significantly elevated worries about discrimination after controlling for bullying, with other/queer/questioning students (b = 0.71) and asexual/aromantic/demisexual students (b = 0.62) reporting the largest differences.</w:t>
      </w:r>
    </w:p>
    <w:p w14:paraId="5D6FB7B2" w14:textId="3C2EDD83"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Consistent with the earlier findings, worries about financial burdens remain unrelated to either gender identity or sexual orientation after controlling for bullying (Appendix Figures J5 and J6). The bullying coefficients themselves are small and largely non-significant in the financial burden models, confirming that financial concerns about college operate independently of both identity-based differences and bullying experiences.</w:t>
      </w:r>
    </w:p>
    <w:p w14:paraId="3725D88B" w14:textId="77777777" w:rsidR="001751C5" w:rsidRDefault="001751C5" w:rsidP="004F595A">
      <w:pPr>
        <w:pStyle w:val="Heading1"/>
        <w:spacing w:before="0" w:after="0" w:line="360" w:lineRule="auto"/>
        <w:jc w:val="left"/>
        <w:rPr>
          <w:rFonts w:asciiTheme="majorHAnsi" w:hAnsiTheme="majorHAnsi" w:cstheme="majorHAnsi"/>
          <w:b/>
          <w:bCs/>
          <w:sz w:val="24"/>
          <w:szCs w:val="28"/>
        </w:rPr>
      </w:pPr>
    </w:p>
    <w:p w14:paraId="53043AF1" w14:textId="21E707E0" w:rsidR="004F595A" w:rsidRPr="00D5066E" w:rsidRDefault="008849FD" w:rsidP="004F595A">
      <w:pPr>
        <w:pStyle w:val="Heading1"/>
        <w:spacing w:before="0" w:after="0" w:line="360" w:lineRule="auto"/>
        <w:jc w:val="left"/>
        <w:rPr>
          <w:rFonts w:asciiTheme="majorHAnsi" w:hAnsiTheme="majorHAnsi" w:cstheme="majorHAnsi"/>
          <w:b/>
          <w:bCs/>
          <w:sz w:val="28"/>
          <w:szCs w:val="28"/>
        </w:rPr>
      </w:pPr>
      <w:r>
        <w:rPr>
          <w:rFonts w:asciiTheme="majorHAnsi" w:hAnsiTheme="majorHAnsi" w:cstheme="majorHAnsi"/>
          <w:b/>
          <w:bCs/>
          <w:sz w:val="24"/>
          <w:szCs w:val="28"/>
        </w:rPr>
        <w:t xml:space="preserve">Postsecondary Education Plans </w:t>
      </w:r>
    </w:p>
    <w:p w14:paraId="6455FFB9" w14:textId="229EE8EC" w:rsidR="004F595A" w:rsidRPr="006159A0" w:rsidRDefault="004F595A" w:rsidP="004F595A">
      <w:pPr>
        <w:spacing w:line="360" w:lineRule="auto"/>
        <w:ind w:firstLine="720"/>
        <w:rPr>
          <w:rFonts w:asciiTheme="majorHAnsi" w:hAnsiTheme="majorHAnsi" w:cstheme="majorHAnsi"/>
        </w:rPr>
      </w:pPr>
      <w:r>
        <w:rPr>
          <w:rFonts w:asciiTheme="majorHAnsi" w:hAnsiTheme="majorHAnsi" w:cstheme="majorHAnsi"/>
        </w:rPr>
        <w:t xml:space="preserve">We first explore patterns in academic plans across gender identity, including college program type, intended field of study, and the highest degree students planned to pursue. Findings indicate that most students planned to enroll in a four-year college compared to a two-year college across gender identity (Figure 11); however, more transgender and nonbinary students planned to enroll in four-year colleges compared to their cisgender peers. Conversely, </w:t>
      </w:r>
      <w:r>
        <w:rPr>
          <w:rFonts w:asciiTheme="majorHAnsi" w:hAnsiTheme="majorHAnsi" w:cstheme="majorHAnsi"/>
        </w:rPr>
        <w:lastRenderedPageBreak/>
        <w:t>students that identified as gender diverse or questioning intended to enroll in a two-year or four-year college at nearly similar rates (49.3% and 50.7%, respectively).</w:t>
      </w:r>
    </w:p>
    <w:p w14:paraId="524043AF" w14:textId="3FA7D335"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t>Figure 11</w:t>
      </w:r>
    </w:p>
    <w:p w14:paraId="0671647F" w14:textId="77777777" w:rsidR="004F595A" w:rsidRPr="00B621E1" w:rsidRDefault="004F595A" w:rsidP="004F595A">
      <w:pPr>
        <w:spacing w:line="360" w:lineRule="auto"/>
        <w:rPr>
          <w:rFonts w:asciiTheme="majorHAnsi" w:hAnsiTheme="majorHAnsi" w:cstheme="majorHAnsi"/>
          <w:i/>
          <w:iCs/>
        </w:rPr>
      </w:pPr>
      <w:commentRangeStart w:id="69"/>
      <w:r>
        <w:rPr>
          <w:rFonts w:asciiTheme="majorHAnsi" w:hAnsiTheme="majorHAnsi" w:cstheme="majorHAnsi"/>
          <w:i/>
          <w:iCs/>
        </w:rPr>
        <w:t>Plans for Two- or Four- Year College Enrollment Among 12</w:t>
      </w:r>
      <w:r>
        <w:rPr>
          <w:rFonts w:asciiTheme="majorHAnsi" w:hAnsiTheme="majorHAnsi" w:cstheme="majorHAnsi"/>
          <w:i/>
          <w:iCs/>
          <w:vertAlign w:val="superscript"/>
        </w:rPr>
        <w:t>th</w:t>
      </w:r>
      <w:r>
        <w:rPr>
          <w:rFonts w:asciiTheme="majorHAnsi" w:hAnsiTheme="majorHAnsi" w:cstheme="majorHAnsi"/>
          <w:i/>
          <w:iCs/>
        </w:rPr>
        <w:t xml:space="preserve"> Grade Participants (n = 7,522) by Gender</w:t>
      </w:r>
      <w:commentRangeEnd w:id="69"/>
      <w:r>
        <w:rPr>
          <w:rStyle w:val="CommentReference"/>
          <w:rFonts w:asciiTheme="majorHAnsi" w:hAnsiTheme="majorHAnsi" w:cstheme="majorHAnsi"/>
          <w:noProof/>
          <w:sz w:val="24"/>
          <w:szCs w:val="24"/>
        </w:rPr>
        <w:commentReference w:id="69"/>
      </w:r>
      <w:r>
        <w:rPr>
          <w:rFonts w:asciiTheme="majorHAnsi" w:hAnsiTheme="majorHAnsi" w:cstheme="majorHAnsi"/>
          <w:noProof/>
        </w:rPr>
        <w:drawing>
          <wp:inline distT="0" distB="0" distL="0" distR="0" wp14:anchorId="5A6FD15C" wp14:editId="0EBFA817">
            <wp:extent cx="5773271" cy="3052556"/>
            <wp:effectExtent l="0" t="0" r="5715" b="0"/>
            <wp:docPr id="837335964" name="Picture 1" descr="A graph with numbers and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  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47292065" w14:textId="77777777" w:rsidR="004F595A" w:rsidRPr="00B621E1" w:rsidRDefault="004F595A" w:rsidP="004F595A">
      <w:pPr>
        <w:spacing w:after="240"/>
        <w:rPr>
          <w:rFonts w:asciiTheme="majorHAnsi" w:hAnsiTheme="majorHAnsi" w:cstheme="majorHAnsi"/>
          <w:sz w:val="20"/>
          <w:szCs w:val="20"/>
        </w:rPr>
      </w:pPr>
    </w:p>
    <w:p w14:paraId="0FCCAEBE" w14:textId="3650DF39" w:rsidR="004F595A" w:rsidRPr="00B621E1" w:rsidRDefault="004F595A" w:rsidP="004F595A">
      <w:pPr>
        <w:spacing w:line="360" w:lineRule="auto"/>
        <w:ind w:firstLine="720"/>
        <w:rPr>
          <w:rFonts w:asciiTheme="majorHAnsi" w:hAnsiTheme="majorHAnsi" w:cstheme="majorHAnsi"/>
        </w:rPr>
        <w:sectPr w:rsidR="004F595A" w:rsidRPr="00B621E1" w:rsidSect="001112B8">
          <w:headerReference w:type="even" r:id="rId23"/>
          <w:headerReference w:type="default" r:id="rId24"/>
          <w:footerReference w:type="default" r:id="rId25"/>
          <w:pgSz w:w="12240" w:h="15840"/>
          <w:pgMar w:top="1440" w:right="1440" w:bottom="1440" w:left="1440" w:header="720" w:footer="720" w:gutter="0"/>
          <w:cols w:space="720"/>
          <w:docGrid w:linePitch="326"/>
        </w:sectPr>
      </w:pPr>
      <w:r>
        <w:rPr>
          <w:rFonts w:asciiTheme="majorHAnsi" w:hAnsiTheme="majorHAnsi" w:cstheme="majorHAnsi"/>
        </w:rPr>
        <w:t xml:space="preserve">Differences also emerged in </w:t>
      </w:r>
      <w:commentRangeStart w:id="70"/>
      <w:commentRangeStart w:id="71"/>
      <w:r>
        <w:rPr>
          <w:rFonts w:asciiTheme="majorHAnsi" w:hAnsiTheme="majorHAnsi" w:cstheme="majorHAnsi"/>
        </w:rPr>
        <w:t>students’ intended field of study (Table 5).</w:t>
      </w:r>
      <w:commentRangeEnd w:id="70"/>
      <w:r>
        <w:rPr>
          <w:rStyle w:val="CommentReference"/>
          <w:rFonts w:asciiTheme="majorHAnsi" w:hAnsiTheme="majorHAnsi" w:cstheme="majorHAnsi"/>
          <w:sz w:val="24"/>
          <w:szCs w:val="24"/>
        </w:rPr>
        <w:commentReference w:id="70"/>
      </w:r>
      <w:commentRangeEnd w:id="71"/>
      <w:r>
        <w:rPr>
          <w:rStyle w:val="CommentReference"/>
          <w:rFonts w:asciiTheme="majorHAnsi" w:hAnsiTheme="majorHAnsi" w:cstheme="majorHAnsi"/>
          <w:sz w:val="24"/>
          <w:szCs w:val="24"/>
        </w:rPr>
        <w:commentReference w:id="71"/>
      </w:r>
      <w:r>
        <w:rPr>
          <w:rFonts w:asciiTheme="majorHAnsi" w:hAnsiTheme="majorHAnsi" w:cstheme="majorHAnsi"/>
        </w:rPr>
        <w:t xml:space="preserve"> Overall, most students planned to study natural sciences (16.3%), engineering (16.2%), and health sciences (14.8%), including trans and gender expansive students.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w:t>
      </w:r>
      <w:commentRangeStart w:id="72"/>
      <w:r>
        <w:rPr>
          <w:rFonts w:asciiTheme="majorHAnsi" w:hAnsiTheme="majorHAnsi" w:cstheme="majorHAnsi"/>
        </w:rPr>
        <w:t>31</w:t>
      </w:r>
      <w:commentRangeEnd w:id="72"/>
      <w:r>
        <w:rPr>
          <w:rStyle w:val="CommentReference"/>
          <w:rFonts w:asciiTheme="majorHAnsi" w:hAnsiTheme="majorHAnsi" w:cstheme="majorHAnsi"/>
          <w:sz w:val="24"/>
          <w:szCs w:val="24"/>
        </w:rPr>
        <w:commentReference w:id="72"/>
      </w:r>
      <w:r>
        <w:rPr>
          <w:rFonts w:asciiTheme="majorHAnsi" w:hAnsiTheme="majorHAnsi" w:cstheme="majorHAnsi"/>
        </w:rPr>
        <w:t>.0%), transgender men (28.8%), nonbinary students (25.5%), and transgender women (25.0%) all indicated this field at much higher rates than the sample overall (11.4%).</w:t>
      </w:r>
    </w:p>
    <w:p w14:paraId="3A585FA7" w14:textId="75C98335" w:rsidR="004F595A" w:rsidRPr="00B621E1" w:rsidRDefault="004F595A" w:rsidP="004F595A">
      <w:pPr>
        <w:widowControl w:val="0"/>
        <w:spacing w:line="360" w:lineRule="auto"/>
        <w:rPr>
          <w:rFonts w:asciiTheme="majorHAnsi" w:hAnsiTheme="majorHAnsi" w:cstheme="majorHAnsi"/>
          <w:b/>
          <w:bCs/>
        </w:rPr>
      </w:pPr>
      <w:r>
        <w:rPr>
          <w:rFonts w:asciiTheme="majorHAnsi" w:hAnsiTheme="majorHAnsi" w:cstheme="majorHAnsi"/>
          <w:b/>
          <w:bCs/>
        </w:rPr>
        <w:lastRenderedPageBreak/>
        <w:t>Table 5</w:t>
      </w:r>
    </w:p>
    <w:p w14:paraId="6B5A5F15" w14:textId="77777777" w:rsidR="004F595A" w:rsidRPr="00B621E1" w:rsidRDefault="004F595A" w:rsidP="004F595A">
      <w:pPr>
        <w:widowControl w:val="0"/>
        <w:spacing w:line="360" w:lineRule="auto"/>
        <w:rPr>
          <w:rFonts w:asciiTheme="majorHAnsi" w:hAnsiTheme="majorHAnsi" w:cstheme="majorHAnsi"/>
        </w:rPr>
      </w:pPr>
      <w:commentRangeStart w:id="73"/>
      <w:r>
        <w:rPr>
          <w:rFonts w:asciiTheme="majorHAnsi" w:hAnsiTheme="majorHAnsi" w:cstheme="majorHAnsi"/>
          <w:i/>
          <w:iCs/>
        </w:rPr>
        <w:t>Intended Field of Study by Gender Identity</w:t>
      </w:r>
      <w:commentRangeEnd w:id="73"/>
      <w:r>
        <w:rPr>
          <w:rStyle w:val="CommentReference"/>
          <w:rFonts w:asciiTheme="majorHAnsi" w:hAnsiTheme="majorHAnsi" w:cstheme="majorHAnsi"/>
          <w:i/>
          <w:iCs/>
          <w:sz w:val="24"/>
          <w:szCs w:val="24"/>
        </w:rPr>
        <w:commentReference w:id="73"/>
      </w:r>
      <w:r>
        <w:rPr>
          <w:rFonts w:asciiTheme="majorHAnsi" w:hAnsiTheme="majorHAnsi" w:cstheme="majorHAnsi"/>
          <w:i/>
          <w:iCs/>
        </w:rPr>
        <w:t xml:space="preserve"> (n = 7,499)</w:t>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4F595A" w:rsidRPr="00B621E1" w14:paraId="63AC5650" w14:textId="77777777" w:rsidTr="00EE5F9A">
        <w:trPr>
          <w:cantSplit/>
          <w:trHeight w:val="656"/>
        </w:trPr>
        <w:tc>
          <w:tcPr>
            <w:tcW w:w="840" w:type="pct"/>
            <w:tcBorders>
              <w:top w:val="single" w:sz="4" w:space="0" w:color="000000"/>
              <w:left w:val="nil"/>
              <w:bottom w:val="single" w:sz="4" w:space="0" w:color="000000"/>
              <w:right w:val="nil"/>
            </w:tcBorders>
            <w:vAlign w:val="center"/>
          </w:tcPr>
          <w:p w14:paraId="04FEAB88" w14:textId="77777777" w:rsidR="004F595A" w:rsidRPr="00B621E1" w:rsidRDefault="004F595A" w:rsidP="00EE5F9A">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390740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664121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6B9DA0F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193471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0BE2EE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1BD8DD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69B6D3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25D3A8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43E1E39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4BE509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2CB9819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N</w:t>
            </w:r>
          </w:p>
        </w:tc>
      </w:tr>
      <w:tr w:rsidR="004F595A" w:rsidRPr="00B621E1" w14:paraId="0BF1C205" w14:textId="77777777" w:rsidTr="00EE5F9A">
        <w:trPr>
          <w:trHeight w:val="63"/>
        </w:trPr>
        <w:tc>
          <w:tcPr>
            <w:tcW w:w="840" w:type="pct"/>
            <w:tcBorders>
              <w:top w:val="single" w:sz="4" w:space="0" w:color="000000"/>
              <w:left w:val="nil"/>
              <w:bottom w:val="single" w:sz="4" w:space="0" w:color="000000"/>
              <w:right w:val="nil"/>
            </w:tcBorders>
            <w:vAlign w:val="center"/>
          </w:tcPr>
          <w:p w14:paraId="6578359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4FABFB3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13D0D99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4E37B4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4A151D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270CE6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34E3062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046FAFD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4BB9318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1AAEF0C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4456B9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4E0E0C1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r w:rsidR="004F595A" w:rsidRPr="00B621E1" w14:paraId="1ABFCFA6" w14:textId="77777777" w:rsidTr="00EE5F9A">
        <w:trPr>
          <w:trHeight w:val="99"/>
        </w:trPr>
        <w:tc>
          <w:tcPr>
            <w:tcW w:w="840" w:type="pct"/>
            <w:tcBorders>
              <w:top w:val="nil"/>
              <w:left w:val="nil"/>
              <w:bottom w:val="nil"/>
              <w:right w:val="nil"/>
            </w:tcBorders>
            <w:vAlign w:val="center"/>
          </w:tcPr>
          <w:p w14:paraId="54ACE520"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07DED6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12.1</w:t>
            </w:r>
          </w:p>
        </w:tc>
        <w:tc>
          <w:tcPr>
            <w:tcW w:w="373" w:type="pct"/>
            <w:tcBorders>
              <w:top w:val="nil"/>
              <w:left w:val="nil"/>
              <w:bottom w:val="nil"/>
              <w:right w:val="nil"/>
            </w:tcBorders>
            <w:vAlign w:val="center"/>
          </w:tcPr>
          <w:p w14:paraId="0AC525A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30.0</w:t>
            </w:r>
          </w:p>
        </w:tc>
        <w:tc>
          <w:tcPr>
            <w:tcW w:w="457" w:type="pct"/>
            <w:tcBorders>
              <w:top w:val="nil"/>
              <w:left w:val="nil"/>
              <w:bottom w:val="nil"/>
              <w:right w:val="nil"/>
            </w:tcBorders>
            <w:vAlign w:val="center"/>
          </w:tcPr>
          <w:p w14:paraId="48434F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12.2</w:t>
            </w:r>
          </w:p>
        </w:tc>
        <w:tc>
          <w:tcPr>
            <w:tcW w:w="420" w:type="pct"/>
            <w:tcBorders>
              <w:top w:val="nil"/>
              <w:left w:val="nil"/>
              <w:bottom w:val="nil"/>
              <w:right w:val="nil"/>
            </w:tcBorders>
            <w:vAlign w:val="center"/>
          </w:tcPr>
          <w:p w14:paraId="595F82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420" w:type="pct"/>
            <w:tcBorders>
              <w:top w:val="nil"/>
              <w:left w:val="nil"/>
              <w:bottom w:val="nil"/>
              <w:right w:val="nil"/>
            </w:tcBorders>
            <w:vAlign w:val="center"/>
          </w:tcPr>
          <w:p w14:paraId="40263AA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8.9</w:t>
            </w:r>
          </w:p>
        </w:tc>
        <w:tc>
          <w:tcPr>
            <w:tcW w:w="373" w:type="pct"/>
            <w:tcBorders>
              <w:top w:val="nil"/>
              <w:left w:val="nil"/>
              <w:bottom w:val="nil"/>
              <w:right w:val="nil"/>
            </w:tcBorders>
            <w:vAlign w:val="center"/>
          </w:tcPr>
          <w:p w14:paraId="15A453B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8.0</w:t>
            </w:r>
          </w:p>
        </w:tc>
        <w:tc>
          <w:tcPr>
            <w:tcW w:w="280" w:type="pct"/>
            <w:tcBorders>
              <w:top w:val="nil"/>
              <w:left w:val="nil"/>
              <w:bottom w:val="nil"/>
              <w:right w:val="nil"/>
            </w:tcBorders>
            <w:vAlign w:val="center"/>
          </w:tcPr>
          <w:p w14:paraId="5C2D28F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B8870A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7.0</w:t>
            </w:r>
          </w:p>
        </w:tc>
        <w:tc>
          <w:tcPr>
            <w:tcW w:w="373" w:type="pct"/>
            <w:tcBorders>
              <w:top w:val="nil"/>
              <w:left w:val="nil"/>
              <w:bottom w:val="nil"/>
              <w:right w:val="nil"/>
            </w:tcBorders>
            <w:vAlign w:val="center"/>
          </w:tcPr>
          <w:p w14:paraId="4C55AA7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4.3</w:t>
            </w:r>
          </w:p>
        </w:tc>
        <w:tc>
          <w:tcPr>
            <w:tcW w:w="373" w:type="pct"/>
            <w:tcBorders>
              <w:top w:val="nil"/>
              <w:left w:val="nil"/>
              <w:bottom w:val="nil"/>
              <w:right w:val="nil"/>
            </w:tcBorders>
            <w:vAlign w:val="center"/>
          </w:tcPr>
          <w:p w14:paraId="0D79E9E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8.4</w:t>
            </w:r>
          </w:p>
        </w:tc>
        <w:tc>
          <w:tcPr>
            <w:tcW w:w="289" w:type="pct"/>
            <w:tcBorders>
              <w:top w:val="nil"/>
              <w:left w:val="nil"/>
              <w:bottom w:val="nil"/>
              <w:right w:val="nil"/>
            </w:tcBorders>
            <w:vAlign w:val="center"/>
          </w:tcPr>
          <w:p w14:paraId="191020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2,662</w:t>
            </w:r>
          </w:p>
        </w:tc>
      </w:tr>
      <w:tr w:rsidR="004F595A" w:rsidRPr="00B621E1" w14:paraId="04372072" w14:textId="77777777" w:rsidTr="00EE5F9A">
        <w:trPr>
          <w:trHeight w:val="73"/>
        </w:trPr>
        <w:tc>
          <w:tcPr>
            <w:tcW w:w="840" w:type="pct"/>
            <w:tcBorders>
              <w:top w:val="nil"/>
              <w:left w:val="nil"/>
              <w:bottom w:val="nil"/>
              <w:right w:val="nil"/>
            </w:tcBorders>
            <w:vAlign w:val="center"/>
          </w:tcPr>
          <w:p w14:paraId="4B8DD8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1BA4DA9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9.6</w:t>
            </w:r>
          </w:p>
        </w:tc>
        <w:tc>
          <w:tcPr>
            <w:tcW w:w="373" w:type="pct"/>
            <w:tcBorders>
              <w:top w:val="nil"/>
              <w:left w:val="nil"/>
              <w:bottom w:val="nil"/>
              <w:right w:val="nil"/>
            </w:tcBorders>
            <w:vAlign w:val="center"/>
          </w:tcPr>
          <w:p w14:paraId="1E626AC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7.8</w:t>
            </w:r>
          </w:p>
        </w:tc>
        <w:tc>
          <w:tcPr>
            <w:tcW w:w="457" w:type="pct"/>
            <w:tcBorders>
              <w:top w:val="nil"/>
              <w:left w:val="nil"/>
              <w:bottom w:val="nil"/>
              <w:right w:val="nil"/>
            </w:tcBorders>
            <w:vAlign w:val="center"/>
          </w:tcPr>
          <w:p w14:paraId="40A66C2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18.4</w:t>
            </w:r>
          </w:p>
        </w:tc>
        <w:tc>
          <w:tcPr>
            <w:tcW w:w="420" w:type="pct"/>
            <w:tcBorders>
              <w:top w:val="nil"/>
              <w:left w:val="nil"/>
              <w:bottom w:val="nil"/>
              <w:right w:val="nil"/>
            </w:tcBorders>
            <w:vAlign w:val="center"/>
          </w:tcPr>
          <w:p w14:paraId="4B8F8ED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14.7</w:t>
            </w:r>
          </w:p>
        </w:tc>
        <w:tc>
          <w:tcPr>
            <w:tcW w:w="420" w:type="pct"/>
            <w:tcBorders>
              <w:top w:val="nil"/>
              <w:left w:val="nil"/>
              <w:bottom w:val="nil"/>
              <w:right w:val="nil"/>
            </w:tcBorders>
            <w:vAlign w:val="center"/>
          </w:tcPr>
          <w:p w14:paraId="5D67F8A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11.2</w:t>
            </w:r>
          </w:p>
        </w:tc>
        <w:tc>
          <w:tcPr>
            <w:tcW w:w="373" w:type="pct"/>
            <w:tcBorders>
              <w:top w:val="nil"/>
              <w:left w:val="nil"/>
              <w:bottom w:val="nil"/>
              <w:right w:val="nil"/>
            </w:tcBorders>
            <w:vAlign w:val="center"/>
          </w:tcPr>
          <w:p w14:paraId="78BA95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280" w:type="pct"/>
            <w:tcBorders>
              <w:top w:val="nil"/>
              <w:left w:val="nil"/>
              <w:bottom w:val="nil"/>
              <w:right w:val="nil"/>
            </w:tcBorders>
            <w:vAlign w:val="center"/>
          </w:tcPr>
          <w:p w14:paraId="28FE902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4.9</w:t>
            </w:r>
          </w:p>
        </w:tc>
        <w:tc>
          <w:tcPr>
            <w:tcW w:w="373" w:type="pct"/>
            <w:tcBorders>
              <w:top w:val="nil"/>
              <w:left w:val="nil"/>
              <w:bottom w:val="nil"/>
              <w:right w:val="nil"/>
            </w:tcBorders>
            <w:vAlign w:val="center"/>
          </w:tcPr>
          <w:p w14:paraId="48EBFD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w:t>
            </w:r>
          </w:p>
        </w:tc>
        <w:tc>
          <w:tcPr>
            <w:tcW w:w="373" w:type="pct"/>
            <w:tcBorders>
              <w:top w:val="nil"/>
              <w:left w:val="nil"/>
              <w:bottom w:val="nil"/>
              <w:right w:val="nil"/>
            </w:tcBorders>
            <w:vAlign w:val="center"/>
          </w:tcPr>
          <w:p w14:paraId="2070D9A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5.3</w:t>
            </w:r>
          </w:p>
        </w:tc>
        <w:tc>
          <w:tcPr>
            <w:tcW w:w="373" w:type="pct"/>
            <w:tcBorders>
              <w:top w:val="nil"/>
              <w:left w:val="nil"/>
              <w:bottom w:val="nil"/>
              <w:right w:val="nil"/>
            </w:tcBorders>
            <w:vAlign w:val="center"/>
          </w:tcPr>
          <w:p w14:paraId="245BA24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c>
          <w:tcPr>
            <w:tcW w:w="289" w:type="pct"/>
            <w:tcBorders>
              <w:top w:val="nil"/>
              <w:left w:val="nil"/>
              <w:bottom w:val="nil"/>
              <w:right w:val="nil"/>
            </w:tcBorders>
            <w:vAlign w:val="center"/>
          </w:tcPr>
          <w:p w14:paraId="6A6D753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4280</w:t>
            </w:r>
          </w:p>
        </w:tc>
      </w:tr>
      <w:tr w:rsidR="004F595A" w:rsidRPr="00B621E1" w14:paraId="60D94733" w14:textId="77777777" w:rsidTr="00EE5F9A">
        <w:trPr>
          <w:trHeight w:val="73"/>
        </w:trPr>
        <w:tc>
          <w:tcPr>
            <w:tcW w:w="840" w:type="pct"/>
            <w:tcBorders>
              <w:top w:val="nil"/>
              <w:left w:val="nil"/>
              <w:bottom w:val="nil"/>
              <w:right w:val="nil"/>
            </w:tcBorders>
            <w:vAlign w:val="center"/>
          </w:tcPr>
          <w:p w14:paraId="51E457E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400C41D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314756B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13.6</w:t>
            </w:r>
          </w:p>
        </w:tc>
        <w:tc>
          <w:tcPr>
            <w:tcW w:w="457" w:type="pct"/>
            <w:tcBorders>
              <w:top w:val="nil"/>
              <w:left w:val="nil"/>
              <w:bottom w:val="nil"/>
              <w:right w:val="nil"/>
            </w:tcBorders>
            <w:vAlign w:val="center"/>
          </w:tcPr>
          <w:p w14:paraId="18D64A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22.0</w:t>
            </w:r>
          </w:p>
        </w:tc>
        <w:tc>
          <w:tcPr>
            <w:tcW w:w="420" w:type="pct"/>
            <w:tcBorders>
              <w:top w:val="nil"/>
              <w:left w:val="nil"/>
              <w:bottom w:val="nil"/>
              <w:right w:val="nil"/>
            </w:tcBorders>
            <w:vAlign w:val="center"/>
          </w:tcPr>
          <w:p w14:paraId="6FE2B41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15.3</w:t>
            </w:r>
          </w:p>
        </w:tc>
        <w:tc>
          <w:tcPr>
            <w:tcW w:w="420" w:type="pct"/>
            <w:tcBorders>
              <w:top w:val="nil"/>
              <w:left w:val="nil"/>
              <w:bottom w:val="nil"/>
              <w:right w:val="nil"/>
            </w:tcBorders>
            <w:vAlign w:val="center"/>
          </w:tcPr>
          <w:p w14:paraId="67232C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28.8</w:t>
            </w:r>
          </w:p>
        </w:tc>
        <w:tc>
          <w:tcPr>
            <w:tcW w:w="373" w:type="pct"/>
            <w:tcBorders>
              <w:top w:val="nil"/>
              <w:left w:val="nil"/>
              <w:bottom w:val="nil"/>
              <w:right w:val="nil"/>
            </w:tcBorders>
            <w:vAlign w:val="center"/>
          </w:tcPr>
          <w:p w14:paraId="4B68238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6.8</w:t>
            </w:r>
          </w:p>
        </w:tc>
        <w:tc>
          <w:tcPr>
            <w:tcW w:w="280" w:type="pct"/>
            <w:tcBorders>
              <w:top w:val="nil"/>
              <w:left w:val="nil"/>
              <w:bottom w:val="nil"/>
              <w:right w:val="nil"/>
            </w:tcBorders>
            <w:vAlign w:val="center"/>
          </w:tcPr>
          <w:p w14:paraId="7527AE6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5.1</w:t>
            </w:r>
          </w:p>
        </w:tc>
        <w:tc>
          <w:tcPr>
            <w:tcW w:w="373" w:type="pct"/>
            <w:tcBorders>
              <w:top w:val="nil"/>
              <w:left w:val="nil"/>
              <w:bottom w:val="nil"/>
              <w:right w:val="nil"/>
            </w:tcBorders>
            <w:vAlign w:val="center"/>
          </w:tcPr>
          <w:p w14:paraId="0E5BC19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711EEC5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4A5E87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289" w:type="pct"/>
            <w:tcBorders>
              <w:top w:val="nil"/>
              <w:left w:val="nil"/>
              <w:bottom w:val="nil"/>
              <w:right w:val="nil"/>
            </w:tcBorders>
            <w:vAlign w:val="center"/>
          </w:tcPr>
          <w:p w14:paraId="27757A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59</w:t>
            </w:r>
          </w:p>
        </w:tc>
      </w:tr>
      <w:tr w:rsidR="004F595A" w:rsidRPr="00B621E1" w14:paraId="1FC70C3B" w14:textId="77777777" w:rsidTr="00EE5F9A">
        <w:trPr>
          <w:trHeight w:val="73"/>
        </w:trPr>
        <w:tc>
          <w:tcPr>
            <w:tcW w:w="840" w:type="pct"/>
            <w:tcBorders>
              <w:top w:val="nil"/>
              <w:left w:val="nil"/>
              <w:bottom w:val="nil"/>
              <w:right w:val="nil"/>
            </w:tcBorders>
            <w:vAlign w:val="center"/>
          </w:tcPr>
          <w:p w14:paraId="0A8D6BFD"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6E7471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nil"/>
              <w:left w:val="nil"/>
              <w:bottom w:val="nil"/>
              <w:right w:val="nil"/>
            </w:tcBorders>
            <w:vAlign w:val="center"/>
          </w:tcPr>
          <w:p w14:paraId="0422A7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457" w:type="pct"/>
            <w:tcBorders>
              <w:top w:val="nil"/>
              <w:left w:val="nil"/>
              <w:bottom w:val="nil"/>
              <w:right w:val="nil"/>
            </w:tcBorders>
            <w:vAlign w:val="center"/>
          </w:tcPr>
          <w:p w14:paraId="4073D83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73992C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6C111B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373" w:type="pct"/>
            <w:tcBorders>
              <w:top w:val="nil"/>
              <w:left w:val="nil"/>
              <w:bottom w:val="nil"/>
              <w:right w:val="nil"/>
            </w:tcBorders>
            <w:vAlign w:val="center"/>
          </w:tcPr>
          <w:p w14:paraId="27D0A9F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280" w:type="pct"/>
            <w:tcBorders>
              <w:top w:val="nil"/>
              <w:left w:val="nil"/>
              <w:bottom w:val="nil"/>
              <w:right w:val="nil"/>
            </w:tcBorders>
            <w:vAlign w:val="center"/>
          </w:tcPr>
          <w:p w14:paraId="0B161D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6A8832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15.0</w:t>
            </w:r>
          </w:p>
        </w:tc>
        <w:tc>
          <w:tcPr>
            <w:tcW w:w="373" w:type="pct"/>
            <w:tcBorders>
              <w:top w:val="nil"/>
              <w:left w:val="nil"/>
              <w:bottom w:val="nil"/>
              <w:right w:val="nil"/>
            </w:tcBorders>
            <w:vAlign w:val="center"/>
          </w:tcPr>
          <w:p w14:paraId="05F4BB5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18C4EA2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289" w:type="pct"/>
            <w:tcBorders>
              <w:top w:val="nil"/>
              <w:left w:val="nil"/>
              <w:bottom w:val="nil"/>
              <w:right w:val="nil"/>
            </w:tcBorders>
            <w:vAlign w:val="center"/>
          </w:tcPr>
          <w:p w14:paraId="5557AE5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20</w:t>
            </w:r>
          </w:p>
        </w:tc>
      </w:tr>
      <w:tr w:rsidR="004F595A" w:rsidRPr="00B621E1" w14:paraId="6847C063" w14:textId="77777777" w:rsidTr="00EE5F9A">
        <w:trPr>
          <w:trHeight w:val="73"/>
        </w:trPr>
        <w:tc>
          <w:tcPr>
            <w:tcW w:w="840" w:type="pct"/>
            <w:tcBorders>
              <w:top w:val="nil"/>
              <w:left w:val="nil"/>
              <w:bottom w:val="nil"/>
              <w:right w:val="nil"/>
            </w:tcBorders>
            <w:vAlign w:val="center"/>
          </w:tcPr>
          <w:p w14:paraId="322CEC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Nonbinary</w:t>
            </w:r>
          </w:p>
        </w:tc>
        <w:tc>
          <w:tcPr>
            <w:tcW w:w="429" w:type="pct"/>
            <w:tcBorders>
              <w:top w:val="nil"/>
              <w:left w:val="nil"/>
              <w:bottom w:val="nil"/>
              <w:right w:val="nil"/>
            </w:tcBorders>
            <w:vAlign w:val="center"/>
          </w:tcPr>
          <w:p w14:paraId="0083803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4FDB22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12.0</w:t>
            </w:r>
          </w:p>
        </w:tc>
        <w:tc>
          <w:tcPr>
            <w:tcW w:w="457" w:type="pct"/>
            <w:tcBorders>
              <w:top w:val="nil"/>
              <w:left w:val="nil"/>
              <w:bottom w:val="nil"/>
              <w:right w:val="nil"/>
            </w:tcBorders>
            <w:vAlign w:val="center"/>
          </w:tcPr>
          <w:p w14:paraId="24BF35F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420" w:type="pct"/>
            <w:tcBorders>
              <w:top w:val="nil"/>
              <w:left w:val="nil"/>
              <w:bottom w:val="nil"/>
              <w:right w:val="nil"/>
            </w:tcBorders>
            <w:vAlign w:val="center"/>
          </w:tcPr>
          <w:p w14:paraId="56863C2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15.4</w:t>
            </w:r>
          </w:p>
        </w:tc>
        <w:tc>
          <w:tcPr>
            <w:tcW w:w="420" w:type="pct"/>
            <w:tcBorders>
              <w:top w:val="nil"/>
              <w:left w:val="nil"/>
              <w:bottom w:val="nil"/>
              <w:right w:val="nil"/>
            </w:tcBorders>
            <w:vAlign w:val="center"/>
          </w:tcPr>
          <w:p w14:paraId="76BF05A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nil"/>
              <w:right w:val="nil"/>
            </w:tcBorders>
            <w:vAlign w:val="center"/>
          </w:tcPr>
          <w:p w14:paraId="1947BA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280" w:type="pct"/>
            <w:tcBorders>
              <w:top w:val="nil"/>
              <w:left w:val="nil"/>
              <w:bottom w:val="nil"/>
              <w:right w:val="nil"/>
            </w:tcBorders>
            <w:vAlign w:val="center"/>
          </w:tcPr>
          <w:p w14:paraId="6FC3A48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3F8C50A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04FEB63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3AA121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6.7</w:t>
            </w:r>
          </w:p>
        </w:tc>
        <w:tc>
          <w:tcPr>
            <w:tcW w:w="289" w:type="pct"/>
            <w:tcBorders>
              <w:top w:val="nil"/>
              <w:left w:val="nil"/>
              <w:bottom w:val="nil"/>
              <w:right w:val="nil"/>
            </w:tcBorders>
            <w:vAlign w:val="center"/>
          </w:tcPr>
          <w:p w14:paraId="528F8E0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267</w:t>
            </w:r>
          </w:p>
        </w:tc>
      </w:tr>
      <w:tr w:rsidR="004F595A" w:rsidRPr="00B621E1" w14:paraId="04073751" w14:textId="77777777" w:rsidTr="00EE5F9A">
        <w:trPr>
          <w:trHeight w:val="73"/>
        </w:trPr>
        <w:tc>
          <w:tcPr>
            <w:tcW w:w="840" w:type="pct"/>
            <w:tcBorders>
              <w:top w:val="nil"/>
              <w:left w:val="nil"/>
              <w:bottom w:val="nil"/>
              <w:right w:val="nil"/>
            </w:tcBorders>
            <w:vAlign w:val="center"/>
          </w:tcPr>
          <w:p w14:paraId="23AC71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Gender diverse/</w:t>
            </w:r>
          </w:p>
          <w:p w14:paraId="2994C026"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questioning</w:t>
            </w:r>
          </w:p>
        </w:tc>
        <w:tc>
          <w:tcPr>
            <w:tcW w:w="429" w:type="pct"/>
            <w:tcBorders>
              <w:top w:val="nil"/>
              <w:left w:val="nil"/>
              <w:bottom w:val="nil"/>
              <w:right w:val="nil"/>
            </w:tcBorders>
            <w:vAlign w:val="center"/>
          </w:tcPr>
          <w:p w14:paraId="4A9C2CC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646E7F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9.9</w:t>
            </w:r>
          </w:p>
        </w:tc>
        <w:tc>
          <w:tcPr>
            <w:tcW w:w="457" w:type="pct"/>
            <w:tcBorders>
              <w:top w:val="nil"/>
              <w:left w:val="nil"/>
              <w:bottom w:val="nil"/>
              <w:right w:val="nil"/>
            </w:tcBorders>
            <w:vAlign w:val="center"/>
          </w:tcPr>
          <w:p w14:paraId="7E2D57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19.7</w:t>
            </w:r>
          </w:p>
        </w:tc>
        <w:tc>
          <w:tcPr>
            <w:tcW w:w="420" w:type="pct"/>
            <w:tcBorders>
              <w:top w:val="nil"/>
              <w:left w:val="nil"/>
              <w:bottom w:val="nil"/>
              <w:right w:val="nil"/>
            </w:tcBorders>
            <w:vAlign w:val="center"/>
          </w:tcPr>
          <w:p w14:paraId="2C818A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16.9</w:t>
            </w:r>
          </w:p>
        </w:tc>
        <w:tc>
          <w:tcPr>
            <w:tcW w:w="420" w:type="pct"/>
            <w:tcBorders>
              <w:top w:val="nil"/>
              <w:left w:val="nil"/>
              <w:bottom w:val="nil"/>
              <w:right w:val="nil"/>
            </w:tcBorders>
            <w:vAlign w:val="center"/>
          </w:tcPr>
          <w:p w14:paraId="00A2D76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31.0</w:t>
            </w:r>
          </w:p>
        </w:tc>
        <w:tc>
          <w:tcPr>
            <w:tcW w:w="373" w:type="pct"/>
            <w:tcBorders>
              <w:top w:val="nil"/>
              <w:left w:val="nil"/>
              <w:bottom w:val="nil"/>
              <w:right w:val="nil"/>
            </w:tcBorders>
            <w:vAlign w:val="center"/>
          </w:tcPr>
          <w:p w14:paraId="022D7B4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w:t>
            </w:r>
          </w:p>
        </w:tc>
        <w:tc>
          <w:tcPr>
            <w:tcW w:w="280" w:type="pct"/>
            <w:tcBorders>
              <w:top w:val="nil"/>
              <w:left w:val="nil"/>
              <w:bottom w:val="nil"/>
              <w:right w:val="nil"/>
            </w:tcBorders>
            <w:vAlign w:val="center"/>
          </w:tcPr>
          <w:p w14:paraId="25E03BB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26600C2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DBDDFA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w:t>
            </w:r>
          </w:p>
        </w:tc>
        <w:tc>
          <w:tcPr>
            <w:tcW w:w="373" w:type="pct"/>
            <w:tcBorders>
              <w:top w:val="nil"/>
              <w:left w:val="nil"/>
              <w:bottom w:val="nil"/>
              <w:right w:val="nil"/>
            </w:tcBorders>
            <w:vAlign w:val="center"/>
          </w:tcPr>
          <w:p w14:paraId="08392E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4.2</w:t>
            </w:r>
          </w:p>
        </w:tc>
        <w:tc>
          <w:tcPr>
            <w:tcW w:w="289" w:type="pct"/>
            <w:tcBorders>
              <w:top w:val="nil"/>
              <w:left w:val="nil"/>
              <w:bottom w:val="nil"/>
              <w:right w:val="nil"/>
            </w:tcBorders>
            <w:vAlign w:val="center"/>
          </w:tcPr>
          <w:p w14:paraId="14B1CCB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r>
      <w:tr w:rsidR="004F595A" w:rsidRPr="00B621E1" w14:paraId="18D0C042" w14:textId="77777777" w:rsidTr="00EE5F9A">
        <w:trPr>
          <w:trHeight w:val="73"/>
        </w:trPr>
        <w:tc>
          <w:tcPr>
            <w:tcW w:w="840" w:type="pct"/>
            <w:tcBorders>
              <w:top w:val="nil"/>
              <w:left w:val="nil"/>
              <w:bottom w:val="single" w:sz="4" w:space="0" w:color="000000"/>
              <w:right w:val="nil"/>
            </w:tcBorders>
            <w:vAlign w:val="center"/>
          </w:tcPr>
          <w:p w14:paraId="23E1BFB2"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2683DC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2B9C6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2987ABD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54D82E9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0481699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3BCD24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2DDB8A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5A4B8DE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1F8FC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693194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2E2D3ED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140</w:t>
            </w:r>
          </w:p>
        </w:tc>
      </w:tr>
      <w:tr w:rsidR="004F595A" w:rsidRPr="00B621E1" w14:paraId="59C51809" w14:textId="77777777" w:rsidTr="00EE5F9A">
        <w:trPr>
          <w:trHeight w:val="73"/>
        </w:trPr>
        <w:tc>
          <w:tcPr>
            <w:tcW w:w="840" w:type="pct"/>
            <w:tcBorders>
              <w:top w:val="nil"/>
              <w:left w:val="nil"/>
              <w:bottom w:val="single" w:sz="4" w:space="0" w:color="000000"/>
              <w:right w:val="nil"/>
            </w:tcBorders>
            <w:vAlign w:val="center"/>
          </w:tcPr>
          <w:p w14:paraId="1B6C6B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29520D0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4BCBD06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1211</w:t>
            </w:r>
          </w:p>
        </w:tc>
        <w:tc>
          <w:tcPr>
            <w:tcW w:w="457" w:type="pct"/>
            <w:tcBorders>
              <w:top w:val="nil"/>
              <w:left w:val="nil"/>
              <w:bottom w:val="single" w:sz="4" w:space="0" w:color="000000"/>
              <w:right w:val="nil"/>
            </w:tcBorders>
            <w:vAlign w:val="center"/>
          </w:tcPr>
          <w:p w14:paraId="650755C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1220</w:t>
            </w:r>
          </w:p>
        </w:tc>
        <w:tc>
          <w:tcPr>
            <w:tcW w:w="420" w:type="pct"/>
            <w:tcBorders>
              <w:top w:val="nil"/>
              <w:left w:val="nil"/>
              <w:bottom w:val="single" w:sz="4" w:space="0" w:color="000000"/>
              <w:right w:val="nil"/>
            </w:tcBorders>
            <w:vAlign w:val="center"/>
          </w:tcPr>
          <w:p w14:paraId="6572F3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05FC51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3BE1BAE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1106</w:t>
            </w:r>
          </w:p>
        </w:tc>
        <w:tc>
          <w:tcPr>
            <w:tcW w:w="280" w:type="pct"/>
            <w:tcBorders>
              <w:top w:val="nil"/>
              <w:left w:val="nil"/>
              <w:bottom w:val="single" w:sz="4" w:space="0" w:color="000000"/>
              <w:right w:val="nil"/>
            </w:tcBorders>
            <w:vAlign w:val="center"/>
          </w:tcPr>
          <w:p w14:paraId="5DCB72D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6101ED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2205606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435004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6FB6FAE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bl>
    <w:p w14:paraId="7937E51C" w14:textId="77777777" w:rsidR="004F595A" w:rsidRPr="00B621E1" w:rsidRDefault="004F595A" w:rsidP="004F595A">
      <w:pPr>
        <w:snapToGrid w:val="0"/>
        <w:spacing w:after="240"/>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Note</w:t>
      </w:r>
      <w:r>
        <w:rPr>
          <w:rFonts w:asciiTheme="majorHAnsi" w:hAnsiTheme="majorHAnsi" w:cstheme="majorHAnsi"/>
          <w:sz w:val="20"/>
          <w:szCs w:val="20"/>
        </w:rPr>
        <w:t>. Each cell represents the row percentage.</w:t>
      </w:r>
    </w:p>
    <w:p w14:paraId="705D6D30" w14:textId="6C5FC51C" w:rsidR="004F595A" w:rsidRPr="00B621E1" w:rsidRDefault="004F595A" w:rsidP="004F595A">
      <w:pPr>
        <w:spacing w:line="360" w:lineRule="auto"/>
        <w:ind w:firstLine="720"/>
        <w:rPr>
          <w:rFonts w:asciiTheme="majorHAnsi" w:hAnsiTheme="majorHAnsi" w:cstheme="majorHAnsi"/>
        </w:rPr>
        <w:sectPr w:rsidR="004F595A" w:rsidRPr="00B621E1" w:rsidSect="004F595A">
          <w:pgSz w:w="12240" w:h="15840"/>
          <w:pgMar w:top="1440" w:right="1440" w:bottom="1440" w:left="1440" w:header="720" w:footer="720" w:gutter="0"/>
          <w:cols w:space="720"/>
        </w:sectPr>
      </w:pPr>
      <w:commentRangeStart w:id="74"/>
      <w:commentRangeStart w:id="75"/>
      <w:r>
        <w:rPr>
          <w:rFonts w:asciiTheme="majorHAnsi" w:hAnsiTheme="majorHAnsi" w:cstheme="majorHAnsi"/>
        </w:rPr>
        <w:lastRenderedPageBreak/>
        <w:t xml:space="preserve">Students also indicated the highest degree they planned to complete (Figure 12). Across all respondents, over half (54.9%) planned to earn an advanced degree. Additionally, we find that more trans and gender expansive students indicated plans to earn a master’s or doctorate at higher rates compared to cisgender students. Among transgender women, of the 55.0% that planned to complete an advanced degree, </w:t>
      </w:r>
      <w:commentRangeStart w:id="76"/>
      <w:commentRangeStart w:id="77"/>
      <w:r>
        <w:rPr>
          <w:rFonts w:asciiTheme="majorHAnsi" w:hAnsiTheme="majorHAnsi" w:cstheme="majorHAnsi"/>
        </w:rPr>
        <w:t>72.7%</w:t>
      </w:r>
      <w:commentRangeEnd w:id="76"/>
      <w:r>
        <w:rPr>
          <w:rStyle w:val="CommentReference"/>
          <w:rFonts w:asciiTheme="majorHAnsi" w:hAnsiTheme="majorHAnsi" w:cstheme="majorHAnsi"/>
          <w:sz w:val="24"/>
          <w:szCs w:val="24"/>
        </w:rPr>
        <w:commentReference w:id="76"/>
      </w:r>
      <w:commentRangeEnd w:id="77"/>
      <w:r>
        <w:rPr>
          <w:rStyle w:val="CommentReference"/>
          <w:rFonts w:asciiTheme="majorHAnsi" w:hAnsiTheme="majorHAnsi" w:cstheme="majorHAnsi"/>
          <w:sz w:val="24"/>
          <w:szCs w:val="24"/>
        </w:rPr>
        <w:commentReference w:id="77"/>
      </w:r>
      <w:r>
        <w:rPr>
          <w:rFonts w:asciiTheme="majorHAnsi" w:hAnsiTheme="majorHAnsi" w:cstheme="majorHAnsi"/>
        </w:rPr>
        <w:t xml:space="preserve"> intended to earn a master’s degree—higher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w:t>
      </w:r>
      <w:commentRangeEnd w:id="74"/>
      <w:r>
        <w:rPr>
          <w:rStyle w:val="CommentReference"/>
          <w:rFonts w:asciiTheme="majorHAnsi" w:hAnsiTheme="majorHAnsi" w:cstheme="majorHAnsi"/>
          <w:sz w:val="24"/>
          <w:szCs w:val="24"/>
        </w:rPr>
        <w:commentReference w:id="74"/>
      </w:r>
      <w:commentRangeEnd w:id="75"/>
      <w:r>
        <w:rPr>
          <w:rStyle w:val="CommentReference"/>
          <w:rFonts w:asciiTheme="majorHAnsi" w:hAnsiTheme="majorHAnsi" w:cstheme="majorHAnsi"/>
          <w:sz w:val="24"/>
          <w:szCs w:val="24"/>
        </w:rPr>
        <w:commentReference w:id="75"/>
      </w:r>
      <w:r>
        <w:rPr>
          <w:rFonts w:asciiTheme="majorHAnsi" w:hAnsiTheme="majorHAnsi" w:cstheme="majorHAnsi"/>
        </w:rPr>
        <w:t xml:space="preserve">. </w:t>
      </w:r>
    </w:p>
    <w:p w14:paraId="4B32BA9B" w14:textId="304C106C"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lastRenderedPageBreak/>
        <w:t>Figure 12</w:t>
      </w:r>
    </w:p>
    <w:p w14:paraId="742DA2FF" w14:textId="45BF5F36" w:rsidR="004F595A" w:rsidRPr="00AB4825" w:rsidRDefault="004F595A" w:rsidP="004F595A">
      <w:pPr>
        <w:spacing w:line="360" w:lineRule="auto"/>
        <w:rPr>
          <w:rFonts w:asciiTheme="majorHAnsi" w:hAnsiTheme="majorHAnsi" w:cstheme="majorHAnsi"/>
        </w:rPr>
      </w:pPr>
      <w:r>
        <w:rPr>
          <w:rFonts w:asciiTheme="majorHAnsi" w:hAnsiTheme="majorHAnsi" w:cstheme="majorHAnsi"/>
          <w:i/>
          <w:iCs/>
        </w:rPr>
        <w:t>Plans for Degree Completion (n = 7,497)</w:t>
      </w:r>
      <w:r>
        <w:rPr>
          <w:rFonts w:asciiTheme="majorHAnsi" w:hAnsiTheme="majorHAnsi" w:cstheme="majorHAnsi"/>
          <w:i/>
          <w:iCs/>
          <w:noProof/>
        </w:rPr>
        <w:drawing>
          <wp:inline distT="0" distB="0" distL="0" distR="0" wp14:anchorId="69A042E2" wp14:editId="0780A93B">
            <wp:extent cx="8061277" cy="3441469"/>
            <wp:effectExtent l="0" t="0" r="3810" b="635"/>
            <wp:docPr id="739822093" name="Picture 4" descr="A graph with green and yellow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  AI-generated content may be incorrect."/>
                    <pic:cNvPicPr/>
                  </pic:nvPicPr>
                  <pic:blipFill rotWithShape="1">
                    <a:blip r:embed="rId26" cstate="print">
                      <a:extLst>
                        <a:ext uri="{28A0092B-C50C-407E-A947-70E740481C1C}">
                          <a14:useLocalDpi xmlns:a14="http://schemas.microsoft.com/office/drawing/2010/main" val="0"/>
                        </a:ext>
                      </a:extLst>
                    </a:blip>
                    <a:srcRect l="11051" t="4879" r="8782" b="225"/>
                    <a:stretch>
                      <a:fillRect/>
                    </a:stretch>
                  </pic:blipFill>
                  <pic:spPr bwMode="auto">
                    <a:xfrm>
                      <a:off x="0" y="0"/>
                      <a:ext cx="8139482" cy="3474856"/>
                    </a:xfrm>
                    <a:prstGeom prst="rect">
                      <a:avLst/>
                    </a:prstGeom>
                    <a:ln>
                      <a:noFill/>
                    </a:ln>
                    <a:extLst>
                      <a:ext uri="{53640926-AAD7-44D8-BBD7-CCE9431645EC}">
                        <a14:shadowObscured xmlns:a14="http://schemas.microsoft.com/office/drawing/2010/main"/>
                      </a:ext>
                    </a:extLst>
                  </pic:spPr>
                </pic:pic>
              </a:graphicData>
            </a:graphic>
          </wp:inline>
        </w:drawing>
      </w:r>
    </w:p>
    <w:p w14:paraId="15D316E9" w14:textId="273F3A64" w:rsidR="004F595A" w:rsidRPr="00B621E1" w:rsidRDefault="004F595A" w:rsidP="004F595A">
      <w:pPr>
        <w:spacing w:after="240" w:line="360" w:lineRule="auto"/>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 xml:space="preserve">Note. </w:t>
      </w:r>
      <w:r>
        <w:rPr>
          <w:rFonts w:asciiTheme="majorHAnsi" w:hAnsiTheme="majorHAnsi" w:cstheme="majorHAnsi"/>
          <w:sz w:val="20"/>
          <w:szCs w:val="20"/>
        </w:rPr>
        <w:t>Bars represent percentages. For disaggregation by gender identity, n = 7,497. For disaggregation by sexual orientation, n = 7,456.</w:t>
      </w:r>
    </w:p>
    <w:p w14:paraId="34DC8EB8" w14:textId="6AF44ED0"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lastRenderedPageBreak/>
        <w:t>To examine whether descriptive differences in postsecondary plans persist after accounting for student demographics, we estimated logit models for intent to attend a four-year college and ordered logit models for highest degree aspirations, separately by gender identity and sexual orientation. We report odds ratios, where values greater than one indicate higher odds relative to the reference category. We also report the predicted probabilities from the ordered logit models as stacked bar charts evaluated at sample means in Appendix H.</w:t>
      </w:r>
    </w:p>
    <w:p w14:paraId="41FF3850" w14:textId="40F54F94"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t>For four-year enrollment by gender identity (Table 6), nonbinary students were significantly more likely than cisgender men to plan to attend a four-year institution, and this difference was robust to the inclusion of demographic controls. Cisgender women were also significantly more likely to plan to attend a four-year college in both specifications. The odds ratio for gender diverse/questioning students was less than one in both specifications, consistent with the descriptive finding that this group was roughly equally split between two- and four-year enrollment plans. For the smallest gender identity subgroups — transgender men (n = 59) and transgender women (n = 20) — the odds ratios were greater than one, but estimates are imprecise due to limited sample sizes; therefore, we refrain from drawing conclusions about four-year enrollment for these categories based on the regression estimates alone and instead direct readers to the descriptive results reported in Figure 11.</w:t>
      </w:r>
    </w:p>
    <w:p w14:paraId="2A1E554C" w14:textId="0ECAAE88"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t>For highest degree aspirations by gender identity (Table 8), we find that cisgender women had 1.63 times the odds of aspiring to a higher degree category compared to cisgender men in the unconditional model (OR = 1.63, 95% CI [1.49, 1.78]), increasing slightly to 1.73 with demographic controls. Similarly, nonbinary students had significantly higher degree aspirations (OR = 1.80, 95% CI [1.43, 2.26]), and transgender men also had significantly higher odds (OR = 1.74, 95% CI [1.10, 2.75]). Gender diverse/questioning students had elevated odds that were statistically significant in the unconditional model (OR = 1.58, 95% CI [1.02, 2.45]), but attenuated to marginal significance with controls. The odds ratio for transgender women was not statistically significant, likely due to the small sample size.</w:t>
      </w:r>
    </w:p>
    <w:p w14:paraId="2CEE0BD0" w14:textId="157ED6D4" w:rsidR="002B2BA4" w:rsidRDefault="008849FD" w:rsidP="00760288">
      <w:pPr>
        <w:spacing w:line="360" w:lineRule="auto"/>
        <w:ind w:firstLine="720"/>
        <w:rPr>
          <w:rFonts w:asciiTheme="majorHAnsi" w:hAnsiTheme="majorHAnsi" w:cstheme="majorHAnsi"/>
          <w:b/>
          <w:bCs/>
        </w:rPr>
      </w:pPr>
      <w:r>
        <w:rPr>
          <w:rFonts w:asciiTheme="majorHAnsi" w:hAnsiTheme="majorHAnsi" w:cstheme="majorHAnsi"/>
        </w:rPr>
        <w:t xml:space="preserve">Results by sexual orientation were broadly consistent. For four-year enrollment (Table 7), gay or lesbian students and bisexual/pansexual/omnisexual students were significantly more likely to plan to attend a four-year college, and these differences persisted after controlling for </w:t>
      </w:r>
      <w:r>
        <w:rPr>
          <w:rFonts w:asciiTheme="majorHAnsi" w:hAnsiTheme="majorHAnsi" w:cstheme="majorHAnsi"/>
        </w:rPr>
        <w:lastRenderedPageBreak/>
        <w:t>demographics. The odds ratios for asexual/aromantic/demisexual and other/queer/questioning students were greater than one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t>
      </w:r>
    </w:p>
    <w:p w14:paraId="13143A78" w14:textId="77777777" w:rsidR="002B2BA4" w:rsidRPr="00AB4825" w:rsidRDefault="002B2BA4" w:rsidP="00AB4825">
      <w:pPr>
        <w:spacing w:line="360" w:lineRule="auto"/>
        <w:ind w:firstLine="720"/>
        <w:rPr>
          <w:rFonts w:asciiTheme="majorHAnsi" w:hAnsiTheme="majorHAnsi" w:cstheme="majorHAnsi"/>
        </w:rPr>
      </w:pPr>
    </w:p>
    <w:p w14:paraId="28CEE83A" w14:textId="09FED2CF" w:rsidR="004F595A" w:rsidRPr="00B621E1" w:rsidRDefault="004F595A" w:rsidP="002B2BA4">
      <w:pPr>
        <w:spacing w:line="360" w:lineRule="auto"/>
        <w:rPr>
          <w:rFonts w:asciiTheme="majorHAnsi" w:hAnsiTheme="majorHAnsi" w:cstheme="majorHAnsi"/>
        </w:rPr>
      </w:pPr>
      <w:r>
        <w:rPr>
          <w:rFonts w:asciiTheme="majorHAnsi" w:hAnsiTheme="majorHAnsi" w:cstheme="majorHAnsi"/>
          <w:b/>
          <w:bCs/>
        </w:rPr>
        <w:t>Table 6</w:t>
      </w:r>
    </w:p>
    <w:p w14:paraId="24AFB431" w14:textId="3FACACC6" w:rsidR="004F595A" w:rsidRPr="00B621E1" w:rsidRDefault="00911B49" w:rsidP="004F595A">
      <w:pPr>
        <w:spacing w:line="360" w:lineRule="auto"/>
        <w:rPr>
          <w:rFonts w:asciiTheme="majorHAnsi" w:hAnsiTheme="majorHAnsi" w:cstheme="majorHAnsi"/>
          <w:i/>
          <w:iCs/>
        </w:rPr>
      </w:pPr>
      <w:r>
        <w:rPr>
          <w:rFonts w:asciiTheme="majorHAnsi" w:eastAsia="Arial" w:hAnsiTheme="majorHAnsi" w:cstheme="majorHAnsi"/>
          <w:lang w:val="en-US"/>
        </w:rPr>
        <w:t>Logit Models: Intent to Attend 4-Year College (Odds Ratios)</w:t>
      </w:r>
      <w:r>
        <w:rPr>
          <w:rFonts w:asciiTheme="majorHAnsi" w:hAnsiTheme="majorHAnsi" w:cstheme="majorHAnsi"/>
          <w:i/>
          <w:iCs/>
        </w:rPr>
        <w:t>, by Gender Identity</w:t>
      </w:r>
    </w:p>
    <w:p w14:paraId="61FD5218" w14:textId="5ECAF446" w:rsidR="00911B49" w:rsidRPr="00B621E1" w:rsidRDefault="00911B49" w:rsidP="00911B49">
      <w:pPr>
        <w:spacing w:line="360" w:lineRule="auto"/>
        <w:rPr>
          <w:rFonts w:asciiTheme="majorHAnsi" w:eastAsia="Arial" w:hAnsiTheme="majorHAnsi" w:cstheme="majorHAnsi"/>
          <w:lang w:val="en-US"/>
        </w:rPr>
      </w:pPr>
    </w:p>
    <w:tbl>
      <w:tblPr>
        <w:tblW w:w="0" w:type="auto"/>
        <w:jc w:val="center"/>
        <w:tblLayout w:type="fixed"/>
        <w:tblLook w:val="0000" w:firstRow="0" w:lastRow="0" w:firstColumn="0" w:lastColumn="0" w:noHBand="0" w:noVBand="0"/>
      </w:tblPr>
      <w:tblGrid>
        <w:gridCol w:w="2988"/>
        <w:gridCol w:w="2880"/>
        <w:gridCol w:w="2880"/>
      </w:tblGrid>
      <w:tr w:rsidR="00911B49" w:rsidRPr="00B621E1" w14:paraId="6A9D47BD" w14:textId="77777777" w:rsidTr="00AB4825">
        <w:trPr>
          <w:jc w:val="center"/>
        </w:trPr>
        <w:tc>
          <w:tcPr>
            <w:tcW w:w="2988" w:type="dxa"/>
            <w:tcBorders>
              <w:top w:val="single" w:sz="4" w:space="0" w:color="auto"/>
              <w:bottom w:val="single" w:sz="4" w:space="0" w:color="auto"/>
            </w:tcBorders>
            <w:tcMar>
              <w:top w:w="100" w:type="nil"/>
              <w:right w:w="100" w:type="nil"/>
            </w:tcMar>
            <w:vAlign w:val="center"/>
          </w:tcPr>
          <w:p w14:paraId="4E43562F"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top w:val="single" w:sz="4" w:space="0" w:color="auto"/>
              <w:bottom w:val="single" w:sz="4" w:space="0" w:color="auto"/>
            </w:tcBorders>
            <w:tcMar>
              <w:top w:w="100" w:type="nil"/>
              <w:right w:w="100" w:type="nil"/>
            </w:tcMar>
            <w:vAlign w:val="center"/>
          </w:tcPr>
          <w:p w14:paraId="084E1F6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w:t>
            </w:r>
          </w:p>
        </w:tc>
        <w:tc>
          <w:tcPr>
            <w:tcW w:w="2880" w:type="dxa"/>
            <w:tcBorders>
              <w:top w:val="single" w:sz="4" w:space="0" w:color="auto"/>
              <w:bottom w:val="single" w:sz="4" w:space="0" w:color="auto"/>
            </w:tcBorders>
            <w:tcMar>
              <w:top w:w="100" w:type="nil"/>
              <w:right w:w="100" w:type="nil"/>
            </w:tcMar>
            <w:vAlign w:val="center"/>
          </w:tcPr>
          <w:p w14:paraId="381722C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(2)</w:t>
            </w:r>
          </w:p>
        </w:tc>
      </w:tr>
      <w:tr w:rsidR="00911B49" w:rsidRPr="00B621E1" w14:paraId="2C9CCD6B" w14:textId="77777777" w:rsidTr="00AB4825">
        <w:trPr>
          <w:jc w:val="center"/>
        </w:trPr>
        <w:tc>
          <w:tcPr>
            <w:tcW w:w="2988" w:type="dxa"/>
            <w:tcBorders>
              <w:top w:val="single" w:sz="4" w:space="0" w:color="auto"/>
            </w:tcBorders>
            <w:tcMar>
              <w:top w:w="100" w:type="nil"/>
              <w:right w:w="100" w:type="nil"/>
            </w:tcMar>
            <w:vAlign w:val="center"/>
          </w:tcPr>
          <w:p w14:paraId="4C3E8137"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Cisgender Woman</w:t>
            </w:r>
          </w:p>
        </w:tc>
        <w:tc>
          <w:tcPr>
            <w:tcW w:w="2880" w:type="dxa"/>
            <w:tcBorders>
              <w:top w:val="single" w:sz="4" w:space="0" w:color="auto"/>
            </w:tcBorders>
            <w:tcMar>
              <w:top w:w="100" w:type="nil"/>
              <w:right w:w="100" w:type="nil"/>
            </w:tcMar>
            <w:vAlign w:val="center"/>
          </w:tcPr>
          <w:p w14:paraId="14EFF92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1.196</w:t>
            </w:r>
            <w:r>
              <w:rPr>
                <w:rFonts w:asciiTheme="majorHAnsi" w:eastAsia="Arial" w:hAnsiTheme="majorHAnsi" w:cstheme="majorHAnsi"/>
                <w:sz w:val="20"/>
                <w:szCs w:val="20"/>
                <w:vertAlign w:val="superscript"/>
                <w:lang w:val="en-US"/>
              </w:rPr>
              <w:t>***</w:t>
            </w:r>
          </w:p>
        </w:tc>
        <w:tc>
          <w:tcPr>
            <w:tcW w:w="2880" w:type="dxa"/>
            <w:tcBorders>
              <w:top w:val="single" w:sz="4" w:space="0" w:color="auto"/>
            </w:tcBorders>
            <w:tcMar>
              <w:top w:w="100" w:type="nil"/>
              <w:right w:w="100" w:type="nil"/>
            </w:tcMar>
            <w:vAlign w:val="center"/>
          </w:tcPr>
          <w:p w14:paraId="5536A67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1.282</w:t>
            </w:r>
            <w:r>
              <w:rPr>
                <w:rFonts w:asciiTheme="majorHAnsi" w:eastAsia="Arial" w:hAnsiTheme="majorHAnsi" w:cstheme="majorHAnsi"/>
                <w:sz w:val="20"/>
                <w:szCs w:val="20"/>
                <w:vertAlign w:val="superscript"/>
                <w:lang w:val="en-US"/>
              </w:rPr>
              <w:t>***</w:t>
            </w:r>
          </w:p>
        </w:tc>
      </w:tr>
      <w:tr w:rsidR="00911B49" w:rsidRPr="00B621E1" w14:paraId="19FA19B7" w14:textId="77777777" w:rsidTr="00AB4825">
        <w:trPr>
          <w:jc w:val="center"/>
        </w:trPr>
        <w:tc>
          <w:tcPr>
            <w:tcW w:w="2988" w:type="dxa"/>
            <w:tcMar>
              <w:top w:w="100" w:type="nil"/>
              <w:right w:w="100" w:type="nil"/>
            </w:tcMar>
            <w:vAlign w:val="center"/>
          </w:tcPr>
          <w:p w14:paraId="16813F77"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776C778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[1.084,1.319]</w:t>
            </w:r>
          </w:p>
        </w:tc>
        <w:tc>
          <w:tcPr>
            <w:tcW w:w="2880" w:type="dxa"/>
            <w:tcMar>
              <w:top w:w="100" w:type="nil"/>
              <w:right w:w="100" w:type="nil"/>
            </w:tcMar>
            <w:vAlign w:val="center"/>
          </w:tcPr>
          <w:p w14:paraId="1732FBFF"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[1.154,1.424]</w:t>
            </w:r>
          </w:p>
        </w:tc>
      </w:tr>
      <w:tr w:rsidR="00911B49" w:rsidRPr="00B621E1" w14:paraId="14C43554" w14:textId="77777777" w:rsidTr="00AB4825">
        <w:trPr>
          <w:jc w:val="center"/>
        </w:trPr>
        <w:tc>
          <w:tcPr>
            <w:tcW w:w="2988" w:type="dxa"/>
            <w:tcMar>
              <w:top w:w="100" w:type="nil"/>
              <w:right w:w="100" w:type="nil"/>
            </w:tcMar>
            <w:vAlign w:val="center"/>
          </w:tcPr>
          <w:p w14:paraId="2AB93E2D"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F92FCC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4F7E2C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4A81360B" w14:textId="77777777" w:rsidTr="00AB4825">
        <w:trPr>
          <w:jc w:val="center"/>
        </w:trPr>
        <w:tc>
          <w:tcPr>
            <w:tcW w:w="2988" w:type="dxa"/>
            <w:tcMar>
              <w:top w:w="100" w:type="nil"/>
              <w:right w:w="100" w:type="nil"/>
            </w:tcMar>
            <w:vAlign w:val="center"/>
          </w:tcPr>
          <w:p w14:paraId="463E981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Transgender Man</w:t>
            </w:r>
          </w:p>
        </w:tc>
        <w:tc>
          <w:tcPr>
            <w:tcW w:w="2880" w:type="dxa"/>
            <w:tcMar>
              <w:top w:w="100" w:type="nil"/>
              <w:right w:w="100" w:type="nil"/>
            </w:tcMar>
            <w:vAlign w:val="center"/>
          </w:tcPr>
          <w:p w14:paraId="6A5E0D5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1.676</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3531972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1.481</w:t>
            </w:r>
          </w:p>
        </w:tc>
      </w:tr>
      <w:tr w:rsidR="00911B49" w:rsidRPr="00B621E1" w14:paraId="66AD2BC8" w14:textId="77777777" w:rsidTr="00AB4825">
        <w:trPr>
          <w:jc w:val="center"/>
        </w:trPr>
        <w:tc>
          <w:tcPr>
            <w:tcW w:w="2988" w:type="dxa"/>
            <w:tcMar>
              <w:top w:w="100" w:type="nil"/>
              <w:right w:w="100" w:type="nil"/>
            </w:tcMar>
            <w:vAlign w:val="center"/>
          </w:tcPr>
          <w:p w14:paraId="5A0333A3"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47E0E6C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[0.958,2.933]</w:t>
            </w:r>
          </w:p>
        </w:tc>
        <w:tc>
          <w:tcPr>
            <w:tcW w:w="2880" w:type="dxa"/>
            <w:tcMar>
              <w:top w:w="100" w:type="nil"/>
              <w:right w:w="100" w:type="nil"/>
            </w:tcMar>
            <w:vAlign w:val="center"/>
          </w:tcPr>
          <w:p w14:paraId="1A02561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[0.816,2.686]</w:t>
            </w:r>
          </w:p>
        </w:tc>
      </w:tr>
      <w:tr w:rsidR="00911B49" w:rsidRPr="00B621E1" w14:paraId="36383A96" w14:textId="77777777" w:rsidTr="00AB4825">
        <w:trPr>
          <w:jc w:val="center"/>
        </w:trPr>
        <w:tc>
          <w:tcPr>
            <w:tcW w:w="2988" w:type="dxa"/>
            <w:tcMar>
              <w:top w:w="100" w:type="nil"/>
              <w:right w:w="100" w:type="nil"/>
            </w:tcMar>
            <w:vAlign w:val="center"/>
          </w:tcPr>
          <w:p w14:paraId="1C7594CA"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5D9C9E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F233F17"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213C24CF" w14:textId="77777777" w:rsidTr="00AB4825">
        <w:trPr>
          <w:jc w:val="center"/>
        </w:trPr>
        <w:tc>
          <w:tcPr>
            <w:tcW w:w="2988" w:type="dxa"/>
            <w:tcMar>
              <w:top w:w="100" w:type="nil"/>
              <w:right w:w="100" w:type="nil"/>
            </w:tcMar>
            <w:vAlign w:val="center"/>
          </w:tcPr>
          <w:p w14:paraId="262C4F41"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Transgender Woman</w:t>
            </w:r>
          </w:p>
        </w:tc>
        <w:tc>
          <w:tcPr>
            <w:tcW w:w="2880" w:type="dxa"/>
            <w:tcMar>
              <w:top w:w="100" w:type="nil"/>
              <w:right w:w="100" w:type="nil"/>
            </w:tcMar>
            <w:vAlign w:val="center"/>
          </w:tcPr>
          <w:p w14:paraId="0CE9446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1.717</w:t>
            </w:r>
          </w:p>
        </w:tc>
        <w:tc>
          <w:tcPr>
            <w:tcW w:w="2880" w:type="dxa"/>
            <w:tcMar>
              <w:top w:w="100" w:type="nil"/>
              <w:right w:w="100" w:type="nil"/>
            </w:tcMar>
            <w:vAlign w:val="center"/>
          </w:tcPr>
          <w:p w14:paraId="6BF1404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1.516</w:t>
            </w:r>
          </w:p>
        </w:tc>
      </w:tr>
      <w:tr w:rsidR="00911B49" w:rsidRPr="00B621E1" w14:paraId="27CCC111" w14:textId="77777777" w:rsidTr="00AB4825">
        <w:trPr>
          <w:jc w:val="center"/>
        </w:trPr>
        <w:tc>
          <w:tcPr>
            <w:tcW w:w="2988" w:type="dxa"/>
            <w:tcMar>
              <w:top w:w="100" w:type="nil"/>
              <w:right w:w="100" w:type="nil"/>
            </w:tcMar>
            <w:vAlign w:val="center"/>
          </w:tcPr>
          <w:p w14:paraId="1B5CEF72"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575A9E8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[0.658,4.482]</w:t>
            </w:r>
          </w:p>
        </w:tc>
        <w:tc>
          <w:tcPr>
            <w:tcW w:w="2880" w:type="dxa"/>
            <w:tcMar>
              <w:top w:w="100" w:type="nil"/>
              <w:right w:w="100" w:type="nil"/>
            </w:tcMar>
            <w:vAlign w:val="center"/>
          </w:tcPr>
          <w:p w14:paraId="4A7FE6F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[0.549,4.190]</w:t>
            </w:r>
          </w:p>
        </w:tc>
      </w:tr>
      <w:tr w:rsidR="00911B49" w:rsidRPr="00B621E1" w14:paraId="539FC6EB" w14:textId="77777777" w:rsidTr="00AB4825">
        <w:trPr>
          <w:jc w:val="center"/>
        </w:trPr>
        <w:tc>
          <w:tcPr>
            <w:tcW w:w="2988" w:type="dxa"/>
            <w:tcMar>
              <w:top w:w="100" w:type="nil"/>
              <w:right w:w="100" w:type="nil"/>
            </w:tcMar>
            <w:vAlign w:val="center"/>
          </w:tcPr>
          <w:p w14:paraId="75175E26"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83C1C1"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05ACDCD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1A2BD2A5" w14:textId="77777777" w:rsidTr="00AB4825">
        <w:trPr>
          <w:jc w:val="center"/>
        </w:trPr>
        <w:tc>
          <w:tcPr>
            <w:tcW w:w="2988" w:type="dxa"/>
            <w:tcMar>
              <w:top w:w="100" w:type="nil"/>
              <w:right w:w="100" w:type="nil"/>
            </w:tcMar>
            <w:vAlign w:val="center"/>
          </w:tcPr>
          <w:p w14:paraId="339EF76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Non-binary</w:t>
            </w:r>
          </w:p>
        </w:tc>
        <w:tc>
          <w:tcPr>
            <w:tcW w:w="2880" w:type="dxa"/>
            <w:tcMar>
              <w:top w:w="100" w:type="nil"/>
              <w:right w:w="100" w:type="nil"/>
            </w:tcMar>
            <w:vAlign w:val="center"/>
          </w:tcPr>
          <w:p w14:paraId="748699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1.400</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6AC4C7A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1.341</w:t>
            </w:r>
            <w:r>
              <w:rPr>
                <w:rFonts w:asciiTheme="majorHAnsi" w:eastAsia="Arial" w:hAnsiTheme="majorHAnsi" w:cstheme="majorHAnsi"/>
                <w:sz w:val="20"/>
                <w:szCs w:val="20"/>
                <w:vertAlign w:val="superscript"/>
                <w:lang w:val="en-US"/>
              </w:rPr>
              <w:t>**</w:t>
            </w:r>
          </w:p>
        </w:tc>
      </w:tr>
      <w:tr w:rsidR="00911B49" w:rsidRPr="00B621E1" w14:paraId="734BAE67" w14:textId="77777777" w:rsidTr="00AB4825">
        <w:trPr>
          <w:jc w:val="center"/>
        </w:trPr>
        <w:tc>
          <w:tcPr>
            <w:tcW w:w="2988" w:type="dxa"/>
            <w:tcMar>
              <w:top w:w="100" w:type="nil"/>
              <w:right w:w="100" w:type="nil"/>
            </w:tcMar>
            <w:vAlign w:val="center"/>
          </w:tcPr>
          <w:p w14:paraId="1E3CC55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6BFD7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[1.075,1.822]</w:t>
            </w:r>
          </w:p>
        </w:tc>
        <w:tc>
          <w:tcPr>
            <w:tcW w:w="2880" w:type="dxa"/>
            <w:tcMar>
              <w:top w:w="100" w:type="nil"/>
              <w:right w:w="100" w:type="nil"/>
            </w:tcMar>
            <w:vAlign w:val="center"/>
          </w:tcPr>
          <w:p w14:paraId="75E87E8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[1.015,1.771]</w:t>
            </w:r>
          </w:p>
        </w:tc>
      </w:tr>
      <w:tr w:rsidR="00911B49" w:rsidRPr="00B621E1" w14:paraId="61AF4BC5" w14:textId="77777777" w:rsidTr="00AB4825">
        <w:trPr>
          <w:jc w:val="center"/>
        </w:trPr>
        <w:tc>
          <w:tcPr>
            <w:tcW w:w="2988" w:type="dxa"/>
            <w:tcMar>
              <w:top w:w="100" w:type="nil"/>
              <w:right w:w="100" w:type="nil"/>
            </w:tcMar>
            <w:vAlign w:val="center"/>
          </w:tcPr>
          <w:p w14:paraId="396E94B0"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24AF3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70755E4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362A3C30" w14:textId="77777777" w:rsidTr="00AB4825">
        <w:trPr>
          <w:jc w:val="center"/>
        </w:trPr>
        <w:tc>
          <w:tcPr>
            <w:tcW w:w="2988" w:type="dxa"/>
            <w:tcMar>
              <w:top w:w="100" w:type="nil"/>
              <w:right w:w="100" w:type="nil"/>
            </w:tcMar>
            <w:vAlign w:val="center"/>
          </w:tcPr>
          <w:p w14:paraId="1CFAAD65"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Gender Diverse/Questioning</w:t>
            </w:r>
          </w:p>
        </w:tc>
        <w:tc>
          <w:tcPr>
            <w:tcW w:w="2880" w:type="dxa"/>
            <w:tcMar>
              <w:top w:w="100" w:type="nil"/>
              <w:right w:w="100" w:type="nil"/>
            </w:tcMar>
            <w:vAlign w:val="center"/>
          </w:tcPr>
          <w:p w14:paraId="57DAB39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0.757</w:t>
            </w:r>
          </w:p>
        </w:tc>
        <w:tc>
          <w:tcPr>
            <w:tcW w:w="2880" w:type="dxa"/>
            <w:tcMar>
              <w:top w:w="100" w:type="nil"/>
              <w:right w:w="100" w:type="nil"/>
            </w:tcMar>
            <w:vAlign w:val="center"/>
          </w:tcPr>
          <w:p w14:paraId="7C286EA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0.681</w:t>
            </w:r>
          </w:p>
        </w:tc>
      </w:tr>
      <w:tr w:rsidR="00911B49" w:rsidRPr="00B621E1" w14:paraId="11A05C90" w14:textId="77777777" w:rsidTr="00AB4825">
        <w:trPr>
          <w:jc w:val="center"/>
        </w:trPr>
        <w:tc>
          <w:tcPr>
            <w:tcW w:w="2988" w:type="dxa"/>
            <w:tcMar>
              <w:top w:w="100" w:type="nil"/>
              <w:right w:w="100" w:type="nil"/>
            </w:tcMar>
            <w:vAlign w:val="center"/>
          </w:tcPr>
          <w:p w14:paraId="0D53BB68"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049409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[0.472,1.213]</w:t>
            </w:r>
          </w:p>
        </w:tc>
        <w:tc>
          <w:tcPr>
            <w:tcW w:w="2880" w:type="dxa"/>
            <w:tcMar>
              <w:top w:w="100" w:type="nil"/>
              <w:right w:w="100" w:type="nil"/>
            </w:tcMar>
            <w:vAlign w:val="center"/>
          </w:tcPr>
          <w:p w14:paraId="753F1F4A"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[0.412,1.125]</w:t>
            </w:r>
          </w:p>
        </w:tc>
      </w:tr>
      <w:tr w:rsidR="00911B49" w:rsidRPr="00B621E1" w14:paraId="40F877D6" w14:textId="77777777" w:rsidTr="00AB4825">
        <w:trPr>
          <w:jc w:val="center"/>
        </w:trPr>
        <w:tc>
          <w:tcPr>
            <w:tcW w:w="2988" w:type="dxa"/>
            <w:tcMar>
              <w:top w:w="100" w:type="nil"/>
              <w:right w:w="100" w:type="nil"/>
            </w:tcMar>
            <w:vAlign w:val="center"/>
          </w:tcPr>
          <w:p w14:paraId="500BAB65"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ABB2C8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29A884B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6F859B96" w14:textId="77777777" w:rsidTr="00AB4825">
        <w:trPr>
          <w:jc w:val="center"/>
        </w:trPr>
        <w:tc>
          <w:tcPr>
            <w:tcW w:w="2988" w:type="dxa"/>
            <w:tcMar>
              <w:top w:w="100" w:type="nil"/>
              <w:right w:w="100" w:type="nil"/>
            </w:tcMar>
            <w:vAlign w:val="center"/>
          </w:tcPr>
          <w:p w14:paraId="171A234A"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Prefer Not to Say</w:t>
            </w:r>
          </w:p>
        </w:tc>
        <w:tc>
          <w:tcPr>
            <w:tcW w:w="2880" w:type="dxa"/>
            <w:tcMar>
              <w:top w:w="100" w:type="nil"/>
              <w:right w:w="100" w:type="nil"/>
            </w:tcMar>
            <w:vAlign w:val="center"/>
          </w:tcPr>
          <w:p w14:paraId="60C8797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1.117</w:t>
            </w:r>
          </w:p>
        </w:tc>
        <w:tc>
          <w:tcPr>
            <w:tcW w:w="2880" w:type="dxa"/>
            <w:tcMar>
              <w:top w:w="100" w:type="nil"/>
              <w:right w:w="100" w:type="nil"/>
            </w:tcMar>
            <w:vAlign w:val="center"/>
          </w:tcPr>
          <w:p w14:paraId="05E9A5A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1.100</w:t>
            </w:r>
          </w:p>
        </w:tc>
      </w:tr>
      <w:tr w:rsidR="00911B49" w:rsidRPr="00B621E1" w14:paraId="0014E3C7" w14:textId="77777777" w:rsidTr="00AB4825">
        <w:trPr>
          <w:jc w:val="center"/>
        </w:trPr>
        <w:tc>
          <w:tcPr>
            <w:tcW w:w="2988" w:type="dxa"/>
            <w:tcBorders>
              <w:bottom w:val="single" w:sz="4" w:space="0" w:color="auto"/>
            </w:tcBorders>
            <w:tcMar>
              <w:top w:w="100" w:type="nil"/>
              <w:right w:w="100" w:type="nil"/>
            </w:tcMar>
            <w:vAlign w:val="center"/>
          </w:tcPr>
          <w:p w14:paraId="73AEBD1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bottom w:val="single" w:sz="4" w:space="0" w:color="auto"/>
            </w:tcBorders>
            <w:tcMar>
              <w:top w:w="100" w:type="nil"/>
              <w:right w:w="100" w:type="nil"/>
            </w:tcMar>
            <w:vAlign w:val="center"/>
          </w:tcPr>
          <w:p w14:paraId="1199992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[0.790,1.579]</w:t>
            </w:r>
          </w:p>
        </w:tc>
        <w:tc>
          <w:tcPr>
            <w:tcW w:w="2880" w:type="dxa"/>
            <w:tcBorders>
              <w:bottom w:val="single" w:sz="4" w:space="0" w:color="auto"/>
            </w:tcBorders>
            <w:tcMar>
              <w:top w:w="100" w:type="nil"/>
              <w:right w:w="100" w:type="nil"/>
            </w:tcMar>
            <w:vAlign w:val="center"/>
          </w:tcPr>
          <w:p w14:paraId="4C94B5F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[0.754,1.603]</w:t>
            </w:r>
          </w:p>
        </w:tc>
      </w:tr>
      <w:tr w:rsidR="00911B49" w:rsidRPr="00B621E1" w14:paraId="25C15774" w14:textId="77777777" w:rsidTr="00AB4825">
        <w:trPr>
          <w:jc w:val="center"/>
        </w:trPr>
        <w:tc>
          <w:tcPr>
            <w:tcW w:w="2988" w:type="dxa"/>
            <w:tcBorders>
              <w:top w:val="single" w:sz="4" w:space="0" w:color="auto"/>
            </w:tcBorders>
            <w:tcMar>
              <w:top w:w="100" w:type="nil"/>
              <w:right w:w="100" w:type="nil"/>
            </w:tcMar>
            <w:vAlign w:val="center"/>
          </w:tcPr>
          <w:p w14:paraId="3C72FB1F"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Observations</w:t>
            </w:r>
          </w:p>
        </w:tc>
        <w:tc>
          <w:tcPr>
            <w:tcW w:w="2880" w:type="dxa"/>
            <w:tcBorders>
              <w:top w:val="single" w:sz="4" w:space="0" w:color="auto"/>
            </w:tcBorders>
            <w:tcMar>
              <w:top w:w="100" w:type="nil"/>
              <w:right w:w="100" w:type="nil"/>
            </w:tcMar>
            <w:vAlign w:val="center"/>
          </w:tcPr>
          <w:p w14:paraId="2218A61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7522</w:t>
            </w:r>
          </w:p>
        </w:tc>
        <w:tc>
          <w:tcPr>
            <w:tcW w:w="2880" w:type="dxa"/>
            <w:tcBorders>
              <w:top w:val="single" w:sz="4" w:space="0" w:color="auto"/>
            </w:tcBorders>
            <w:tcMar>
              <w:top w:w="100" w:type="nil"/>
              <w:right w:w="100" w:type="nil"/>
            </w:tcMar>
            <w:vAlign w:val="center"/>
          </w:tcPr>
          <w:p w14:paraId="26A8689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7498</w:t>
            </w:r>
          </w:p>
        </w:tc>
      </w:tr>
      <w:tr w:rsidR="00911B49" w:rsidRPr="00B621E1" w14:paraId="403A693B" w14:textId="77777777" w:rsidTr="00AB4825">
        <w:trPr>
          <w:jc w:val="center"/>
        </w:trPr>
        <w:tc>
          <w:tcPr>
            <w:tcW w:w="2988" w:type="dxa"/>
            <w:tcBorders>
              <w:bottom w:val="single" w:sz="4" w:space="0" w:color="auto"/>
            </w:tcBorders>
            <w:tcMar>
              <w:top w:w="100" w:type="nil"/>
              <w:right w:w="100" w:type="nil"/>
            </w:tcMar>
            <w:vAlign w:val="center"/>
          </w:tcPr>
          <w:p w14:paraId="0544B484"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Demographic Controls</w:t>
            </w:r>
          </w:p>
        </w:tc>
        <w:tc>
          <w:tcPr>
            <w:tcW w:w="2880" w:type="dxa"/>
            <w:tcBorders>
              <w:bottom w:val="single" w:sz="4" w:space="0" w:color="auto"/>
            </w:tcBorders>
            <w:tcMar>
              <w:top w:w="100" w:type="nil"/>
              <w:right w:w="100" w:type="nil"/>
            </w:tcMar>
            <w:vAlign w:val="center"/>
          </w:tcPr>
          <w:p w14:paraId="37CDE85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w:t>
            </w:r>
          </w:p>
        </w:tc>
        <w:tc>
          <w:tcPr>
            <w:tcW w:w="2880" w:type="dxa"/>
            <w:tcBorders>
              <w:bottom w:val="single" w:sz="4" w:space="0" w:color="auto"/>
            </w:tcBorders>
            <w:tcMar>
              <w:top w:w="100" w:type="nil"/>
              <w:right w:w="100" w:type="nil"/>
            </w:tcMar>
            <w:vAlign w:val="center"/>
          </w:tcPr>
          <w:p w14:paraId="7157613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Yes</w:t>
            </w:r>
          </w:p>
        </w:tc>
      </w:tr>
    </w:tbl>
    <w:p w14:paraId="1BE3D0E1"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Exponentiated coefficients; 95% confidence intervals in brackets</w:t>
      </w:r>
    </w:p>
    <w:p w14:paraId="0DD1166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0.10,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0.05,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0.01</w:t>
      </w:r>
    </w:p>
    <w:p w14:paraId="2AF3BB64" w14:textId="77777777" w:rsidR="004F595A" w:rsidRPr="00AB4825" w:rsidRDefault="004F595A" w:rsidP="004F595A">
      <w:pPr>
        <w:spacing w:line="360" w:lineRule="auto"/>
        <w:rPr>
          <w:rFonts w:asciiTheme="majorHAnsi" w:eastAsia="Arial" w:hAnsiTheme="majorHAnsi" w:cstheme="majorHAnsi"/>
          <w:sz w:val="20"/>
          <w:szCs w:val="20"/>
        </w:rPr>
      </w:pPr>
      <w:r>
        <w:rPr>
          <w:rFonts w:asciiTheme="majorHAnsi" w:eastAsia="Arial" w:hAnsiTheme="majorHAnsi" w:cstheme="majorHAnsi"/>
          <w:sz w:val="20"/>
          <w:szCs w:val="20"/>
        </w:rPr>
        <w:t xml:space="preserve"> </w:t>
      </w:r>
    </w:p>
    <w:p w14:paraId="42A653B8" w14:textId="1EFF9DD3" w:rsidR="004F595A" w:rsidRPr="00B621E1" w:rsidRDefault="004F595A" w:rsidP="004F595A">
      <w:pPr>
        <w:spacing w:line="360" w:lineRule="auto"/>
        <w:rPr>
          <w:rFonts w:asciiTheme="majorHAnsi" w:hAnsiTheme="majorHAnsi" w:cstheme="majorHAnsi"/>
        </w:rPr>
      </w:pPr>
      <w:r>
        <w:rPr>
          <w:rFonts w:asciiTheme="majorHAnsi" w:hAnsiTheme="majorHAnsi" w:cstheme="majorHAnsi"/>
          <w:b/>
          <w:bCs/>
        </w:rPr>
        <w:t>Table 7</w:t>
      </w:r>
    </w:p>
    <w:p w14:paraId="090CC59D" w14:textId="25E57746" w:rsidR="00D644EE" w:rsidRPr="00B621E1" w:rsidRDefault="00D644EE">
      <w:pPr>
        <w:autoSpaceDE w:val="0"/>
        <w:autoSpaceDN w:val="0"/>
        <w:adjustRightInd w:val="0"/>
        <w:rPr>
          <w:rFonts w:asciiTheme="majorHAnsi" w:hAnsiTheme="majorHAnsi" w:cstheme="majorHAnsi"/>
          <w:lang w:val="en-US"/>
        </w:rPr>
      </w:pPr>
      <w:r>
        <w:rPr>
          <w:rFonts w:asciiTheme="majorHAnsi" w:hAnsiTheme="majorHAnsi" w:cstheme="majorHAnsi"/>
          <w:lang w:val="en-US"/>
        </w:rPr>
        <w:lastRenderedPageBreak/>
        <w:t>Logit Models: Intent to Attend 4-Year College (Odds Ratios), by Sexual Orientation</w:t>
      </w:r>
    </w:p>
    <w:p w14:paraId="29226C46" w14:textId="77777777" w:rsidR="002A0567" w:rsidRPr="00AB4825" w:rsidRDefault="002A0567">
      <w:pPr>
        <w:autoSpaceDE w:val="0"/>
        <w:autoSpaceDN w:val="0"/>
        <w:adjustRightInd w:val="0"/>
        <w:rPr>
          <w:rFonts w:asciiTheme="majorHAnsi" w:hAnsiTheme="majorHAnsi" w:cstheme="majorHAnsi"/>
          <w:lang w:val="en-US"/>
        </w:rPr>
      </w:pPr>
    </w:p>
    <w:tbl>
      <w:tblPr>
        <w:tblW w:w="0" w:type="auto"/>
        <w:jc w:val="center"/>
        <w:tblLayout w:type="fixed"/>
        <w:tblLook w:val="0000" w:firstRow="0" w:lastRow="0" w:firstColumn="0" w:lastColumn="0" w:noHBand="0" w:noVBand="0"/>
      </w:tblPr>
      <w:tblGrid>
        <w:gridCol w:w="2268"/>
        <w:gridCol w:w="2160"/>
        <w:gridCol w:w="2160"/>
        <w:gridCol w:w="2160"/>
      </w:tblGrid>
      <w:tr w:rsidR="00D644EE" w:rsidRPr="00B621E1" w14:paraId="49A1CD28" w14:textId="77777777" w:rsidTr="00AB4825">
        <w:trPr>
          <w:jc w:val="center"/>
        </w:trPr>
        <w:tc>
          <w:tcPr>
            <w:tcW w:w="2268" w:type="dxa"/>
            <w:tcBorders>
              <w:top w:val="single" w:sz="4" w:space="0" w:color="auto"/>
              <w:bottom w:val="single" w:sz="4" w:space="0" w:color="auto"/>
            </w:tcBorders>
            <w:tcMar>
              <w:top w:w="100" w:type="nil"/>
              <w:right w:w="100" w:type="nil"/>
            </w:tcMar>
            <w:vAlign w:val="center"/>
          </w:tcPr>
          <w:p w14:paraId="4A05DE1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top w:val="single" w:sz="4" w:space="0" w:color="auto"/>
              <w:bottom w:val="single" w:sz="4" w:space="0" w:color="auto"/>
            </w:tcBorders>
            <w:tcMar>
              <w:top w:w="100" w:type="nil"/>
              <w:right w:w="100" w:type="nil"/>
            </w:tcMar>
            <w:vAlign w:val="center"/>
          </w:tcPr>
          <w:p w14:paraId="5E261230"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2160" w:type="dxa"/>
            <w:tcBorders>
              <w:top w:val="single" w:sz="4" w:space="0" w:color="auto"/>
              <w:bottom w:val="single" w:sz="4" w:space="0" w:color="auto"/>
            </w:tcBorders>
            <w:tcMar>
              <w:top w:w="100" w:type="nil"/>
              <w:right w:w="100" w:type="nil"/>
            </w:tcMar>
            <w:vAlign w:val="center"/>
          </w:tcPr>
          <w:p w14:paraId="7594A2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2160" w:type="dxa"/>
            <w:tcBorders>
              <w:top w:val="single" w:sz="4" w:space="0" w:color="auto"/>
              <w:bottom w:val="single" w:sz="4" w:space="0" w:color="auto"/>
            </w:tcBorders>
            <w:tcMar>
              <w:top w:w="100" w:type="nil"/>
              <w:right w:w="100" w:type="nil"/>
            </w:tcMar>
            <w:vAlign w:val="center"/>
          </w:tcPr>
          <w:p w14:paraId="622F3F7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D644EE" w:rsidRPr="00B621E1" w14:paraId="0E8D75F4" w14:textId="77777777" w:rsidTr="00AB4825">
        <w:trPr>
          <w:jc w:val="center"/>
        </w:trPr>
        <w:tc>
          <w:tcPr>
            <w:tcW w:w="2268" w:type="dxa"/>
            <w:tcBorders>
              <w:top w:val="single" w:sz="4" w:space="0" w:color="auto"/>
            </w:tcBorders>
            <w:tcMar>
              <w:top w:w="100" w:type="nil"/>
              <w:right w:w="100" w:type="nil"/>
            </w:tcMar>
            <w:vAlign w:val="center"/>
          </w:tcPr>
          <w:p w14:paraId="2DB7561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Gay or Lesbian</w:t>
            </w:r>
          </w:p>
        </w:tc>
        <w:tc>
          <w:tcPr>
            <w:tcW w:w="2160" w:type="dxa"/>
            <w:tcBorders>
              <w:top w:val="single" w:sz="4" w:space="0" w:color="auto"/>
            </w:tcBorders>
            <w:tcMar>
              <w:top w:w="100" w:type="nil"/>
              <w:right w:w="100" w:type="nil"/>
            </w:tcMar>
            <w:vAlign w:val="center"/>
          </w:tcPr>
          <w:p w14:paraId="6D6E8CF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1.692</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4522CD0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1.498</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632146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1.496</w:t>
            </w:r>
            <w:r>
              <w:rPr>
                <w:rFonts w:asciiTheme="majorHAnsi" w:hAnsiTheme="majorHAnsi" w:cstheme="majorHAnsi"/>
                <w:sz w:val="20"/>
                <w:szCs w:val="20"/>
                <w:vertAlign w:val="superscript"/>
                <w:lang w:val="en-US"/>
              </w:rPr>
              <w:t>***</w:t>
            </w:r>
          </w:p>
        </w:tc>
      </w:tr>
      <w:tr w:rsidR="00D644EE" w:rsidRPr="00B621E1" w14:paraId="1F10B46B" w14:textId="77777777" w:rsidTr="00AB4825">
        <w:trPr>
          <w:jc w:val="center"/>
        </w:trPr>
        <w:tc>
          <w:tcPr>
            <w:tcW w:w="2268" w:type="dxa"/>
            <w:tcMar>
              <w:top w:w="100" w:type="nil"/>
              <w:right w:w="100" w:type="nil"/>
            </w:tcMar>
            <w:vAlign w:val="center"/>
          </w:tcPr>
          <w:p w14:paraId="63F2CA0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743E990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[1.327,2.156]</w:t>
            </w:r>
          </w:p>
        </w:tc>
        <w:tc>
          <w:tcPr>
            <w:tcW w:w="2160" w:type="dxa"/>
            <w:tcMar>
              <w:top w:w="100" w:type="nil"/>
              <w:right w:w="100" w:type="nil"/>
            </w:tcMar>
            <w:vAlign w:val="center"/>
          </w:tcPr>
          <w:p w14:paraId="2081C43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[1.159,1.935]</w:t>
            </w:r>
          </w:p>
        </w:tc>
        <w:tc>
          <w:tcPr>
            <w:tcW w:w="2160" w:type="dxa"/>
            <w:tcMar>
              <w:top w:w="100" w:type="nil"/>
              <w:right w:w="100" w:type="nil"/>
            </w:tcMar>
            <w:vAlign w:val="center"/>
          </w:tcPr>
          <w:p w14:paraId="2D5132A5"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[1.157,1.935]</w:t>
            </w:r>
          </w:p>
        </w:tc>
      </w:tr>
      <w:tr w:rsidR="00D644EE" w:rsidRPr="00B621E1" w14:paraId="573BDBDB" w14:textId="77777777" w:rsidTr="00AB4825">
        <w:trPr>
          <w:jc w:val="center"/>
        </w:trPr>
        <w:tc>
          <w:tcPr>
            <w:tcW w:w="2268" w:type="dxa"/>
            <w:tcMar>
              <w:top w:w="100" w:type="nil"/>
              <w:right w:w="100" w:type="nil"/>
            </w:tcMar>
            <w:vAlign w:val="center"/>
          </w:tcPr>
          <w:p w14:paraId="5EE6237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DEC8293"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55A072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D18DD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0153841B" w14:textId="77777777" w:rsidTr="00AB4825">
        <w:trPr>
          <w:jc w:val="center"/>
        </w:trPr>
        <w:tc>
          <w:tcPr>
            <w:tcW w:w="2268" w:type="dxa"/>
            <w:tcMar>
              <w:top w:w="100" w:type="nil"/>
              <w:right w:w="100" w:type="nil"/>
            </w:tcMar>
            <w:vAlign w:val="center"/>
          </w:tcPr>
          <w:p w14:paraId="2E6E3D7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Bisexual/Pansexual/Omnisexual</w:t>
            </w:r>
          </w:p>
        </w:tc>
        <w:tc>
          <w:tcPr>
            <w:tcW w:w="2160" w:type="dxa"/>
            <w:tcMar>
              <w:top w:w="100" w:type="nil"/>
              <w:right w:w="100" w:type="nil"/>
            </w:tcMar>
            <w:vAlign w:val="center"/>
          </w:tcPr>
          <w:p w14:paraId="5639076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1.410</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64DEAA7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1.347</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4D3EE7E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1.264</w:t>
            </w:r>
            <w:r>
              <w:rPr>
                <w:rFonts w:asciiTheme="majorHAnsi" w:hAnsiTheme="majorHAnsi" w:cstheme="majorHAnsi"/>
                <w:sz w:val="20"/>
                <w:szCs w:val="20"/>
                <w:vertAlign w:val="superscript"/>
                <w:lang w:val="en-US"/>
              </w:rPr>
              <w:t>***</w:t>
            </w:r>
          </w:p>
        </w:tc>
      </w:tr>
      <w:tr w:rsidR="00D644EE" w:rsidRPr="00B621E1" w14:paraId="660EDB22" w14:textId="77777777" w:rsidTr="00AB4825">
        <w:trPr>
          <w:jc w:val="center"/>
        </w:trPr>
        <w:tc>
          <w:tcPr>
            <w:tcW w:w="2268" w:type="dxa"/>
            <w:tcMar>
              <w:top w:w="100" w:type="nil"/>
              <w:right w:w="100" w:type="nil"/>
            </w:tcMar>
            <w:vAlign w:val="center"/>
          </w:tcPr>
          <w:p w14:paraId="7BFFA49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95A628B"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[1.233,1.614]</w:t>
            </w:r>
          </w:p>
        </w:tc>
        <w:tc>
          <w:tcPr>
            <w:tcW w:w="2160" w:type="dxa"/>
            <w:tcMar>
              <w:top w:w="100" w:type="nil"/>
              <w:right w:w="100" w:type="nil"/>
            </w:tcMar>
            <w:vAlign w:val="center"/>
          </w:tcPr>
          <w:p w14:paraId="3B832F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[1.169,1.553]</w:t>
            </w:r>
          </w:p>
        </w:tc>
        <w:tc>
          <w:tcPr>
            <w:tcW w:w="2160" w:type="dxa"/>
            <w:tcMar>
              <w:top w:w="100" w:type="nil"/>
              <w:right w:w="100" w:type="nil"/>
            </w:tcMar>
            <w:vAlign w:val="center"/>
          </w:tcPr>
          <w:p w14:paraId="32B5085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[1.093,1.462]</w:t>
            </w:r>
          </w:p>
        </w:tc>
      </w:tr>
      <w:tr w:rsidR="00D644EE" w:rsidRPr="00B621E1" w14:paraId="2B74B04D" w14:textId="77777777" w:rsidTr="00AB4825">
        <w:trPr>
          <w:jc w:val="center"/>
        </w:trPr>
        <w:tc>
          <w:tcPr>
            <w:tcW w:w="2268" w:type="dxa"/>
            <w:tcMar>
              <w:top w:w="100" w:type="nil"/>
              <w:right w:w="100" w:type="nil"/>
            </w:tcMar>
            <w:vAlign w:val="center"/>
          </w:tcPr>
          <w:p w14:paraId="62F9912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B424AE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41440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7DCC4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5763A2DD" w14:textId="77777777" w:rsidTr="00AB4825">
        <w:trPr>
          <w:jc w:val="center"/>
        </w:trPr>
        <w:tc>
          <w:tcPr>
            <w:tcW w:w="2268" w:type="dxa"/>
            <w:tcMar>
              <w:top w:w="100" w:type="nil"/>
              <w:right w:w="100" w:type="nil"/>
            </w:tcMar>
            <w:vAlign w:val="center"/>
          </w:tcPr>
          <w:p w14:paraId="369C3671"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Asexual/Aromantic/Demisexual</w:t>
            </w:r>
          </w:p>
        </w:tc>
        <w:tc>
          <w:tcPr>
            <w:tcW w:w="2160" w:type="dxa"/>
            <w:tcMar>
              <w:top w:w="100" w:type="nil"/>
              <w:right w:w="100" w:type="nil"/>
            </w:tcMar>
            <w:vAlign w:val="center"/>
          </w:tcPr>
          <w:p w14:paraId="21E156E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1.608</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5CD0C60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1.190</w:t>
            </w:r>
          </w:p>
        </w:tc>
        <w:tc>
          <w:tcPr>
            <w:tcW w:w="2160" w:type="dxa"/>
            <w:tcMar>
              <w:top w:w="100" w:type="nil"/>
              <w:right w:w="100" w:type="nil"/>
            </w:tcMar>
            <w:vAlign w:val="center"/>
          </w:tcPr>
          <w:p w14:paraId="504A8F2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1.116</w:t>
            </w:r>
          </w:p>
        </w:tc>
      </w:tr>
      <w:tr w:rsidR="00D644EE" w:rsidRPr="00B621E1" w14:paraId="0795A6E2" w14:textId="77777777" w:rsidTr="00AB4825">
        <w:trPr>
          <w:jc w:val="center"/>
        </w:trPr>
        <w:tc>
          <w:tcPr>
            <w:tcW w:w="2268" w:type="dxa"/>
            <w:tcMar>
              <w:top w:w="100" w:type="nil"/>
              <w:right w:w="100" w:type="nil"/>
            </w:tcMar>
            <w:vAlign w:val="center"/>
          </w:tcPr>
          <w:p w14:paraId="246BD93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879FB0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[1.168,2.213]</w:t>
            </w:r>
          </w:p>
        </w:tc>
        <w:tc>
          <w:tcPr>
            <w:tcW w:w="2160" w:type="dxa"/>
            <w:tcMar>
              <w:top w:w="100" w:type="nil"/>
              <w:right w:w="100" w:type="nil"/>
            </w:tcMar>
            <w:vAlign w:val="center"/>
          </w:tcPr>
          <w:p w14:paraId="5A9F73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[0.845,1.675]</w:t>
            </w:r>
          </w:p>
        </w:tc>
        <w:tc>
          <w:tcPr>
            <w:tcW w:w="2160" w:type="dxa"/>
            <w:tcMar>
              <w:top w:w="100" w:type="nil"/>
              <w:right w:w="100" w:type="nil"/>
            </w:tcMar>
            <w:vAlign w:val="center"/>
          </w:tcPr>
          <w:p w14:paraId="3223197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[0.790,1.575]</w:t>
            </w:r>
          </w:p>
        </w:tc>
      </w:tr>
      <w:tr w:rsidR="00D644EE" w:rsidRPr="00B621E1" w14:paraId="0977CF78" w14:textId="77777777" w:rsidTr="00AB4825">
        <w:trPr>
          <w:jc w:val="center"/>
        </w:trPr>
        <w:tc>
          <w:tcPr>
            <w:tcW w:w="2268" w:type="dxa"/>
            <w:tcMar>
              <w:top w:w="100" w:type="nil"/>
              <w:right w:w="100" w:type="nil"/>
            </w:tcMar>
            <w:vAlign w:val="center"/>
          </w:tcPr>
          <w:p w14:paraId="132FD0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C67DC0C"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77175B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46BE315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7B9A39CF" w14:textId="77777777" w:rsidTr="00AB4825">
        <w:trPr>
          <w:jc w:val="center"/>
        </w:trPr>
        <w:tc>
          <w:tcPr>
            <w:tcW w:w="2268" w:type="dxa"/>
            <w:tcMar>
              <w:top w:w="100" w:type="nil"/>
              <w:right w:w="100" w:type="nil"/>
            </w:tcMar>
            <w:vAlign w:val="center"/>
          </w:tcPr>
          <w:p w14:paraId="545EE18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Other/Queer/Questioning</w:t>
            </w:r>
          </w:p>
        </w:tc>
        <w:tc>
          <w:tcPr>
            <w:tcW w:w="2160" w:type="dxa"/>
            <w:tcMar>
              <w:top w:w="100" w:type="nil"/>
              <w:right w:w="100" w:type="nil"/>
            </w:tcMar>
            <w:vAlign w:val="center"/>
          </w:tcPr>
          <w:p w14:paraId="56FF7F1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1.413</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22BC71C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1.186</w:t>
            </w:r>
          </w:p>
        </w:tc>
        <w:tc>
          <w:tcPr>
            <w:tcW w:w="2160" w:type="dxa"/>
            <w:tcMar>
              <w:top w:w="100" w:type="nil"/>
              <w:right w:w="100" w:type="nil"/>
            </w:tcMar>
            <w:vAlign w:val="center"/>
          </w:tcPr>
          <w:p w14:paraId="3265848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1.121</w:t>
            </w:r>
          </w:p>
        </w:tc>
      </w:tr>
      <w:tr w:rsidR="00D644EE" w:rsidRPr="00B621E1" w14:paraId="053D206B" w14:textId="77777777" w:rsidTr="00AB4825">
        <w:trPr>
          <w:jc w:val="center"/>
        </w:trPr>
        <w:tc>
          <w:tcPr>
            <w:tcW w:w="2268" w:type="dxa"/>
            <w:tcMar>
              <w:top w:w="100" w:type="nil"/>
              <w:right w:w="100" w:type="nil"/>
            </w:tcMar>
            <w:vAlign w:val="center"/>
          </w:tcPr>
          <w:p w14:paraId="66A8A3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6E8E7AF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[0.979,2.039]</w:t>
            </w:r>
          </w:p>
        </w:tc>
        <w:tc>
          <w:tcPr>
            <w:tcW w:w="2160" w:type="dxa"/>
            <w:tcMar>
              <w:top w:w="100" w:type="nil"/>
              <w:right w:w="100" w:type="nil"/>
            </w:tcMar>
            <w:vAlign w:val="center"/>
          </w:tcPr>
          <w:p w14:paraId="6B116C4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[0.803,1.750]</w:t>
            </w:r>
          </w:p>
        </w:tc>
        <w:tc>
          <w:tcPr>
            <w:tcW w:w="2160" w:type="dxa"/>
            <w:tcMar>
              <w:top w:w="100" w:type="nil"/>
              <w:right w:w="100" w:type="nil"/>
            </w:tcMar>
            <w:vAlign w:val="center"/>
          </w:tcPr>
          <w:p w14:paraId="1674430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[0.758,1.657]</w:t>
            </w:r>
          </w:p>
        </w:tc>
      </w:tr>
      <w:tr w:rsidR="00D644EE" w:rsidRPr="00B621E1" w14:paraId="782CA73E" w14:textId="77777777" w:rsidTr="00AB4825">
        <w:trPr>
          <w:jc w:val="center"/>
        </w:trPr>
        <w:tc>
          <w:tcPr>
            <w:tcW w:w="2268" w:type="dxa"/>
            <w:tcMar>
              <w:top w:w="100" w:type="nil"/>
              <w:right w:w="100" w:type="nil"/>
            </w:tcMar>
            <w:vAlign w:val="center"/>
          </w:tcPr>
          <w:p w14:paraId="1511626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6F9698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95244E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429F1C4"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2DD846D8" w14:textId="77777777" w:rsidTr="00AB4825">
        <w:trPr>
          <w:jc w:val="center"/>
        </w:trPr>
        <w:tc>
          <w:tcPr>
            <w:tcW w:w="2268" w:type="dxa"/>
            <w:tcMar>
              <w:top w:w="100" w:type="nil"/>
              <w:right w:w="100" w:type="nil"/>
            </w:tcMar>
            <w:vAlign w:val="center"/>
          </w:tcPr>
          <w:p w14:paraId="6418FAD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2160" w:type="dxa"/>
            <w:tcMar>
              <w:top w:w="100" w:type="nil"/>
              <w:right w:w="100" w:type="nil"/>
            </w:tcMar>
            <w:vAlign w:val="center"/>
          </w:tcPr>
          <w:p w14:paraId="2D5B298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1.001</w:t>
            </w:r>
          </w:p>
        </w:tc>
        <w:tc>
          <w:tcPr>
            <w:tcW w:w="2160" w:type="dxa"/>
            <w:tcMar>
              <w:top w:w="100" w:type="nil"/>
              <w:right w:w="100" w:type="nil"/>
            </w:tcMar>
            <w:vAlign w:val="center"/>
          </w:tcPr>
          <w:p w14:paraId="1D54CE5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0.899</w:t>
            </w:r>
          </w:p>
        </w:tc>
        <w:tc>
          <w:tcPr>
            <w:tcW w:w="2160" w:type="dxa"/>
            <w:tcMar>
              <w:top w:w="100" w:type="nil"/>
              <w:right w:w="100" w:type="nil"/>
            </w:tcMar>
            <w:vAlign w:val="center"/>
          </w:tcPr>
          <w:p w14:paraId="597D0FE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0.863</w:t>
            </w:r>
          </w:p>
        </w:tc>
      </w:tr>
      <w:tr w:rsidR="00D644EE" w:rsidRPr="00B621E1" w14:paraId="4371F69F" w14:textId="77777777" w:rsidTr="00AB4825">
        <w:trPr>
          <w:jc w:val="center"/>
        </w:trPr>
        <w:tc>
          <w:tcPr>
            <w:tcW w:w="2268" w:type="dxa"/>
            <w:tcBorders>
              <w:bottom w:val="single" w:sz="4" w:space="0" w:color="auto"/>
            </w:tcBorders>
            <w:tcMar>
              <w:top w:w="100" w:type="nil"/>
              <w:right w:w="100" w:type="nil"/>
            </w:tcMar>
            <w:vAlign w:val="center"/>
          </w:tcPr>
          <w:p w14:paraId="5D22A73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bottom w:val="single" w:sz="4" w:space="0" w:color="auto"/>
            </w:tcBorders>
            <w:tcMar>
              <w:top w:w="100" w:type="nil"/>
              <w:right w:w="100" w:type="nil"/>
            </w:tcMar>
            <w:vAlign w:val="center"/>
          </w:tcPr>
          <w:p w14:paraId="157574D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[0.832,1.204]</w:t>
            </w:r>
          </w:p>
        </w:tc>
        <w:tc>
          <w:tcPr>
            <w:tcW w:w="2160" w:type="dxa"/>
            <w:tcBorders>
              <w:bottom w:val="single" w:sz="4" w:space="0" w:color="auto"/>
            </w:tcBorders>
            <w:tcMar>
              <w:top w:w="100" w:type="nil"/>
              <w:right w:w="100" w:type="nil"/>
            </w:tcMar>
            <w:vAlign w:val="center"/>
          </w:tcPr>
          <w:p w14:paraId="560F6A9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[0.737,1.096]</w:t>
            </w:r>
          </w:p>
        </w:tc>
        <w:tc>
          <w:tcPr>
            <w:tcW w:w="2160" w:type="dxa"/>
            <w:tcBorders>
              <w:bottom w:val="single" w:sz="4" w:space="0" w:color="auto"/>
            </w:tcBorders>
            <w:tcMar>
              <w:top w:w="100" w:type="nil"/>
              <w:right w:w="100" w:type="nil"/>
            </w:tcMar>
            <w:vAlign w:val="center"/>
          </w:tcPr>
          <w:p w14:paraId="2878F594"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[0.707,1.054]</w:t>
            </w:r>
          </w:p>
        </w:tc>
      </w:tr>
      <w:tr w:rsidR="00D644EE" w:rsidRPr="00B621E1" w14:paraId="60BB06F5" w14:textId="77777777" w:rsidTr="00AB4825">
        <w:trPr>
          <w:jc w:val="center"/>
        </w:trPr>
        <w:tc>
          <w:tcPr>
            <w:tcW w:w="2268" w:type="dxa"/>
            <w:tcBorders>
              <w:top w:val="single" w:sz="4" w:space="0" w:color="auto"/>
            </w:tcBorders>
            <w:tcMar>
              <w:top w:w="100" w:type="nil"/>
              <w:right w:w="100" w:type="nil"/>
            </w:tcMar>
            <w:vAlign w:val="center"/>
          </w:tcPr>
          <w:p w14:paraId="060F130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2160" w:type="dxa"/>
            <w:tcBorders>
              <w:top w:val="single" w:sz="4" w:space="0" w:color="auto"/>
            </w:tcBorders>
            <w:tcMar>
              <w:top w:w="100" w:type="nil"/>
              <w:right w:w="100" w:type="nil"/>
            </w:tcMar>
            <w:vAlign w:val="center"/>
          </w:tcPr>
          <w:p w14:paraId="0B5977D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7481</w:t>
            </w:r>
          </w:p>
        </w:tc>
        <w:tc>
          <w:tcPr>
            <w:tcW w:w="2160" w:type="dxa"/>
            <w:tcBorders>
              <w:top w:val="single" w:sz="4" w:space="0" w:color="auto"/>
            </w:tcBorders>
            <w:tcMar>
              <w:top w:w="100" w:type="nil"/>
              <w:right w:w="100" w:type="nil"/>
            </w:tcMar>
            <w:vAlign w:val="center"/>
          </w:tcPr>
          <w:p w14:paraId="02564DF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2160" w:type="dxa"/>
            <w:tcBorders>
              <w:top w:val="single" w:sz="4" w:space="0" w:color="auto"/>
            </w:tcBorders>
            <w:tcMar>
              <w:top w:w="100" w:type="nil"/>
              <w:right w:w="100" w:type="nil"/>
            </w:tcMar>
            <w:vAlign w:val="center"/>
          </w:tcPr>
          <w:p w14:paraId="43F9C9A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7446</w:t>
            </w:r>
          </w:p>
        </w:tc>
      </w:tr>
      <w:tr w:rsidR="00D644EE" w:rsidRPr="00B621E1" w14:paraId="63CD4083" w14:textId="77777777" w:rsidTr="00AB4825">
        <w:trPr>
          <w:jc w:val="center"/>
        </w:trPr>
        <w:tc>
          <w:tcPr>
            <w:tcW w:w="2268" w:type="dxa"/>
            <w:tcMar>
              <w:top w:w="100" w:type="nil"/>
              <w:right w:w="100" w:type="nil"/>
            </w:tcMar>
            <w:vAlign w:val="center"/>
          </w:tcPr>
          <w:p w14:paraId="0206C1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2160" w:type="dxa"/>
            <w:tcMar>
              <w:top w:w="100" w:type="nil"/>
              <w:right w:w="100" w:type="nil"/>
            </w:tcMar>
            <w:vAlign w:val="center"/>
          </w:tcPr>
          <w:p w14:paraId="583311D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Mar>
              <w:top w:w="100" w:type="nil"/>
              <w:right w:w="100" w:type="nil"/>
            </w:tcMar>
            <w:vAlign w:val="center"/>
          </w:tcPr>
          <w:p w14:paraId="3A4182D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2160" w:type="dxa"/>
            <w:tcMar>
              <w:top w:w="100" w:type="nil"/>
              <w:right w:w="100" w:type="nil"/>
            </w:tcMar>
            <w:vAlign w:val="center"/>
          </w:tcPr>
          <w:p w14:paraId="7E46238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D644EE" w:rsidRPr="00B621E1" w14:paraId="59DD467D" w14:textId="77777777" w:rsidTr="00AB4825">
        <w:trPr>
          <w:jc w:val="center"/>
        </w:trPr>
        <w:tc>
          <w:tcPr>
            <w:tcW w:w="2268" w:type="dxa"/>
            <w:tcBorders>
              <w:bottom w:val="single" w:sz="4" w:space="0" w:color="auto"/>
            </w:tcBorders>
            <w:tcMar>
              <w:top w:w="100" w:type="nil"/>
              <w:right w:w="100" w:type="nil"/>
            </w:tcMar>
            <w:vAlign w:val="center"/>
          </w:tcPr>
          <w:p w14:paraId="5430DF6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Assigned Sex at Birth</w:t>
            </w:r>
          </w:p>
        </w:tc>
        <w:tc>
          <w:tcPr>
            <w:tcW w:w="2160" w:type="dxa"/>
            <w:tcBorders>
              <w:bottom w:val="single" w:sz="4" w:space="0" w:color="auto"/>
            </w:tcBorders>
            <w:tcMar>
              <w:top w:w="100" w:type="nil"/>
              <w:right w:w="100" w:type="nil"/>
            </w:tcMar>
            <w:vAlign w:val="center"/>
          </w:tcPr>
          <w:p w14:paraId="71F6FE8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2B9077C3"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604F362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18E61ED3" w14:textId="61A84984" w:rsidR="00D644EE" w:rsidRPr="00AB4825" w:rsidRDefault="00AB4825">
      <w:pPr>
        <w:autoSpaceDE w:val="0"/>
        <w:autoSpaceDN w:val="0"/>
        <w:adjustRightInd w:val="0"/>
        <w:rPr>
          <w:rFonts w:asciiTheme="majorHAnsi" w:hAnsiTheme="majorHAnsi" w:cstheme="majorHAnsi"/>
          <w:sz w:val="20"/>
          <w:szCs w:val="20"/>
          <w:lang w:val="en-US"/>
        </w:rPr>
      </w:pPr>
      <w:r>
        <w:rPr>
          <w:rFonts w:asciiTheme="majorHAnsi" w:hAnsiTheme="majorHAnsi" w:cstheme="majorHAnsi"/>
          <w:i/>
          <w:iCs/>
          <w:sz w:val="20"/>
          <w:szCs w:val="20"/>
          <w:lang w:val="en-US"/>
        </w:rPr>
        <w:t xml:space="preserve">Note. </w:t>
      </w:r>
      <w:r>
        <w:rPr>
          <w:rFonts w:asciiTheme="majorHAnsi" w:hAnsiTheme="majorHAnsi" w:cstheme="majorHAnsi"/>
          <w:sz w:val="20"/>
          <w:szCs w:val="20"/>
          <w:lang w:val="en-US"/>
        </w:rPr>
        <w:t>Exponentiated coefficients; 95% confidence intervals in brackets</w:t>
      </w:r>
    </w:p>
    <w:p w14:paraId="4F395054" w14:textId="77777777" w:rsidR="00D644EE" w:rsidRPr="00AB4825" w:rsidRDefault="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0E3D0D2D" w14:textId="77777777" w:rsidR="00D644EE" w:rsidRPr="00824E21" w:rsidRDefault="00D644EE" w:rsidP="00AB4825">
      <w:pPr>
        <w:spacing w:line="360" w:lineRule="auto"/>
        <w:rPr>
          <w:rFonts w:asciiTheme="majorHAnsi" w:hAnsiTheme="majorHAnsi" w:cstheme="majorHAnsi"/>
        </w:rPr>
      </w:pPr>
    </w:p>
    <w:p w14:paraId="52282235" w14:textId="2E771C82" w:rsidR="002B2BA4" w:rsidRPr="00B621E1" w:rsidRDefault="002B2BA4" w:rsidP="004F595A">
      <w:pPr>
        <w:spacing w:line="360" w:lineRule="auto"/>
        <w:ind w:firstLine="720"/>
        <w:rPr>
          <w:rFonts w:asciiTheme="majorHAnsi" w:hAnsiTheme="majorHAnsi" w:cstheme="majorHAnsi"/>
        </w:rPr>
      </w:pPr>
      <w:r>
        <w:rPr>
          <w:rFonts w:asciiTheme="majorHAnsi" w:hAnsiTheme="majorHAnsi" w:cstheme="majorHAnsi"/>
        </w:rPr>
        <w:t xml:space="preserve">For degree aspirations (Tables 8 and 9), ordered logit results reported as odds ratios indicate that nonbinary students had significantly higher degree aspirations than cisgender men (OR = 1.80, 95% CI [1.43, 2.26]), with the largest and most precisely estimated odds ratio among the trans and gender expansive categories; this difference remained robust with demographic controls (OR = 1.83, 95% CI [1.45, 2.30]). Transgender men also reported significantly higher degree aspirations in both the unconditional (OR = 1.74, 95% CI [1.10, 2.75]) and controlled (OR = 1.66, 95% CI [1.03, 2.67]) models. Gender diverse/questioning students had 1.58 times the odds of aspiring to a higher degree category in the unconditional model (95% CI [1.02, 2.45]), though this attenuated to marginal significance with demographic controls (OR = 1.54, 95% CI [0.99, 2.41]). Cisgender women had significantly higher degree aspirations across both specifications (OR = 1.63 unconditional; OR = 1.73 with controls). For transgender women, the very small sample size (n = 20) produced estimates that were too imprecise to support meaningful inference (OR = 1.19, 95% CI [0.55, 2.61]); while the descriptive patterns suggest that transgender students as a group report lower rates of certificate and associate degree </w:t>
      </w:r>
      <w:r>
        <w:rPr>
          <w:rFonts w:asciiTheme="majorHAnsi" w:hAnsiTheme="majorHAnsi" w:cstheme="majorHAnsi"/>
        </w:rPr>
        <w:lastRenderedPageBreak/>
        <w:t>aspirations and comparable or higher rates of master's degree aspirations relative to cisgender men, the regression models lack the statistical power to confirm these patterns for this subgroup individually. We therefore direct readers to the descriptive results in Figure 12 rather than interpret these coefficients substantively. In terms of sexual orientation, gay or lesbian students (OR = 1.53, 95% CI [1.25, 1.87]) and bisexual/pansexual/omnisexual students (OR = 1.64, 95% CI [1.45, 1.84]) consistently reported higher degree aspirations across both specifications. The odds ratios for asexual/aromantic/demisexual students (OR = 1.52, 95% CI [1.17, 1.98]) and other/queer/questioning students (OR = 1.44, 95% CI [1.06, 1.96]) were significant in the unconditional models but attenuated and no longer statistically significant with the inclusion of demographic controls, suggesting that some of these descriptive differences may reflect compositional variation in race/ethnicity or parental education.</w:t>
      </w:r>
    </w:p>
    <w:p w14:paraId="6535ABED" w14:textId="77777777" w:rsidR="002A0567" w:rsidRPr="00B621E1" w:rsidRDefault="002A0567" w:rsidP="004F595A">
      <w:pPr>
        <w:spacing w:line="360" w:lineRule="auto"/>
        <w:rPr>
          <w:rFonts w:asciiTheme="majorHAnsi" w:hAnsiTheme="majorHAnsi" w:cstheme="majorHAnsi"/>
          <w:b/>
          <w:bCs/>
        </w:rPr>
      </w:pPr>
    </w:p>
    <w:p w14:paraId="49F9CAB8" w14:textId="413498AA"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t>Table 8</w:t>
      </w:r>
    </w:p>
    <w:p w14:paraId="4777BBC4" w14:textId="382D454A" w:rsidR="002A0567" w:rsidRPr="00824E21" w:rsidRDefault="002A0567" w:rsidP="002A0567">
      <w:pPr>
        <w:autoSpaceDE w:val="0"/>
        <w:autoSpaceDN w:val="0"/>
        <w:adjustRightInd w:val="0"/>
        <w:rPr>
          <w:rFonts w:asciiTheme="majorHAnsi" w:hAnsiTheme="majorHAnsi" w:cstheme="majorHAnsi"/>
          <w:i/>
          <w:iCs/>
        </w:rPr>
      </w:pPr>
      <w:r>
        <w:rPr>
          <w:rFonts w:asciiTheme="majorHAnsi" w:hAnsiTheme="majorHAnsi" w:cstheme="majorHAnsi"/>
          <w:lang w:val="en-US"/>
        </w:rPr>
        <w:t>Ordered Logit Models: Highest Degree Plans (Odds Ratios)</w:t>
      </w:r>
      <w:r>
        <w:rPr>
          <w:rFonts w:asciiTheme="majorHAnsi" w:hAnsiTheme="majorHAnsi" w:cstheme="majorHAnsi"/>
          <w:i/>
          <w:iCs/>
        </w:rPr>
        <w:t xml:space="preserve"> , by Gender Identity</w:t>
      </w:r>
    </w:p>
    <w:p w14:paraId="639D7C13" w14:textId="77777777" w:rsidR="002A0567" w:rsidRPr="006159A0" w:rsidRDefault="002A0567" w:rsidP="002A0567">
      <w:pPr>
        <w:autoSpaceDE w:val="0"/>
        <w:autoSpaceDN w:val="0"/>
        <w:adjustRightInd w:val="0"/>
        <w:rPr>
          <w:rFonts w:asciiTheme="majorHAnsi" w:hAnsiTheme="majorHAnsi" w:cstheme="majorHAnsi"/>
          <w:lang w:val="en-US"/>
        </w:rPr>
      </w:pPr>
    </w:p>
    <w:tbl>
      <w:tblPr>
        <w:tblW w:w="5000" w:type="pct"/>
        <w:tblLayout w:type="fixed"/>
        <w:tblLook w:val="0000" w:firstRow="0" w:lastRow="0" w:firstColumn="0" w:lastColumn="0" w:noHBand="0" w:noVBand="0"/>
      </w:tblPr>
      <w:tblGrid>
        <w:gridCol w:w="3120"/>
        <w:gridCol w:w="3121"/>
        <w:gridCol w:w="3119"/>
      </w:tblGrid>
      <w:tr w:rsidR="002A0567" w:rsidRPr="00B621E1" w14:paraId="64D86E65" w14:textId="77777777" w:rsidTr="006159A0">
        <w:tc>
          <w:tcPr>
            <w:tcW w:w="1667" w:type="pct"/>
            <w:tcBorders>
              <w:top w:val="single" w:sz="4" w:space="0" w:color="auto"/>
              <w:bottom w:val="single" w:sz="4" w:space="0" w:color="auto"/>
            </w:tcBorders>
            <w:tcMar>
              <w:top w:w="100" w:type="nil"/>
              <w:right w:w="100" w:type="nil"/>
            </w:tcMar>
            <w:vAlign w:val="center"/>
          </w:tcPr>
          <w:p w14:paraId="576B174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bottom w:val="single" w:sz="4" w:space="0" w:color="auto"/>
            </w:tcBorders>
            <w:tcMar>
              <w:top w:w="100" w:type="nil"/>
              <w:right w:w="100" w:type="nil"/>
            </w:tcMar>
            <w:vAlign w:val="center"/>
          </w:tcPr>
          <w:p w14:paraId="42681CA3"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667" w:type="pct"/>
            <w:tcBorders>
              <w:top w:val="single" w:sz="4" w:space="0" w:color="auto"/>
              <w:bottom w:val="single" w:sz="4" w:space="0" w:color="auto"/>
            </w:tcBorders>
            <w:tcMar>
              <w:top w:w="100" w:type="nil"/>
              <w:right w:w="100" w:type="nil"/>
            </w:tcMar>
            <w:vAlign w:val="center"/>
          </w:tcPr>
          <w:p w14:paraId="2F1F750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r>
      <w:tr w:rsidR="002A0567" w:rsidRPr="00B621E1" w14:paraId="31DE8C89" w14:textId="77777777" w:rsidTr="006159A0">
        <w:tc>
          <w:tcPr>
            <w:tcW w:w="1667" w:type="pct"/>
            <w:tcBorders>
              <w:top w:val="single" w:sz="4" w:space="0" w:color="auto"/>
            </w:tcBorders>
            <w:tcMar>
              <w:top w:w="100" w:type="nil"/>
              <w:right w:w="100" w:type="nil"/>
            </w:tcMar>
            <w:vAlign w:val="center"/>
          </w:tcPr>
          <w:p w14:paraId="5E0FFA06" w14:textId="10617A10"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F7902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61BEB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r>
      <w:tr w:rsidR="002A0567" w:rsidRPr="00B621E1" w14:paraId="5B3696DF" w14:textId="77777777" w:rsidTr="006159A0">
        <w:tc>
          <w:tcPr>
            <w:tcW w:w="1667" w:type="pct"/>
            <w:tcMar>
              <w:top w:w="100" w:type="nil"/>
              <w:right w:w="100" w:type="nil"/>
            </w:tcMar>
            <w:vAlign w:val="center"/>
          </w:tcPr>
          <w:p w14:paraId="41C228A1"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Cisgender Woman</w:t>
            </w:r>
          </w:p>
        </w:tc>
        <w:tc>
          <w:tcPr>
            <w:tcW w:w="1667" w:type="pct"/>
            <w:tcMar>
              <w:top w:w="100" w:type="nil"/>
              <w:right w:w="100" w:type="nil"/>
            </w:tcMar>
            <w:vAlign w:val="center"/>
          </w:tcPr>
          <w:p w14:paraId="509D7F8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1.627</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453346F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1.734</w:t>
            </w:r>
            <w:r>
              <w:rPr>
                <w:rFonts w:asciiTheme="majorHAnsi" w:hAnsiTheme="majorHAnsi" w:cstheme="majorHAnsi"/>
                <w:sz w:val="20"/>
                <w:szCs w:val="20"/>
                <w:vertAlign w:val="superscript"/>
                <w:lang w:val="en-US"/>
              </w:rPr>
              <w:t>***</w:t>
            </w:r>
          </w:p>
        </w:tc>
      </w:tr>
      <w:tr w:rsidR="002A0567" w:rsidRPr="00B621E1" w14:paraId="60BD3CBB" w14:textId="77777777" w:rsidTr="006159A0">
        <w:tc>
          <w:tcPr>
            <w:tcW w:w="1667" w:type="pct"/>
            <w:tcMar>
              <w:top w:w="100" w:type="nil"/>
              <w:right w:w="100" w:type="nil"/>
            </w:tcMar>
            <w:vAlign w:val="center"/>
          </w:tcPr>
          <w:p w14:paraId="5846CFBD"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F9C60A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[1.489,1.777]</w:t>
            </w:r>
          </w:p>
        </w:tc>
        <w:tc>
          <w:tcPr>
            <w:tcW w:w="1667" w:type="pct"/>
            <w:tcMar>
              <w:top w:w="100" w:type="nil"/>
              <w:right w:w="100" w:type="nil"/>
            </w:tcMar>
            <w:vAlign w:val="center"/>
          </w:tcPr>
          <w:p w14:paraId="1D33A13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[1.585,1.896]</w:t>
            </w:r>
          </w:p>
        </w:tc>
      </w:tr>
      <w:tr w:rsidR="002A0567" w:rsidRPr="00B621E1" w14:paraId="33679E23" w14:textId="77777777" w:rsidTr="006159A0">
        <w:tc>
          <w:tcPr>
            <w:tcW w:w="1667" w:type="pct"/>
            <w:tcMar>
              <w:top w:w="100" w:type="nil"/>
              <w:right w:w="100" w:type="nil"/>
            </w:tcMar>
            <w:vAlign w:val="center"/>
          </w:tcPr>
          <w:p w14:paraId="56CFCC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CD764B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E404A1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5C5500" w14:textId="77777777" w:rsidTr="006159A0">
        <w:tc>
          <w:tcPr>
            <w:tcW w:w="1667" w:type="pct"/>
            <w:tcMar>
              <w:top w:w="100" w:type="nil"/>
              <w:right w:w="100" w:type="nil"/>
            </w:tcMar>
            <w:vAlign w:val="center"/>
          </w:tcPr>
          <w:p w14:paraId="292A84B3"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Transgender Man</w:t>
            </w:r>
          </w:p>
        </w:tc>
        <w:tc>
          <w:tcPr>
            <w:tcW w:w="1667" w:type="pct"/>
            <w:tcMar>
              <w:top w:w="100" w:type="nil"/>
              <w:right w:w="100" w:type="nil"/>
            </w:tcMar>
            <w:vAlign w:val="center"/>
          </w:tcPr>
          <w:p w14:paraId="5F3194A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0C20AB6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1.661</w:t>
            </w:r>
            <w:r>
              <w:rPr>
                <w:rFonts w:asciiTheme="majorHAnsi" w:hAnsiTheme="majorHAnsi" w:cstheme="majorHAnsi"/>
                <w:sz w:val="20"/>
                <w:szCs w:val="20"/>
                <w:vertAlign w:val="superscript"/>
                <w:lang w:val="en-US"/>
              </w:rPr>
              <w:t>**</w:t>
            </w:r>
          </w:p>
        </w:tc>
      </w:tr>
      <w:tr w:rsidR="002A0567" w:rsidRPr="00B621E1" w14:paraId="677FC4D2" w14:textId="77777777" w:rsidTr="006159A0">
        <w:tc>
          <w:tcPr>
            <w:tcW w:w="1667" w:type="pct"/>
            <w:tcMar>
              <w:top w:w="100" w:type="nil"/>
              <w:right w:w="100" w:type="nil"/>
            </w:tcMar>
            <w:vAlign w:val="center"/>
          </w:tcPr>
          <w:p w14:paraId="5D35BE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1E8D4CA"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[1.098,2.750]</w:t>
            </w:r>
          </w:p>
        </w:tc>
        <w:tc>
          <w:tcPr>
            <w:tcW w:w="1667" w:type="pct"/>
            <w:tcMar>
              <w:top w:w="100" w:type="nil"/>
              <w:right w:w="100" w:type="nil"/>
            </w:tcMar>
            <w:vAlign w:val="center"/>
          </w:tcPr>
          <w:p w14:paraId="0C3850C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[1.032,2.674]</w:t>
            </w:r>
          </w:p>
        </w:tc>
      </w:tr>
      <w:tr w:rsidR="002A0567" w:rsidRPr="00B621E1" w14:paraId="4A702B42" w14:textId="77777777" w:rsidTr="006159A0">
        <w:tc>
          <w:tcPr>
            <w:tcW w:w="1667" w:type="pct"/>
            <w:tcMar>
              <w:top w:w="100" w:type="nil"/>
              <w:right w:w="100" w:type="nil"/>
            </w:tcMar>
            <w:vAlign w:val="center"/>
          </w:tcPr>
          <w:p w14:paraId="2BAEA70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64A58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D40CFC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06E65B" w14:textId="77777777" w:rsidTr="006159A0">
        <w:tc>
          <w:tcPr>
            <w:tcW w:w="1667" w:type="pct"/>
            <w:tcMar>
              <w:top w:w="100" w:type="nil"/>
              <w:right w:w="100" w:type="nil"/>
            </w:tcMar>
            <w:vAlign w:val="center"/>
          </w:tcPr>
          <w:p w14:paraId="4C3869A1"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Transgender Woman</w:t>
            </w:r>
          </w:p>
        </w:tc>
        <w:tc>
          <w:tcPr>
            <w:tcW w:w="1667" w:type="pct"/>
            <w:tcMar>
              <w:top w:w="100" w:type="nil"/>
              <w:right w:w="100" w:type="nil"/>
            </w:tcMar>
            <w:vAlign w:val="center"/>
          </w:tcPr>
          <w:p w14:paraId="2B39197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1.194</w:t>
            </w:r>
          </w:p>
        </w:tc>
        <w:tc>
          <w:tcPr>
            <w:tcW w:w="1667" w:type="pct"/>
            <w:tcMar>
              <w:top w:w="100" w:type="nil"/>
              <w:right w:w="100" w:type="nil"/>
            </w:tcMar>
            <w:vAlign w:val="center"/>
          </w:tcPr>
          <w:p w14:paraId="4893754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1.050</w:t>
            </w:r>
          </w:p>
        </w:tc>
      </w:tr>
      <w:tr w:rsidR="002A0567" w:rsidRPr="00B621E1" w14:paraId="042CCB68" w14:textId="77777777" w:rsidTr="006159A0">
        <w:tc>
          <w:tcPr>
            <w:tcW w:w="1667" w:type="pct"/>
            <w:tcMar>
              <w:top w:w="100" w:type="nil"/>
              <w:right w:w="100" w:type="nil"/>
            </w:tcMar>
            <w:vAlign w:val="center"/>
          </w:tcPr>
          <w:p w14:paraId="0FC0086E"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5100F7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[0.548,2.605]</w:t>
            </w:r>
          </w:p>
        </w:tc>
        <w:tc>
          <w:tcPr>
            <w:tcW w:w="1667" w:type="pct"/>
            <w:tcMar>
              <w:top w:w="100" w:type="nil"/>
              <w:right w:w="100" w:type="nil"/>
            </w:tcMar>
            <w:vAlign w:val="center"/>
          </w:tcPr>
          <w:p w14:paraId="642F431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[0.477,2.311]</w:t>
            </w:r>
          </w:p>
        </w:tc>
      </w:tr>
      <w:tr w:rsidR="002A0567" w:rsidRPr="00B621E1" w14:paraId="0408C1D1" w14:textId="77777777" w:rsidTr="006159A0">
        <w:tc>
          <w:tcPr>
            <w:tcW w:w="1667" w:type="pct"/>
            <w:tcMar>
              <w:top w:w="100" w:type="nil"/>
              <w:right w:w="100" w:type="nil"/>
            </w:tcMar>
            <w:vAlign w:val="center"/>
          </w:tcPr>
          <w:p w14:paraId="4583FB4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34C5405"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240339C"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45B95D1F" w14:textId="77777777" w:rsidTr="006159A0">
        <w:tc>
          <w:tcPr>
            <w:tcW w:w="1667" w:type="pct"/>
            <w:tcMar>
              <w:top w:w="100" w:type="nil"/>
              <w:right w:w="100" w:type="nil"/>
            </w:tcMar>
            <w:vAlign w:val="center"/>
          </w:tcPr>
          <w:p w14:paraId="5F000FBE"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Non-binary</w:t>
            </w:r>
          </w:p>
        </w:tc>
        <w:tc>
          <w:tcPr>
            <w:tcW w:w="1667" w:type="pct"/>
            <w:tcMar>
              <w:top w:w="100" w:type="nil"/>
              <w:right w:w="100" w:type="nil"/>
            </w:tcMar>
            <w:vAlign w:val="center"/>
          </w:tcPr>
          <w:p w14:paraId="2068DB4B"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1.798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71B19BF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1.829</w:t>
            </w:r>
            <w:r>
              <w:rPr>
                <w:rFonts w:asciiTheme="majorHAnsi" w:hAnsiTheme="majorHAnsi" w:cstheme="majorHAnsi"/>
                <w:sz w:val="20"/>
                <w:szCs w:val="20"/>
                <w:vertAlign w:val="superscript"/>
                <w:lang w:val="en-US"/>
              </w:rPr>
              <w:t>***</w:t>
            </w:r>
          </w:p>
        </w:tc>
      </w:tr>
      <w:tr w:rsidR="002A0567" w:rsidRPr="00B621E1" w14:paraId="631DE734" w14:textId="77777777" w:rsidTr="006159A0">
        <w:tc>
          <w:tcPr>
            <w:tcW w:w="1667" w:type="pct"/>
            <w:tcMar>
              <w:top w:w="100" w:type="nil"/>
              <w:right w:w="100" w:type="nil"/>
            </w:tcMar>
            <w:vAlign w:val="center"/>
          </w:tcPr>
          <w:p w14:paraId="73365AF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074D3E8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[1.432,2.257]</w:t>
            </w:r>
          </w:p>
        </w:tc>
        <w:tc>
          <w:tcPr>
            <w:tcW w:w="1667" w:type="pct"/>
            <w:tcMar>
              <w:top w:w="100" w:type="nil"/>
              <w:right w:w="100" w:type="nil"/>
            </w:tcMar>
            <w:vAlign w:val="center"/>
          </w:tcPr>
          <w:p w14:paraId="396497B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[1.451,2.304]</w:t>
            </w:r>
          </w:p>
        </w:tc>
      </w:tr>
      <w:tr w:rsidR="002A0567" w:rsidRPr="00B621E1" w14:paraId="2812562A" w14:textId="77777777" w:rsidTr="006159A0">
        <w:tc>
          <w:tcPr>
            <w:tcW w:w="1667" w:type="pct"/>
            <w:tcMar>
              <w:top w:w="100" w:type="nil"/>
              <w:right w:w="100" w:type="nil"/>
            </w:tcMar>
            <w:vAlign w:val="center"/>
          </w:tcPr>
          <w:p w14:paraId="0D3BA2EA"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3E5A980"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CA459B5"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315A9923" w14:textId="77777777" w:rsidTr="006159A0">
        <w:tc>
          <w:tcPr>
            <w:tcW w:w="1667" w:type="pct"/>
            <w:tcMar>
              <w:top w:w="100" w:type="nil"/>
              <w:right w:w="100" w:type="nil"/>
            </w:tcMar>
            <w:vAlign w:val="center"/>
          </w:tcPr>
          <w:p w14:paraId="628041D4"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Gender Diverse/Questioning</w:t>
            </w:r>
          </w:p>
        </w:tc>
        <w:tc>
          <w:tcPr>
            <w:tcW w:w="1667" w:type="pct"/>
            <w:tcMar>
              <w:top w:w="100" w:type="nil"/>
              <w:right w:w="100" w:type="nil"/>
            </w:tcMar>
            <w:vAlign w:val="center"/>
          </w:tcPr>
          <w:p w14:paraId="6D6A412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1.584</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053290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1.541</w:t>
            </w:r>
            <w:r>
              <w:rPr>
                <w:rFonts w:asciiTheme="majorHAnsi" w:hAnsiTheme="majorHAnsi" w:cstheme="majorHAnsi"/>
                <w:sz w:val="20"/>
                <w:szCs w:val="20"/>
                <w:vertAlign w:val="superscript"/>
                <w:lang w:val="en-US"/>
              </w:rPr>
              <w:t>*</w:t>
            </w:r>
          </w:p>
        </w:tc>
      </w:tr>
      <w:tr w:rsidR="002A0567" w:rsidRPr="00B621E1" w14:paraId="7200D2D6" w14:textId="77777777" w:rsidTr="006159A0">
        <w:tc>
          <w:tcPr>
            <w:tcW w:w="1667" w:type="pct"/>
            <w:tcMar>
              <w:top w:w="100" w:type="nil"/>
              <w:right w:w="100" w:type="nil"/>
            </w:tcMar>
            <w:vAlign w:val="center"/>
          </w:tcPr>
          <w:p w14:paraId="7BB19D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7E66E9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[1.023,2.453]</w:t>
            </w:r>
          </w:p>
        </w:tc>
        <w:tc>
          <w:tcPr>
            <w:tcW w:w="1667" w:type="pct"/>
            <w:tcMar>
              <w:top w:w="100" w:type="nil"/>
              <w:right w:w="100" w:type="nil"/>
            </w:tcMar>
            <w:vAlign w:val="center"/>
          </w:tcPr>
          <w:p w14:paraId="0E2D116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[0.985,2.411]</w:t>
            </w:r>
          </w:p>
        </w:tc>
      </w:tr>
      <w:tr w:rsidR="002A0567" w:rsidRPr="00B621E1" w14:paraId="5955FAB1" w14:textId="77777777" w:rsidTr="006159A0">
        <w:tc>
          <w:tcPr>
            <w:tcW w:w="1667" w:type="pct"/>
            <w:tcMar>
              <w:top w:w="100" w:type="nil"/>
              <w:right w:w="100" w:type="nil"/>
            </w:tcMar>
            <w:vAlign w:val="center"/>
          </w:tcPr>
          <w:p w14:paraId="24A54DB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4A2FD3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BD9B087"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6352CF05" w14:textId="77777777" w:rsidTr="006159A0">
        <w:tc>
          <w:tcPr>
            <w:tcW w:w="1667" w:type="pct"/>
            <w:tcMar>
              <w:top w:w="100" w:type="nil"/>
              <w:right w:w="100" w:type="nil"/>
            </w:tcMar>
            <w:vAlign w:val="center"/>
          </w:tcPr>
          <w:p w14:paraId="527F355C"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1667" w:type="pct"/>
            <w:tcMar>
              <w:top w:w="100" w:type="nil"/>
              <w:right w:w="100" w:type="nil"/>
            </w:tcMar>
            <w:vAlign w:val="center"/>
          </w:tcPr>
          <w:p w14:paraId="752EFB3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1.368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667487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1.296</w:t>
            </w:r>
          </w:p>
        </w:tc>
      </w:tr>
      <w:tr w:rsidR="002A0567" w:rsidRPr="00B621E1" w14:paraId="507D51EC" w14:textId="77777777" w:rsidTr="006159A0">
        <w:tc>
          <w:tcPr>
            <w:tcW w:w="1667" w:type="pct"/>
            <w:tcBorders>
              <w:bottom w:val="single" w:sz="4" w:space="0" w:color="auto"/>
            </w:tcBorders>
            <w:tcMar>
              <w:top w:w="100" w:type="nil"/>
              <w:right w:w="100" w:type="nil"/>
            </w:tcMar>
            <w:vAlign w:val="center"/>
          </w:tcPr>
          <w:p w14:paraId="7ADCE6F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bottom w:val="single" w:sz="4" w:space="0" w:color="auto"/>
            </w:tcBorders>
            <w:tcMar>
              <w:top w:w="100" w:type="nil"/>
              <w:right w:w="100" w:type="nil"/>
            </w:tcMar>
            <w:vAlign w:val="center"/>
          </w:tcPr>
          <w:p w14:paraId="07950D5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[1.005,1.863]</w:t>
            </w:r>
          </w:p>
        </w:tc>
        <w:tc>
          <w:tcPr>
            <w:tcW w:w="1667" w:type="pct"/>
            <w:tcBorders>
              <w:bottom w:val="single" w:sz="4" w:space="0" w:color="auto"/>
            </w:tcBorders>
            <w:tcMar>
              <w:top w:w="100" w:type="nil"/>
              <w:right w:w="100" w:type="nil"/>
            </w:tcMar>
            <w:vAlign w:val="center"/>
          </w:tcPr>
          <w:p w14:paraId="7C2C747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[0.945,1.778]</w:t>
            </w:r>
          </w:p>
        </w:tc>
      </w:tr>
      <w:tr w:rsidR="002A0567" w:rsidRPr="00B621E1" w14:paraId="00192A1B" w14:textId="77777777" w:rsidTr="006159A0">
        <w:tc>
          <w:tcPr>
            <w:tcW w:w="1667" w:type="pct"/>
            <w:tcBorders>
              <w:top w:val="single" w:sz="4" w:space="0" w:color="auto"/>
            </w:tcBorders>
            <w:tcMar>
              <w:top w:w="100" w:type="nil"/>
              <w:right w:w="100" w:type="nil"/>
            </w:tcMar>
            <w:vAlign w:val="center"/>
          </w:tcPr>
          <w:p w14:paraId="72BCB042"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667" w:type="pct"/>
            <w:tcBorders>
              <w:top w:val="single" w:sz="4" w:space="0" w:color="auto"/>
            </w:tcBorders>
            <w:tcMar>
              <w:top w:w="100" w:type="nil"/>
              <w:right w:w="100" w:type="nil"/>
            </w:tcMar>
            <w:vAlign w:val="center"/>
          </w:tcPr>
          <w:p w14:paraId="4BC2D8E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7497</w:t>
            </w:r>
          </w:p>
        </w:tc>
        <w:tc>
          <w:tcPr>
            <w:tcW w:w="1667" w:type="pct"/>
            <w:tcBorders>
              <w:top w:val="single" w:sz="4" w:space="0" w:color="auto"/>
            </w:tcBorders>
            <w:tcMar>
              <w:top w:w="100" w:type="nil"/>
              <w:right w:w="100" w:type="nil"/>
            </w:tcMar>
            <w:vAlign w:val="center"/>
          </w:tcPr>
          <w:p w14:paraId="0D07D23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7475</w:t>
            </w:r>
          </w:p>
        </w:tc>
      </w:tr>
      <w:tr w:rsidR="002A0567" w:rsidRPr="00B621E1" w14:paraId="0E4B9302" w14:textId="77777777" w:rsidTr="006159A0">
        <w:tc>
          <w:tcPr>
            <w:tcW w:w="1667" w:type="pct"/>
            <w:tcBorders>
              <w:bottom w:val="single" w:sz="4" w:space="0" w:color="auto"/>
            </w:tcBorders>
            <w:tcMar>
              <w:top w:w="100" w:type="nil"/>
              <w:right w:w="100" w:type="nil"/>
            </w:tcMar>
            <w:vAlign w:val="center"/>
          </w:tcPr>
          <w:p w14:paraId="60710D45"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1667" w:type="pct"/>
            <w:tcBorders>
              <w:bottom w:val="single" w:sz="4" w:space="0" w:color="auto"/>
            </w:tcBorders>
            <w:tcMar>
              <w:top w:w="100" w:type="nil"/>
              <w:right w:w="100" w:type="nil"/>
            </w:tcMar>
            <w:vAlign w:val="center"/>
          </w:tcPr>
          <w:p w14:paraId="6C170A8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667" w:type="pct"/>
            <w:tcBorders>
              <w:bottom w:val="single" w:sz="4" w:space="0" w:color="auto"/>
            </w:tcBorders>
            <w:tcMar>
              <w:top w:w="100" w:type="nil"/>
              <w:right w:w="100" w:type="nil"/>
            </w:tcMar>
            <w:vAlign w:val="center"/>
          </w:tcPr>
          <w:p w14:paraId="4AFAB055"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4537D4F" w14:textId="77777777" w:rsidR="002A0567" w:rsidRPr="006159A0" w:rsidRDefault="002A0567" w:rsidP="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408B4EB1" w14:textId="27E43568" w:rsidR="002A0567" w:rsidRPr="006159A0" w:rsidRDefault="002A0567" w:rsidP="006159A0">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78A34AE1" w14:textId="77777777" w:rsidR="00953074" w:rsidRPr="00824E21" w:rsidRDefault="00953074" w:rsidP="004F595A">
      <w:pPr>
        <w:rPr>
          <w:rFonts w:asciiTheme="majorHAnsi" w:hAnsiTheme="majorHAnsi" w:cstheme="majorHAnsi"/>
          <w:sz w:val="20"/>
          <w:szCs w:val="20"/>
        </w:rPr>
      </w:pPr>
    </w:p>
    <w:p w14:paraId="32664F1F" w14:textId="77777777" w:rsidR="00350E20" w:rsidRDefault="00350E20" w:rsidP="004F595A">
      <w:pPr>
        <w:spacing w:line="360" w:lineRule="auto"/>
        <w:rPr>
          <w:rFonts w:asciiTheme="majorHAnsi" w:hAnsiTheme="majorHAnsi" w:cstheme="majorHAnsi"/>
          <w:b/>
          <w:bCs/>
        </w:rPr>
      </w:pPr>
    </w:p>
    <w:p w14:paraId="79B1B7B9" w14:textId="1E54B311" w:rsidR="004F595A" w:rsidRPr="00B621E1" w:rsidRDefault="004F595A" w:rsidP="004F595A">
      <w:pPr>
        <w:spacing w:line="360" w:lineRule="auto"/>
        <w:rPr>
          <w:rFonts w:asciiTheme="majorHAnsi" w:hAnsiTheme="majorHAnsi" w:cstheme="majorHAnsi"/>
        </w:rPr>
      </w:pPr>
      <w:r>
        <w:rPr>
          <w:rFonts w:asciiTheme="majorHAnsi" w:hAnsiTheme="majorHAnsi" w:cstheme="majorHAnsi"/>
          <w:b/>
          <w:bCs/>
        </w:rPr>
        <w:t>Table 9</w:t>
      </w:r>
    </w:p>
    <w:p w14:paraId="65F6509D" w14:textId="3984C9FF" w:rsidR="00321FF7" w:rsidRPr="006159A0" w:rsidRDefault="00321FF7" w:rsidP="006159A0">
      <w:pPr>
        <w:spacing w:line="360" w:lineRule="auto"/>
        <w:rPr>
          <w:rFonts w:asciiTheme="majorHAnsi" w:hAnsiTheme="majorHAnsi" w:cstheme="majorHAnsi"/>
          <w:lang w:val="en-US"/>
        </w:rPr>
      </w:pPr>
      <w:r>
        <w:rPr>
          <w:rFonts w:asciiTheme="majorHAnsi" w:hAnsiTheme="majorHAnsi" w:cstheme="majorHAnsi"/>
          <w:lang w:val="en-US"/>
        </w:rPr>
        <w:lastRenderedPageBreak/>
        <w:t>Ordered Logit Models: Highest Degree Plans (Odds Ratios)</w:t>
      </w:r>
      <w:r>
        <w:rPr>
          <w:rFonts w:asciiTheme="majorHAnsi" w:hAnsiTheme="majorHAnsi" w:cstheme="majorHAnsi"/>
          <w:i/>
          <w:iCs/>
        </w:rPr>
        <w:t>, by Sexual Orientation</w:t>
      </w:r>
    </w:p>
    <w:tbl>
      <w:tblPr>
        <w:tblW w:w="5000" w:type="pct"/>
        <w:jc w:val="center"/>
        <w:tblLayout w:type="fixed"/>
        <w:tblLook w:val="0000" w:firstRow="0" w:lastRow="0" w:firstColumn="0" w:lastColumn="0" w:noHBand="0" w:noVBand="0"/>
      </w:tblPr>
      <w:tblGrid>
        <w:gridCol w:w="2340"/>
        <w:gridCol w:w="2340"/>
        <w:gridCol w:w="2340"/>
        <w:gridCol w:w="2340"/>
      </w:tblGrid>
      <w:tr w:rsidR="00321FF7" w:rsidRPr="00B621E1" w14:paraId="3CCDC271" w14:textId="77777777" w:rsidTr="006159A0">
        <w:trPr>
          <w:jc w:val="center"/>
        </w:trPr>
        <w:tc>
          <w:tcPr>
            <w:tcW w:w="1250" w:type="pct"/>
            <w:tcBorders>
              <w:top w:val="single" w:sz="4" w:space="0" w:color="auto"/>
              <w:bottom w:val="single" w:sz="4" w:space="0" w:color="auto"/>
            </w:tcBorders>
            <w:tcMar>
              <w:top w:w="100" w:type="nil"/>
              <w:right w:w="100" w:type="nil"/>
            </w:tcMar>
            <w:vAlign w:val="center"/>
          </w:tcPr>
          <w:p w14:paraId="357F741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bottom w:val="single" w:sz="4" w:space="0" w:color="auto"/>
            </w:tcBorders>
            <w:tcMar>
              <w:top w:w="100" w:type="nil"/>
              <w:right w:w="100" w:type="nil"/>
            </w:tcMar>
            <w:vAlign w:val="center"/>
          </w:tcPr>
          <w:p w14:paraId="7595AD7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250" w:type="pct"/>
            <w:tcBorders>
              <w:top w:val="single" w:sz="4" w:space="0" w:color="auto"/>
              <w:bottom w:val="single" w:sz="4" w:space="0" w:color="auto"/>
            </w:tcBorders>
            <w:tcMar>
              <w:top w:w="100" w:type="nil"/>
              <w:right w:w="100" w:type="nil"/>
            </w:tcMar>
            <w:vAlign w:val="center"/>
          </w:tcPr>
          <w:p w14:paraId="0A2D560D"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250" w:type="pct"/>
            <w:tcBorders>
              <w:top w:val="single" w:sz="4" w:space="0" w:color="auto"/>
              <w:bottom w:val="single" w:sz="4" w:space="0" w:color="auto"/>
            </w:tcBorders>
            <w:tcMar>
              <w:top w:w="100" w:type="nil"/>
              <w:right w:w="100" w:type="nil"/>
            </w:tcMar>
            <w:vAlign w:val="center"/>
          </w:tcPr>
          <w:p w14:paraId="084AE8B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321FF7" w:rsidRPr="00B621E1" w14:paraId="5FE8CA7E" w14:textId="77777777" w:rsidTr="006159A0">
        <w:trPr>
          <w:jc w:val="center"/>
        </w:trPr>
        <w:tc>
          <w:tcPr>
            <w:tcW w:w="1250" w:type="pct"/>
            <w:tcBorders>
              <w:top w:val="single" w:sz="4" w:space="0" w:color="auto"/>
            </w:tcBorders>
            <w:tcMar>
              <w:top w:w="100" w:type="nil"/>
              <w:right w:w="100" w:type="nil"/>
            </w:tcMar>
            <w:vAlign w:val="center"/>
          </w:tcPr>
          <w:p w14:paraId="3CA9315B" w14:textId="20E37F86"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41D754C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7CDB9B7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0FE85A9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r>
      <w:tr w:rsidR="00321FF7" w:rsidRPr="00B621E1" w14:paraId="5617B2F1" w14:textId="77777777" w:rsidTr="006159A0">
        <w:trPr>
          <w:jc w:val="center"/>
        </w:trPr>
        <w:tc>
          <w:tcPr>
            <w:tcW w:w="1250" w:type="pct"/>
            <w:tcMar>
              <w:top w:w="100" w:type="nil"/>
              <w:right w:w="100" w:type="nil"/>
            </w:tcMar>
            <w:vAlign w:val="center"/>
          </w:tcPr>
          <w:p w14:paraId="00AD29F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Gay or Lesbian</w:t>
            </w:r>
          </w:p>
        </w:tc>
        <w:tc>
          <w:tcPr>
            <w:tcW w:w="1250" w:type="pct"/>
            <w:tcMar>
              <w:top w:w="100" w:type="nil"/>
              <w:right w:w="100" w:type="nil"/>
            </w:tcMar>
            <w:vAlign w:val="center"/>
          </w:tcPr>
          <w:p w14:paraId="0E302C5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922F61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1.388</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7D48349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1.353</w:t>
            </w:r>
            <w:r>
              <w:rPr>
                <w:rFonts w:asciiTheme="majorHAnsi" w:hAnsiTheme="majorHAnsi" w:cstheme="majorHAnsi"/>
                <w:sz w:val="20"/>
                <w:szCs w:val="20"/>
                <w:vertAlign w:val="superscript"/>
                <w:lang w:val="en-US"/>
              </w:rPr>
              <w:t>***</w:t>
            </w:r>
          </w:p>
        </w:tc>
      </w:tr>
      <w:tr w:rsidR="00321FF7" w:rsidRPr="00B621E1" w14:paraId="4A8925F1" w14:textId="77777777" w:rsidTr="006159A0">
        <w:trPr>
          <w:jc w:val="center"/>
        </w:trPr>
        <w:tc>
          <w:tcPr>
            <w:tcW w:w="1250" w:type="pct"/>
            <w:tcMar>
              <w:top w:w="100" w:type="nil"/>
              <w:right w:w="100" w:type="nil"/>
            </w:tcMar>
            <w:vAlign w:val="center"/>
          </w:tcPr>
          <w:p w14:paraId="6638B91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920A22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[1.250,1.867]</w:t>
            </w:r>
          </w:p>
        </w:tc>
        <w:tc>
          <w:tcPr>
            <w:tcW w:w="1250" w:type="pct"/>
            <w:tcMar>
              <w:top w:w="100" w:type="nil"/>
              <w:right w:w="100" w:type="nil"/>
            </w:tcMar>
            <w:vAlign w:val="center"/>
          </w:tcPr>
          <w:p w14:paraId="63F8CD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[1.130,1.704]</w:t>
            </w:r>
          </w:p>
        </w:tc>
        <w:tc>
          <w:tcPr>
            <w:tcW w:w="1250" w:type="pct"/>
            <w:tcMar>
              <w:top w:w="100" w:type="nil"/>
              <w:right w:w="100" w:type="nil"/>
            </w:tcMar>
            <w:vAlign w:val="center"/>
          </w:tcPr>
          <w:p w14:paraId="5AFD82A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[1.101,1.663]</w:t>
            </w:r>
          </w:p>
        </w:tc>
      </w:tr>
      <w:tr w:rsidR="00321FF7" w:rsidRPr="00B621E1" w14:paraId="3934E8BC" w14:textId="77777777" w:rsidTr="006159A0">
        <w:trPr>
          <w:jc w:val="center"/>
        </w:trPr>
        <w:tc>
          <w:tcPr>
            <w:tcW w:w="1250" w:type="pct"/>
            <w:tcMar>
              <w:top w:w="100" w:type="nil"/>
              <w:right w:w="100" w:type="nil"/>
            </w:tcMar>
            <w:vAlign w:val="center"/>
          </w:tcPr>
          <w:p w14:paraId="0A81650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10D3BD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13BCBA5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4A444C6E"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2F2BC1C" w14:textId="77777777" w:rsidTr="006159A0">
        <w:trPr>
          <w:jc w:val="center"/>
        </w:trPr>
        <w:tc>
          <w:tcPr>
            <w:tcW w:w="1250" w:type="pct"/>
            <w:tcMar>
              <w:top w:w="100" w:type="nil"/>
              <w:right w:w="100" w:type="nil"/>
            </w:tcMar>
            <w:vAlign w:val="center"/>
          </w:tcPr>
          <w:p w14:paraId="3DD146C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Bisexual/Pansexual/Omnisexual</w:t>
            </w:r>
          </w:p>
        </w:tc>
        <w:tc>
          <w:tcPr>
            <w:tcW w:w="1250" w:type="pct"/>
            <w:tcMar>
              <w:top w:w="100" w:type="nil"/>
              <w:right w:w="100" w:type="nil"/>
            </w:tcMar>
            <w:vAlign w:val="center"/>
          </w:tcPr>
          <w:p w14:paraId="2095B31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1.636</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2A03341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57F166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1.386</w:t>
            </w:r>
            <w:r>
              <w:rPr>
                <w:rFonts w:asciiTheme="majorHAnsi" w:hAnsiTheme="majorHAnsi" w:cstheme="majorHAnsi"/>
                <w:sz w:val="20"/>
                <w:szCs w:val="20"/>
                <w:vertAlign w:val="superscript"/>
                <w:lang w:val="en-US"/>
              </w:rPr>
              <w:t>***</w:t>
            </w:r>
          </w:p>
        </w:tc>
      </w:tr>
      <w:tr w:rsidR="00321FF7" w:rsidRPr="00B621E1" w14:paraId="2A52FD41" w14:textId="77777777" w:rsidTr="006159A0">
        <w:trPr>
          <w:jc w:val="center"/>
        </w:trPr>
        <w:tc>
          <w:tcPr>
            <w:tcW w:w="1250" w:type="pct"/>
            <w:tcMar>
              <w:top w:w="100" w:type="nil"/>
              <w:right w:w="100" w:type="nil"/>
            </w:tcMar>
            <w:vAlign w:val="center"/>
          </w:tcPr>
          <w:p w14:paraId="15276294"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FD8A8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[1.454,1.840]</w:t>
            </w:r>
          </w:p>
        </w:tc>
        <w:tc>
          <w:tcPr>
            <w:tcW w:w="1250" w:type="pct"/>
            <w:tcMar>
              <w:top w:w="100" w:type="nil"/>
              <w:right w:w="100" w:type="nil"/>
            </w:tcMar>
            <w:vAlign w:val="center"/>
          </w:tcPr>
          <w:p w14:paraId="73B830C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[1.408,1.788]</w:t>
            </w:r>
          </w:p>
        </w:tc>
        <w:tc>
          <w:tcPr>
            <w:tcW w:w="1250" w:type="pct"/>
            <w:tcMar>
              <w:top w:w="100" w:type="nil"/>
              <w:right w:w="100" w:type="nil"/>
            </w:tcMar>
            <w:vAlign w:val="center"/>
          </w:tcPr>
          <w:p w14:paraId="7C3578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[1.226,1.566]</w:t>
            </w:r>
          </w:p>
        </w:tc>
      </w:tr>
      <w:tr w:rsidR="00321FF7" w:rsidRPr="00B621E1" w14:paraId="630DCF73" w14:textId="77777777" w:rsidTr="006159A0">
        <w:trPr>
          <w:jc w:val="center"/>
        </w:trPr>
        <w:tc>
          <w:tcPr>
            <w:tcW w:w="1250" w:type="pct"/>
            <w:tcMar>
              <w:top w:w="100" w:type="nil"/>
              <w:right w:w="100" w:type="nil"/>
            </w:tcMar>
            <w:vAlign w:val="center"/>
          </w:tcPr>
          <w:p w14:paraId="4CCA5D8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A73301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0084AE8"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592E5F60"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097ED4F0" w14:textId="77777777" w:rsidTr="006159A0">
        <w:trPr>
          <w:jc w:val="center"/>
        </w:trPr>
        <w:tc>
          <w:tcPr>
            <w:tcW w:w="1250" w:type="pct"/>
            <w:tcMar>
              <w:top w:w="100" w:type="nil"/>
              <w:right w:w="100" w:type="nil"/>
            </w:tcMar>
            <w:vAlign w:val="center"/>
          </w:tcPr>
          <w:p w14:paraId="23DC53A2"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Asexual/Aromantic/Demisexual</w:t>
            </w:r>
          </w:p>
        </w:tc>
        <w:tc>
          <w:tcPr>
            <w:tcW w:w="1250" w:type="pct"/>
            <w:tcMar>
              <w:top w:w="100" w:type="nil"/>
              <w:right w:w="100" w:type="nil"/>
            </w:tcMar>
            <w:vAlign w:val="center"/>
          </w:tcPr>
          <w:p w14:paraId="568134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35B704D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1.251</w:t>
            </w:r>
          </w:p>
        </w:tc>
        <w:tc>
          <w:tcPr>
            <w:tcW w:w="1250" w:type="pct"/>
            <w:tcMar>
              <w:top w:w="100" w:type="nil"/>
              <w:right w:w="100" w:type="nil"/>
            </w:tcMar>
            <w:vAlign w:val="center"/>
          </w:tcPr>
          <w:p w14:paraId="4942247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1.079</w:t>
            </w:r>
          </w:p>
        </w:tc>
      </w:tr>
      <w:tr w:rsidR="00321FF7" w:rsidRPr="00B621E1" w14:paraId="564EE3A7" w14:textId="77777777" w:rsidTr="006159A0">
        <w:trPr>
          <w:jc w:val="center"/>
        </w:trPr>
        <w:tc>
          <w:tcPr>
            <w:tcW w:w="1250" w:type="pct"/>
            <w:tcMar>
              <w:top w:w="100" w:type="nil"/>
              <w:right w:w="100" w:type="nil"/>
            </w:tcMar>
            <w:vAlign w:val="center"/>
          </w:tcPr>
          <w:p w14:paraId="61BBA28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656D66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[1.168,1.983]</w:t>
            </w:r>
          </w:p>
        </w:tc>
        <w:tc>
          <w:tcPr>
            <w:tcW w:w="1250" w:type="pct"/>
            <w:tcMar>
              <w:top w:w="100" w:type="nil"/>
              <w:right w:w="100" w:type="nil"/>
            </w:tcMar>
            <w:vAlign w:val="center"/>
          </w:tcPr>
          <w:p w14:paraId="7C6B30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[0.955,1.638]</w:t>
            </w:r>
          </w:p>
        </w:tc>
        <w:tc>
          <w:tcPr>
            <w:tcW w:w="1250" w:type="pct"/>
            <w:tcMar>
              <w:top w:w="100" w:type="nil"/>
              <w:right w:w="100" w:type="nil"/>
            </w:tcMar>
            <w:vAlign w:val="center"/>
          </w:tcPr>
          <w:p w14:paraId="371FB42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[0.822,1.416]</w:t>
            </w:r>
          </w:p>
        </w:tc>
      </w:tr>
      <w:tr w:rsidR="00321FF7" w:rsidRPr="00B621E1" w14:paraId="43A92BBA" w14:textId="77777777" w:rsidTr="006159A0">
        <w:trPr>
          <w:jc w:val="center"/>
        </w:trPr>
        <w:tc>
          <w:tcPr>
            <w:tcW w:w="1250" w:type="pct"/>
            <w:tcMar>
              <w:top w:w="100" w:type="nil"/>
              <w:right w:w="100" w:type="nil"/>
            </w:tcMar>
            <w:vAlign w:val="center"/>
          </w:tcPr>
          <w:p w14:paraId="2B80734F"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9D457EA"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623DB16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3CABC5D"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D5D9387" w14:textId="77777777" w:rsidTr="006159A0">
        <w:trPr>
          <w:jc w:val="center"/>
        </w:trPr>
        <w:tc>
          <w:tcPr>
            <w:tcW w:w="1250" w:type="pct"/>
            <w:tcMar>
              <w:top w:w="100" w:type="nil"/>
              <w:right w:w="100" w:type="nil"/>
            </w:tcMar>
            <w:vAlign w:val="center"/>
          </w:tcPr>
          <w:p w14:paraId="4BFF66A5"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Other/Queer/Questioning</w:t>
            </w:r>
          </w:p>
        </w:tc>
        <w:tc>
          <w:tcPr>
            <w:tcW w:w="1250" w:type="pct"/>
            <w:tcMar>
              <w:top w:w="100" w:type="nil"/>
              <w:right w:w="100" w:type="nil"/>
            </w:tcMar>
            <w:vAlign w:val="center"/>
          </w:tcPr>
          <w:p w14:paraId="2011AD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1.440</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130138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1.293</w:t>
            </w:r>
          </w:p>
        </w:tc>
        <w:tc>
          <w:tcPr>
            <w:tcW w:w="1250" w:type="pct"/>
            <w:tcMar>
              <w:top w:w="100" w:type="nil"/>
              <w:right w:w="100" w:type="nil"/>
            </w:tcMar>
            <w:vAlign w:val="center"/>
          </w:tcPr>
          <w:p w14:paraId="0C6A842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1.117</w:t>
            </w:r>
          </w:p>
        </w:tc>
      </w:tr>
      <w:tr w:rsidR="00321FF7" w:rsidRPr="00B621E1" w14:paraId="7FAF9A45" w14:textId="77777777" w:rsidTr="006159A0">
        <w:trPr>
          <w:jc w:val="center"/>
        </w:trPr>
        <w:tc>
          <w:tcPr>
            <w:tcW w:w="1250" w:type="pct"/>
            <w:tcMar>
              <w:top w:w="100" w:type="nil"/>
              <w:right w:w="100" w:type="nil"/>
            </w:tcMar>
            <w:vAlign w:val="center"/>
          </w:tcPr>
          <w:p w14:paraId="39F1927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38B97D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[1.056,1.963]</w:t>
            </w:r>
          </w:p>
        </w:tc>
        <w:tc>
          <w:tcPr>
            <w:tcW w:w="1250" w:type="pct"/>
            <w:tcMar>
              <w:top w:w="100" w:type="nil"/>
              <w:right w:w="100" w:type="nil"/>
            </w:tcMar>
            <w:vAlign w:val="center"/>
          </w:tcPr>
          <w:p w14:paraId="1D4D2C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[0.941,1.777]</w:t>
            </w:r>
          </w:p>
        </w:tc>
        <w:tc>
          <w:tcPr>
            <w:tcW w:w="1250" w:type="pct"/>
            <w:tcMar>
              <w:top w:w="100" w:type="nil"/>
              <w:right w:w="100" w:type="nil"/>
            </w:tcMar>
            <w:vAlign w:val="center"/>
          </w:tcPr>
          <w:p w14:paraId="34AD840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[0.811,1.537]</w:t>
            </w:r>
          </w:p>
        </w:tc>
      </w:tr>
      <w:tr w:rsidR="00321FF7" w:rsidRPr="00B621E1" w14:paraId="1587BD55" w14:textId="77777777" w:rsidTr="006159A0">
        <w:trPr>
          <w:jc w:val="center"/>
        </w:trPr>
        <w:tc>
          <w:tcPr>
            <w:tcW w:w="1250" w:type="pct"/>
            <w:tcMar>
              <w:top w:w="100" w:type="nil"/>
              <w:right w:w="100" w:type="nil"/>
            </w:tcMar>
            <w:vAlign w:val="center"/>
          </w:tcPr>
          <w:p w14:paraId="0EBE4813"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34DFAFE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46B46AC"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82F899"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2DE0318F" w14:textId="77777777" w:rsidTr="006159A0">
        <w:trPr>
          <w:jc w:val="center"/>
        </w:trPr>
        <w:tc>
          <w:tcPr>
            <w:tcW w:w="1250" w:type="pct"/>
            <w:tcMar>
              <w:top w:w="100" w:type="nil"/>
              <w:right w:w="100" w:type="nil"/>
            </w:tcMar>
            <w:vAlign w:val="center"/>
          </w:tcPr>
          <w:p w14:paraId="13771EC1"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1250" w:type="pct"/>
            <w:tcMar>
              <w:top w:w="100" w:type="nil"/>
              <w:right w:w="100" w:type="nil"/>
            </w:tcMar>
            <w:vAlign w:val="center"/>
          </w:tcPr>
          <w:p w14:paraId="5BE3806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41C26C7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1.049</w:t>
            </w:r>
          </w:p>
        </w:tc>
        <w:tc>
          <w:tcPr>
            <w:tcW w:w="1250" w:type="pct"/>
            <w:tcMar>
              <w:top w:w="100" w:type="nil"/>
              <w:right w:w="100" w:type="nil"/>
            </w:tcMar>
            <w:vAlign w:val="center"/>
          </w:tcPr>
          <w:p w14:paraId="5AC760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0.957</w:t>
            </w:r>
          </w:p>
        </w:tc>
      </w:tr>
      <w:tr w:rsidR="00321FF7" w:rsidRPr="00B621E1" w14:paraId="5A4E4056" w14:textId="77777777" w:rsidTr="006159A0">
        <w:trPr>
          <w:jc w:val="center"/>
        </w:trPr>
        <w:tc>
          <w:tcPr>
            <w:tcW w:w="1250" w:type="pct"/>
            <w:tcBorders>
              <w:bottom w:val="single" w:sz="4" w:space="0" w:color="auto"/>
            </w:tcBorders>
            <w:tcMar>
              <w:top w:w="100" w:type="nil"/>
              <w:right w:w="100" w:type="nil"/>
            </w:tcMar>
            <w:vAlign w:val="center"/>
          </w:tcPr>
          <w:p w14:paraId="0CDA138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bottom w:val="single" w:sz="4" w:space="0" w:color="auto"/>
            </w:tcBorders>
            <w:tcMar>
              <w:top w:w="100" w:type="nil"/>
              <w:right w:w="100" w:type="nil"/>
            </w:tcMar>
            <w:vAlign w:val="center"/>
          </w:tcPr>
          <w:p w14:paraId="252B7D4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[0.986,1.370]</w:t>
            </w:r>
          </w:p>
        </w:tc>
        <w:tc>
          <w:tcPr>
            <w:tcW w:w="1250" w:type="pct"/>
            <w:tcBorders>
              <w:bottom w:val="single" w:sz="4" w:space="0" w:color="auto"/>
            </w:tcBorders>
            <w:tcMar>
              <w:top w:w="100" w:type="nil"/>
              <w:right w:w="100" w:type="nil"/>
            </w:tcMar>
            <w:vAlign w:val="center"/>
          </w:tcPr>
          <w:p w14:paraId="1070F9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[0.887,1.240]</w:t>
            </w:r>
          </w:p>
        </w:tc>
        <w:tc>
          <w:tcPr>
            <w:tcW w:w="1250" w:type="pct"/>
            <w:tcBorders>
              <w:bottom w:val="single" w:sz="4" w:space="0" w:color="auto"/>
            </w:tcBorders>
            <w:tcMar>
              <w:top w:w="100" w:type="nil"/>
              <w:right w:w="100" w:type="nil"/>
            </w:tcMar>
            <w:vAlign w:val="center"/>
          </w:tcPr>
          <w:p w14:paraId="591A201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[0.808,1.132]</w:t>
            </w:r>
          </w:p>
        </w:tc>
      </w:tr>
      <w:tr w:rsidR="00321FF7" w:rsidRPr="00B621E1" w14:paraId="0587D73B" w14:textId="77777777" w:rsidTr="006159A0">
        <w:trPr>
          <w:jc w:val="center"/>
        </w:trPr>
        <w:tc>
          <w:tcPr>
            <w:tcW w:w="1250" w:type="pct"/>
            <w:tcBorders>
              <w:top w:val="single" w:sz="4" w:space="0" w:color="auto"/>
            </w:tcBorders>
            <w:tcMar>
              <w:top w:w="100" w:type="nil"/>
              <w:right w:w="100" w:type="nil"/>
            </w:tcMar>
            <w:vAlign w:val="center"/>
          </w:tcPr>
          <w:p w14:paraId="07071A9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250" w:type="pct"/>
            <w:tcBorders>
              <w:top w:val="single" w:sz="4" w:space="0" w:color="auto"/>
            </w:tcBorders>
            <w:tcMar>
              <w:top w:w="100" w:type="nil"/>
              <w:right w:w="100" w:type="nil"/>
            </w:tcMar>
            <w:vAlign w:val="center"/>
          </w:tcPr>
          <w:p w14:paraId="36946D5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1250" w:type="pct"/>
            <w:tcBorders>
              <w:top w:val="single" w:sz="4" w:space="0" w:color="auto"/>
            </w:tcBorders>
            <w:tcMar>
              <w:top w:w="100" w:type="nil"/>
              <w:right w:w="100" w:type="nil"/>
            </w:tcMar>
            <w:vAlign w:val="center"/>
          </w:tcPr>
          <w:p w14:paraId="7733BC48"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7433</w:t>
            </w:r>
          </w:p>
        </w:tc>
        <w:tc>
          <w:tcPr>
            <w:tcW w:w="1250" w:type="pct"/>
            <w:tcBorders>
              <w:top w:val="single" w:sz="4" w:space="0" w:color="auto"/>
            </w:tcBorders>
            <w:tcMar>
              <w:top w:w="100" w:type="nil"/>
              <w:right w:w="100" w:type="nil"/>
            </w:tcMar>
            <w:vAlign w:val="center"/>
          </w:tcPr>
          <w:p w14:paraId="16CB04E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7423</w:t>
            </w:r>
          </w:p>
        </w:tc>
      </w:tr>
      <w:tr w:rsidR="00321FF7" w:rsidRPr="00B621E1" w14:paraId="4FBC133E" w14:textId="77777777" w:rsidTr="006159A0">
        <w:trPr>
          <w:jc w:val="center"/>
        </w:trPr>
        <w:tc>
          <w:tcPr>
            <w:tcW w:w="1250" w:type="pct"/>
            <w:tcMar>
              <w:top w:w="100" w:type="nil"/>
              <w:right w:w="100" w:type="nil"/>
            </w:tcMar>
            <w:vAlign w:val="center"/>
          </w:tcPr>
          <w:p w14:paraId="4758A695"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1250" w:type="pct"/>
            <w:tcMar>
              <w:top w:w="100" w:type="nil"/>
              <w:right w:w="100" w:type="nil"/>
            </w:tcMar>
            <w:vAlign w:val="center"/>
          </w:tcPr>
          <w:p w14:paraId="2EFB8C2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Mar>
              <w:top w:w="100" w:type="nil"/>
              <w:right w:w="100" w:type="nil"/>
            </w:tcMar>
            <w:vAlign w:val="center"/>
          </w:tcPr>
          <w:p w14:paraId="033C8E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1250" w:type="pct"/>
            <w:tcMar>
              <w:top w:w="100" w:type="nil"/>
              <w:right w:w="100" w:type="nil"/>
            </w:tcMar>
            <w:vAlign w:val="center"/>
          </w:tcPr>
          <w:p w14:paraId="454052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321FF7" w:rsidRPr="00B621E1" w14:paraId="3B8F8FE6" w14:textId="77777777" w:rsidTr="006159A0">
        <w:trPr>
          <w:jc w:val="center"/>
        </w:trPr>
        <w:tc>
          <w:tcPr>
            <w:tcW w:w="1250" w:type="pct"/>
            <w:tcBorders>
              <w:bottom w:val="single" w:sz="4" w:space="0" w:color="auto"/>
            </w:tcBorders>
            <w:tcMar>
              <w:top w:w="100" w:type="nil"/>
              <w:right w:w="100" w:type="nil"/>
            </w:tcMar>
            <w:vAlign w:val="center"/>
          </w:tcPr>
          <w:p w14:paraId="7D3B1ADF"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Assigned Sex at Birth</w:t>
            </w:r>
          </w:p>
        </w:tc>
        <w:tc>
          <w:tcPr>
            <w:tcW w:w="1250" w:type="pct"/>
            <w:tcBorders>
              <w:bottom w:val="single" w:sz="4" w:space="0" w:color="auto"/>
            </w:tcBorders>
            <w:tcMar>
              <w:top w:w="100" w:type="nil"/>
              <w:right w:w="100" w:type="nil"/>
            </w:tcMar>
            <w:vAlign w:val="center"/>
          </w:tcPr>
          <w:p w14:paraId="5F82C5A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36E6C1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4D93D64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D902FF1" w14:textId="77777777" w:rsidR="00321FF7" w:rsidRPr="006159A0" w:rsidRDefault="00321FF7" w:rsidP="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25F6B945" w14:textId="232D9B0A" w:rsidR="00321FF7" w:rsidRPr="00824E21" w:rsidRDefault="00321FF7" w:rsidP="006159A0">
      <w:pPr>
        <w:autoSpaceDE w:val="0"/>
        <w:autoSpaceDN w:val="0"/>
        <w:adjustRightInd w:val="0"/>
        <w:rPr>
          <w:rFonts w:asciiTheme="majorHAnsi" w:hAnsiTheme="majorHAnsi" w:cstheme="majorHAnsi"/>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49EA4FF7" w14:textId="089EC37C" w:rsidR="00824E21" w:rsidRPr="00B621E1" w:rsidRDefault="004F595A" w:rsidP="006159A0">
      <w:pPr>
        <w:spacing w:before="240" w:line="360" w:lineRule="auto"/>
        <w:ind w:firstLine="720"/>
        <w:rPr>
          <w:rFonts w:asciiTheme="majorHAnsi" w:hAnsiTheme="majorHAnsi" w:cstheme="majorHAnsi"/>
        </w:rPr>
      </w:pPr>
      <w:r>
        <w:rPr>
          <w:rFonts w:asciiTheme="majorHAnsi" w:hAnsiTheme="majorHAnsi" w:cstheme="majorHAnsi"/>
        </w:rPr>
        <w:t>Overall, these regression results confirm that many LGBTQ+ students — particularly nonbinary students, gay or lesbian students, and bisexual/pansexual/omnisexual students — maintain high educational aspirations that are not explained by demographic composition alone. At the same time, the limited statistical power for the smallest gender identity subgroups highlights a recurring challenge in quantitative research on transgender populations and reinforces the need for larger, targeted data collection efforts that can support more precise inference for these communities.</w:t>
      </w:r>
    </w:p>
    <w:p w14:paraId="2EFDC10B" w14:textId="3D3536DA" w:rsidR="00405435" w:rsidRPr="00B621E1" w:rsidRDefault="00602BF5" w:rsidP="001B2966">
      <w:pPr>
        <w:pStyle w:val="Heading2"/>
        <w:spacing w:before="0" w:after="0" w:line="360" w:lineRule="auto"/>
        <w:rPr>
          <w:rFonts w:asciiTheme="majorHAnsi" w:hAnsiTheme="majorHAnsi" w:cstheme="majorHAnsi"/>
          <w:b/>
          <w:bCs/>
          <w:sz w:val="24"/>
          <w:szCs w:val="28"/>
        </w:rPr>
      </w:pPr>
      <w:r>
        <w:rPr>
          <w:rFonts w:asciiTheme="majorHAnsi" w:hAnsiTheme="majorHAnsi" w:cstheme="majorHAnsi"/>
          <w:b/>
          <w:bCs/>
          <w:sz w:val="24"/>
          <w:szCs w:val="28"/>
        </w:rPr>
        <w:t>Qualitative Findings</w:t>
      </w:r>
    </w:p>
    <w:p w14:paraId="69BA04D8" w14:textId="19379C0F" w:rsidR="00405435"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The survey also asked respondents two open-ended questions: (1) “</w:t>
      </w:r>
      <w:r>
        <w:rPr>
          <w:rFonts w:asciiTheme="majorHAnsi" w:hAnsiTheme="majorHAnsi" w:cstheme="majorHAnsi"/>
          <w:highlight w:val="white"/>
        </w:rPr>
        <w:t>What do you think is the biggest challenge you’ll face in college?” and (2) “What</w:t>
      </w:r>
      <w:r>
        <w:rPr>
          <w:rFonts w:asciiTheme="majorHAnsi" w:hAnsiTheme="majorHAnsi" w:cstheme="majorHAnsi"/>
        </w:rPr>
        <w:t xml:space="preserve"> are you most excited about for college?” Although a full qualitative analysis of these data is beyond the scope of this </w:t>
      </w:r>
      <w:commentRangeStart w:id="78"/>
      <w:commentRangeStart w:id="79"/>
      <w:r>
        <w:rPr>
          <w:rFonts w:asciiTheme="majorHAnsi" w:hAnsiTheme="majorHAnsi" w:cstheme="majorHAnsi"/>
        </w:rPr>
        <w:t>paper</w:t>
      </w:r>
      <w:commentRangeEnd w:id="78"/>
      <w:r>
        <w:rPr>
          <w:rStyle w:val="CommentReference"/>
          <w:rFonts w:asciiTheme="majorHAnsi" w:hAnsiTheme="majorHAnsi" w:cstheme="majorHAnsi"/>
          <w:sz w:val="24"/>
          <w:szCs w:val="24"/>
        </w:rPr>
        <w:commentReference w:id="78"/>
      </w:r>
      <w:commentRangeEnd w:id="79"/>
      <w:r>
        <w:rPr>
          <w:rStyle w:val="CommentReference"/>
          <w:rFonts w:asciiTheme="majorHAnsi" w:hAnsiTheme="majorHAnsi" w:cstheme="majorHAnsi"/>
          <w:sz w:val="24"/>
          <w:szCs w:val="24"/>
        </w:rPr>
        <w:commentReference w:id="79"/>
      </w:r>
      <w:r>
        <w:rPr>
          <w:rFonts w:asciiTheme="majorHAnsi" w:hAnsiTheme="majorHAnsi" w:cstheme="majorHAnsi"/>
        </w:rPr>
        <w:t xml:space="preserve">, we </w:t>
      </w:r>
      <w:r>
        <w:rPr>
          <w:rFonts w:asciiTheme="majorHAnsi" w:hAnsiTheme="majorHAnsi" w:cstheme="majorHAnsi"/>
        </w:rPr>
        <w:lastRenderedPageBreak/>
        <w:t>report some of the social concerns and hopes raised by transgender, nonbinary, and gender diverse/questioning students.</w:t>
      </w:r>
      <w:r>
        <w:rPr>
          <w:rStyle w:val="FootnoteReference"/>
          <w:rFonts w:asciiTheme="majorHAnsi" w:hAnsiTheme="majorHAnsi" w:cstheme="majorHAnsi"/>
        </w:rPr>
        <w:footnoteReference w:id="8"/>
      </w:r>
      <w:r>
        <w:rPr>
          <w:rFonts w:asciiTheme="majorHAnsi" w:hAnsiTheme="majorHAnsi" w:cstheme="majorHAnsi"/>
        </w:rPr>
        <w:t xml:space="preserve"> </w:t>
      </w:r>
    </w:p>
    <w:p w14:paraId="6A8B9BB9" w14:textId="68BCE272"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 xml:space="preserve">Social Challenges and Discrimination </w:t>
      </w:r>
    </w:p>
    <w:p w14:paraId="7439B0B7" w14:textId="343AB57B"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Nearly one-quarter of trans and gender expansive students identified social challenges as a concern, with many worried about making new friends or whether they would make friends at all. A nonbinary student described, “Making friends has been a challenge for me in the past when 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w:t>
      </w:r>
      <w:commentRangeStart w:id="80"/>
      <w:r>
        <w:rPr>
          <w:rFonts w:asciiTheme="majorHAnsi" w:hAnsiTheme="majorHAnsi" w:cstheme="majorHAnsi"/>
        </w:rPr>
        <w:t xml:space="preserve"> </w:t>
      </w:r>
      <w:commentRangeEnd w:id="80"/>
      <w:r w:rsidRPr="00824E21">
        <w:rPr>
          <w:rStyle w:val="CommentReference"/>
          <w:rFonts w:asciiTheme="majorHAnsi" w:hAnsiTheme="majorHAnsi" w:cstheme="majorHAnsi"/>
          <w:sz w:val="24"/>
          <w:szCs w:val="24"/>
        </w:rPr>
        <w:commentReference w:id="80"/>
      </w:r>
    </w:p>
    <w:p w14:paraId="3E984AD2" w14:textId="2D4CD15E"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Finding Friends and Community</w:t>
      </w:r>
    </w:p>
    <w:p w14:paraId="7439B0B9" w14:textId="1913271A"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even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similar to themselves. One nonbinary student explained, “I’m most excited about the friendships I will form with people who share the same mindset as me.” Students also wanted to meet people who shared their academic interests. As one gender diverse/questioning student noted: “I’m really excited to be part of a supportive and engaging community… [and] excited to be around people with a similar drive for learning and an appreciation of education.” </w:t>
      </w:r>
    </w:p>
    <w:p w14:paraId="7439B0BA" w14:textId="1BFCD2D7" w:rsidR="00BD041A" w:rsidRPr="00824E21" w:rsidRDefault="00602BF5" w:rsidP="001B2966">
      <w:pPr>
        <w:spacing w:line="360" w:lineRule="auto"/>
        <w:ind w:firstLine="720"/>
        <w:rPr>
          <w:rFonts w:asciiTheme="majorHAnsi" w:hAnsiTheme="majorHAnsi" w:cstheme="majorHAnsi"/>
          <w:highlight w:val="yellow"/>
        </w:rPr>
      </w:pPr>
      <w:r>
        <w:rPr>
          <w:rFonts w:asciiTheme="majorHAnsi" w:hAnsiTheme="majorHAnsi" w:cstheme="majorHAnsi"/>
        </w:rPr>
        <w:lastRenderedPageBreak/>
        <w:t>Several students were also excited to attend a college where they could access gender-affirming healthcare and housing. One gender diverse/questioning student mentioned, “I’m also going to be downtown for college and I know that the college I’m going to is very LGBTQ+ friendly.” Another nonbinary student explained, “I’m also looking forward to receiving certain medical treatment at my college’s health center that I currently don’t have access to.”</w:t>
      </w:r>
    </w:p>
    <w:p w14:paraId="7439B0BB" w14:textId="4A9996B8" w:rsidR="00BD041A" w:rsidRPr="00824E21" w:rsidRDefault="00602BF5" w:rsidP="001B2966">
      <w:pPr>
        <w:spacing w:line="360" w:lineRule="auto"/>
        <w:rPr>
          <w:rFonts w:asciiTheme="majorHAnsi" w:hAnsiTheme="majorHAnsi" w:cstheme="majorHAnsi"/>
        </w:rPr>
      </w:pPr>
      <w:r>
        <w:rPr>
          <w:rFonts w:asciiTheme="majorHAnsi" w:hAnsiTheme="majorHAnsi" w:cstheme="majorHAnsi"/>
        </w:rPr>
        <w:tab/>
        <w:t>Some trans and gender expansive students also looked forward to the opportunity to leave their home environment. Students described a desire to “[get] away from home and a community that I was almost constantly harassed in,” “leave my abusive household,” and “be away from home… [and] finally hav[e] my own autonomy.” One trans woman added that leaving home and entering college explicitly offered “the ability to transition my gender identity, as my parents are opposed to it.” Together, these responses illustrate a pattern consistent with our quantitative findings: even as trans and gender expansive students report elevated concerns about discrimination and less positive high school experiences, they simultaneously express hope that college will offer safer, more affirming environments where they can build community and access the support they need.</w:t>
      </w:r>
    </w:p>
    <w:p w14:paraId="1370BA0B" w14:textId="77777777" w:rsidR="002142D4" w:rsidRPr="00824E21" w:rsidRDefault="00602BF5" w:rsidP="003F4E39">
      <w:pPr>
        <w:pStyle w:val="Heading2"/>
        <w:spacing w:before="0" w:after="0" w:line="360" w:lineRule="auto"/>
        <w:jc w:val="center"/>
        <w:rPr>
          <w:rFonts w:asciiTheme="majorHAnsi" w:hAnsiTheme="majorHAnsi" w:cstheme="majorHAnsi"/>
          <w:b/>
          <w:bCs/>
          <w:sz w:val="24"/>
          <w:szCs w:val="28"/>
        </w:rPr>
      </w:pPr>
      <w:bookmarkStart w:id="81" w:name="_h3kgdaj6y36" w:colFirst="0" w:colLast="0"/>
      <w:bookmarkEnd w:id="81"/>
      <w:r>
        <w:rPr>
          <w:rFonts w:asciiTheme="majorHAnsi" w:hAnsiTheme="majorHAnsi" w:cstheme="majorHAnsi"/>
          <w:b/>
          <w:bCs/>
          <w:sz w:val="24"/>
          <w:szCs w:val="28"/>
        </w:rPr>
        <w:t>Limitations</w:t>
      </w:r>
    </w:p>
    <w:p w14:paraId="7439B0BD" w14:textId="10D1D926"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One limitation to consider in this work is that our sample is restricted to students that indicated their plans to enroll in college in the fall after their senior year. Our results therefore uniquely speak to a group of students that made it to 12</w:t>
      </w:r>
      <w:r>
        <w:rPr>
          <w:rFonts w:asciiTheme="majorHAnsi" w:hAnsiTheme="majorHAnsi" w:cstheme="majorHAnsi"/>
          <w:vertAlign w:val="superscript"/>
        </w:rPr>
        <w:t>th</w:t>
      </w:r>
      <w:r>
        <w:rPr>
          <w:rFonts w:asciiTheme="majorHAnsi" w:hAnsiTheme="majorHAnsi" w:cstheme="majorHAnsi"/>
        </w:rPr>
        <w:t xml:space="preserve"> grade and made the decision to explore college. As such, results do not include students who dropped out prior to 12</w:t>
      </w:r>
      <w:r>
        <w:rPr>
          <w:rFonts w:asciiTheme="majorHAnsi" w:hAnsiTheme="majorHAnsi" w:cstheme="majorHAnsi"/>
          <w:vertAlign w:val="superscript"/>
        </w:rPr>
        <w:t>th</w:t>
      </w:r>
      <w:r>
        <w:rPr>
          <w:rFonts w:asciiTheme="majorHAnsi" w:hAnsiTheme="majorHAnsi" w:cstheme="majorHAnsi"/>
        </w:rPr>
        <w:t xml:space="preserve"> grade, had other plans, or for whom college seemed out of reach—a population future research should examine in more detail, particularly for LGBTQ+ students. We also wish to note that students’ plans can change—some students may not enroll in college after the survey was administered, underscoring that expectations to enroll do not always lead to enrollment (Klasik et al., 2025). Thus, these results reflect a unique sample of intended college-goers captured at one point in time. Future research on high school completion as well as college enrollment and retention by gender identity is needed.</w:t>
      </w:r>
    </w:p>
    <w:p w14:paraId="1B240FA8" w14:textId="4C2704BD" w:rsidR="00230904" w:rsidRPr="00824E21" w:rsidRDefault="00602BF5" w:rsidP="001B2966">
      <w:pPr>
        <w:pStyle w:val="Heading1"/>
        <w:spacing w:before="0" w:after="0" w:line="360" w:lineRule="auto"/>
        <w:rPr>
          <w:rFonts w:asciiTheme="majorHAnsi" w:hAnsiTheme="majorHAnsi" w:cstheme="majorHAnsi"/>
          <w:b/>
          <w:bCs/>
          <w:sz w:val="24"/>
          <w:szCs w:val="24"/>
        </w:rPr>
      </w:pPr>
      <w:bookmarkStart w:id="82" w:name="_c599vspu63qn" w:colFirst="0" w:colLast="0"/>
      <w:bookmarkEnd w:id="82"/>
      <w:r>
        <w:rPr>
          <w:rFonts w:asciiTheme="majorHAnsi" w:hAnsiTheme="majorHAnsi" w:cstheme="majorHAnsi"/>
          <w:b/>
          <w:bCs/>
          <w:sz w:val="24"/>
          <w:szCs w:val="24"/>
        </w:rPr>
        <w:lastRenderedPageBreak/>
        <w:t>Discussion and Conclusion</w:t>
      </w:r>
    </w:p>
    <w:p w14:paraId="5BF7D84E" w14:textId="77777777" w:rsidR="005747E9" w:rsidRDefault="005747E9" w:rsidP="00192B96">
      <w:pPr>
        <w:spacing w:line="360" w:lineRule="auto"/>
        <w:ind w:firstLine="720"/>
        <w:rPr>
          <w:rFonts w:asciiTheme="majorHAnsi" w:hAnsiTheme="majorHAnsi" w:cstheme="majorHAnsi"/>
        </w:rPr>
      </w:pPr>
      <w:r>
        <w:rPr>
          <w:rFonts w:asciiTheme="majorHAnsi" w:hAnsiTheme="majorHAnsi" w:cstheme="majorHAnsi"/>
        </w:rPr>
        <w:t>The transition from high school to college is an important one, and the high school experiences of LGBTQ+ students can influence their educational expectations and later attainment. Our findings reveal that identity-based bullying explains a meaningful share, but not all, of the observed disparities in high school experience for trans and gender expansive students. Controlling for bullying substantially attenuates the gender identity gaps (e.g., from -3.29 to -2.46 for gender diverse/questioning students), yet significant differences persist, indicating that the challenges these students face extend beyond victimization alone -- potentially including institutional climate, lack of representation, or navigating cis-normative policies and spaces. A similar pattern emerges by sexual orientation: bullying accounts for the high school experience gap among gay or lesbian students but does not fully explain the disparities for bisexual/pansexual/omnisexual students or those who prefer not to disclose their orientation. These findings are consistent with prior research on gender-related victimization in high school (Hatchel et al., 2018; McBride, 2021).</w:t>
      </w:r>
    </w:p>
    <w:p w14:paraId="0ACCD87B" w14:textId="77777777" w:rsidR="002370B0" w:rsidRDefault="002370B0" w:rsidP="001B2966">
      <w:pPr>
        <w:spacing w:line="360" w:lineRule="auto"/>
        <w:ind w:firstLine="720"/>
        <w:rPr>
          <w:rFonts w:asciiTheme="majorHAnsi" w:hAnsiTheme="majorHAnsi" w:cstheme="majorHAnsi"/>
        </w:rPr>
      </w:pPr>
      <w:r>
        <w:rPr>
          <w:rFonts w:asciiTheme="majorHAnsi" w:hAnsiTheme="majorHAnsi" w:cstheme="majorHAnsi"/>
        </w:rPr>
        <w:t xml:space="preserve">Given these experiences, we examined students' concerns ahead of college enrollment. Overall, trans and gender expansive students worried more about discrimination compared to cisgender students. Notably, these elevated worries about discrimination persist after controlling for bullying experiences, with only modest attenuation of the coefficients. This suggests that worries about discrimination in college are not simply a reflection of past victimization but may represent anticipatory concerns about future discrimination -- consistent with the minority stress framework, in which the expectation of prejudice operates as a stressor independent of prior experiences of discrimination (Hunter et al., 2021). By contrast, general worries about college (e.g., tuition, finding community, academic performance) and worries about financial burdens showed little association with bullying, suggesting these concerns are driven by different factors. The energy that LGBTQ+ students expend navigating and trying to avoid adverse experiences -- including remaining closeted -- detracts from the quality of their educational experience and ability to create community (Goldberg &amp; Kuvalanka, 2018; Kersey &amp; Voigt, 2021), and our findings suggest that this burden extends into the college transition: even after accounting for bullying, trans and gender expansive students report </w:t>
      </w:r>
      <w:r>
        <w:rPr>
          <w:rFonts w:asciiTheme="majorHAnsi" w:hAnsiTheme="majorHAnsi" w:cstheme="majorHAnsi"/>
        </w:rPr>
        <w:lastRenderedPageBreak/>
        <w:t>elevated concerns about facing discrimination in college, underscoring the pervasive nature of minority stress across educational settings.</w:t>
      </w:r>
    </w:p>
    <w:p w14:paraId="3C50B39B" w14:textId="21FD7A08" w:rsidR="006348D1" w:rsidRDefault="006348D1" w:rsidP="001B2966">
      <w:pPr>
        <w:spacing w:line="360" w:lineRule="auto"/>
        <w:ind w:firstLine="720"/>
        <w:rPr>
          <w:rFonts w:asciiTheme="majorHAnsi" w:hAnsiTheme="majorHAnsi" w:cstheme="majorHAnsi"/>
        </w:rPr>
      </w:pPr>
      <w:r>
        <w:rPr>
          <w:rFonts w:asciiTheme="majorHAnsi" w:hAnsiTheme="majorHAnsi" w:cstheme="majorHAnsi"/>
        </w:rPr>
        <w:t>However, despite these worries, students still planned to pursue postsecondary schooling - in fact, trans and gender expansive students planned to pursue advanced degrees at higher rates than their peers. Our ordered logit results quantify these differences: nonbinary students had 1.80 times the odds of aspiring to a higher degree category compared to cisgender men (95% CI [1.43, 2.26]), transgender men had 1.74 times the odds (95% CI [1.10, 2.75]), and by sexual orientation, bisexual/pansexual/omnisexual students had 1.64 times the odds (95% CI [1.45, 1.84]). These differences were robust to the inclusion of demographic controls. While this differs from previous research (Feldman et al., 2022; Sansone, 2019; Wilkinson et al., 2021), the schooling experiences of transgender and gender expansive students in our sample may include supports (whether at school or at home)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w:t>
      </w:r>
    </w:p>
    <w:p w14:paraId="7439B0C1" w14:textId="1C747F9F" w:rsidR="00BD041A"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These findings take on added significance in the current policy landscape. Since our data were collected in 2023, the federal policy environment for LGBTQ+ students has shifted considerably, including executive orders withdrawing federal recognition of transgender identities, restrictions on Title IX protections, and efforts to curtail access to gender-affirming care for minors (Exec. Order No. 14168, 2025; U.S. Department of Education, 2025). At the same time, several states have enacted laws limiting discussion of sexual orientation and gender identity in schools (Movement Advancement Project, 2025), while California has continued to strengthen state-level protections, including AB 1955 (the SAFETY Act), which prohibits school districts from requiring staff to disclose a student’s gender identity or sexual orientation to parents without the student’s consent (California Legislative Information, 2023; Equality California, 2025). This divergence underscores the importance of state-level data and state-level action. </w:t>
      </w:r>
      <w:commentRangeStart w:id="83"/>
      <w:r>
        <w:rPr>
          <w:rFonts w:asciiTheme="majorHAnsi" w:hAnsiTheme="majorHAnsi" w:cstheme="majorHAnsi"/>
        </w:rPr>
        <w:t>Our results</w:t>
      </w:r>
      <w:commentRangeEnd w:id="83"/>
      <w:r>
        <w:rPr>
          <w:rStyle w:val="CommentReference"/>
          <w:rFonts w:asciiTheme="majorHAnsi" w:hAnsiTheme="majorHAnsi" w:cstheme="majorHAnsi"/>
          <w:sz w:val="24"/>
          <w:szCs w:val="24"/>
        </w:rPr>
        <w:commentReference w:id="83"/>
      </w:r>
      <w:r>
        <w:rPr>
          <w:rFonts w:asciiTheme="majorHAnsi" w:hAnsiTheme="majorHAnsi" w:cstheme="majorHAnsi"/>
        </w:rPr>
        <w:t xml:space="preserve"> suggest that even within California’s comparatively protective policy environment, trans and gender expansive students experienced significant disparities in </w:t>
      </w:r>
      <w:r>
        <w:rPr>
          <w:rFonts w:asciiTheme="majorHAnsi" w:hAnsiTheme="majorHAnsi" w:cstheme="majorHAnsi"/>
        </w:rPr>
        <w:lastRenderedPageBreak/>
        <w:t>high school climate and identity-based victimization at the time of our survey.</w:t>
      </w:r>
      <w:commentRangeStart w:id="84"/>
      <w:r>
        <w:rPr>
          <w:rFonts w:asciiTheme="majorHAnsi" w:hAnsiTheme="majorHAnsi" w:cstheme="majorHAnsi"/>
        </w:rPr>
        <w:t xml:space="preserve"> As federal protections for transgender students are rolled back, the role of state and local policy in addressing these disparities becomes even more critical.</w:t>
      </w:r>
    </w:p>
    <w:p w14:paraId="13ADECD5" w14:textId="77777777" w:rsidR="006573EF" w:rsidRDefault="006573EF" w:rsidP="001B2966">
      <w:pPr>
        <w:spacing w:line="360" w:lineRule="auto"/>
        <w:ind w:firstLine="720"/>
        <w:rPr>
          <w:rFonts w:asciiTheme="majorHAnsi" w:hAnsiTheme="majorHAnsi" w:cstheme="majorHAnsi"/>
        </w:rPr>
      </w:pPr>
      <w:r>
        <w:rPr>
          <w:rFonts w:asciiTheme="majorHAnsi" w:hAnsiTheme="majorHAnsi" w:cstheme="majorHAnsi"/>
        </w:rPr>
        <w:t>These policy considerations are further complicated by heterogeneity within the LGBTQ+ community. Our results on sexual orientation show that the associations between sexual orientation and both high school experience and college worries are partly but not fully explained by bullying. For some groups -- such as gay or lesbian students -- the high school experience gap is largely attributable to bullying, as the coefficient becomes non-significant when bullying is controlled for. For others, particularly bisexual/pansexual/omnisexual students, significant disparities in high school experience and elevated worries about discrimination persist even after accounting for bullying and assigned sex at birth. This heterogeneity reinforces the importance of disaggregated analysis and suggests that interventions must address a range of challenges beyond bullying alone.</w:t>
      </w:r>
    </w:p>
    <w:p w14:paraId="7439B0C2" w14:textId="2037B1D5"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Our findings carry several implications for California education policy. First, the stark disparities in bullying rates and identity-based victimization documented in this study suggest that generic anti-bullying programs may be insufficient to address the experiences of trans and gender expansive students.</w:t>
      </w:r>
      <w:commentRangeEnd w:id="84"/>
      <w:r>
        <w:rPr>
          <w:rStyle w:val="CommentReference"/>
          <w:rFonts w:asciiTheme="majorHAnsi" w:hAnsiTheme="majorHAnsi" w:cstheme="majorHAnsi"/>
          <w:sz w:val="24"/>
          <w:szCs w:val="24"/>
        </w:rPr>
        <w:commentReference w:id="84"/>
      </w:r>
      <w:r>
        <w:rPr>
          <w:rFonts w:asciiTheme="majorHAnsi" w:hAnsiTheme="majorHAnsi" w:cstheme="majorHAnsi"/>
        </w:rPr>
        <w:t xml:space="preserve"> That 100% of bullied transgender students (</w:t>
      </w:r>
      <w:r>
        <w:rPr>
          <w:rFonts w:asciiTheme="majorHAnsi" w:hAnsiTheme="majorHAnsi" w:cstheme="majorHAnsi"/>
          <w:i/>
          <w:iCs/>
        </w:rPr>
        <w:t>n</w:t>
      </w:r>
      <w:r>
        <w:rPr>
          <w:rFonts w:asciiTheme="majorHAnsi" w:hAnsiTheme="majorHAnsi" w:cstheme="majorHAnsi"/>
        </w:rPr>
        <w:t xml:space="preserve"> = 42) attributed their victimization to their gender identity or sexual orientation points to the need for targeted interventions that specifically address identity-based harassment, including expanded support for gender-sexuality alliances (GSAs) and professional development for school staff on LGBTQ+ student needs. California’s Seth’s Law (AB 9, 2012) already requires schools to adopt anti-bullying policies that enumerate sexual orientation and gender identity as protected categories; however, our findings indicate that substantial identity-based victimization persists despite this legal framework, suggesting that districts may benefit from additional resources and accountability mechanisms to ensure these policies are actively implemented.</w:t>
      </w:r>
    </w:p>
    <w:p w14:paraId="7065647D" w14:textId="77777777" w:rsidR="000B3292" w:rsidRDefault="000B3292" w:rsidP="001B2966">
      <w:pPr>
        <w:spacing w:line="360" w:lineRule="auto"/>
        <w:ind w:firstLine="720"/>
        <w:rPr>
          <w:rFonts w:asciiTheme="majorHAnsi" w:hAnsiTheme="majorHAnsi" w:cstheme="majorHAnsi"/>
        </w:rPr>
      </w:pPr>
      <w:r>
        <w:rPr>
          <w:rFonts w:asciiTheme="majorHAnsi" w:hAnsiTheme="majorHAnsi" w:cstheme="majorHAnsi"/>
        </w:rPr>
        <w:t xml:space="preserve">Second, the patterns documented here -- where trans and gender expansive students report less positive high school experiences and elevated rates of identity-based bullying yet maintain elevated educational aspirations -- are consistent with the social ecological theory of resilience framing this study (Ungar, 2011, 2012). With the sample caveats noted in the </w:t>
      </w:r>
      <w:r>
        <w:rPr>
          <w:rFonts w:asciiTheme="majorHAnsi" w:hAnsiTheme="majorHAnsi" w:cstheme="majorHAnsi"/>
        </w:rPr>
        <w:lastRenderedPageBreak/>
        <w:t>Limitations section above, the persistence of elevated educational aspirations in the face of documented adversity is consistent with resilience and with the navigational capital that LGBTQ+ students develop through experience in cis-normative environments (Pennell, 2016). Our qualitative data reinforce this interpretation: even as students described fears of discrimination and hate crimes, they simultaneously expressed excitement about finding community and accessing gender-affirming resources in college, with one trans woman noting that college offered “the ability to transition my gender identity, as my parents are opposed to it.” Policymakers and institutions can build on this resilience by ensuring that the transition from high school to college is supported with resources that address the specific concerns these students reported, including worries about discrimination, finding community, and accessing gender-affirming services. This includes investments in bridge programs, mentoring, and campus resources that are responsive to the needs of incoming LGBTQ+ students.</w:t>
      </w:r>
    </w:p>
    <w:p w14:paraId="00ACB04B" w14:textId="77777777" w:rsidR="00712F59" w:rsidRDefault="00602BF5" w:rsidP="001B2966">
      <w:pPr>
        <w:spacing w:line="360" w:lineRule="auto"/>
        <w:ind w:firstLine="720"/>
        <w:rPr>
          <w:rFonts w:asciiTheme="majorHAnsi" w:hAnsiTheme="majorHAnsi" w:cstheme="majorHAnsi"/>
        </w:rPr>
      </w:pPr>
      <w:commentRangeStart w:id="85"/>
      <w:commentRangeStart w:id="86"/>
      <w:r>
        <w:rPr>
          <w:rFonts w:asciiTheme="majorHAnsi" w:hAnsiTheme="majorHAnsi" w:cstheme="majorHAnsi"/>
        </w:rPr>
        <w:t>Third, our study highlights the critical need for California to continue collecting and disaggregating data by gender identity and sexual orientation in statewide surveys and school climate assessments. The richness of the data collected in partnership with the California Student Aid Commission allowed us to identify disparities that would be invisible in datasets that treat LGBTQ+ students as a monolithic group or that omit gender identity measures entirely. As the state considers how to monitor school climate and student well-being going forward, this level of detail will be essential to understanding and addressing the needs of this population.</w:t>
      </w:r>
      <w:commentRangeEnd w:id="85"/>
      <w:r>
        <w:rPr>
          <w:rStyle w:val="CommentReference"/>
          <w:rFonts w:asciiTheme="majorHAnsi" w:hAnsiTheme="majorHAnsi" w:cstheme="majorHAnsi"/>
          <w:sz w:val="24"/>
          <w:szCs w:val="24"/>
        </w:rPr>
        <w:commentReference w:id="85"/>
      </w:r>
      <w:commentRangeEnd w:id="86"/>
      <w:r>
        <w:rPr>
          <w:rStyle w:val="CommentReference"/>
          <w:rFonts w:asciiTheme="majorHAnsi" w:hAnsiTheme="majorHAnsi" w:cstheme="majorHAnsi"/>
          <w:sz w:val="24"/>
          <w:szCs w:val="24"/>
        </w:rPr>
        <w:commentReference w:id="86"/>
      </w:r>
      <w:r>
        <w:rPr>
          <w:rFonts w:asciiTheme="majorHAnsi" w:hAnsiTheme="majorHAnsi" w:cstheme="majorHAnsi"/>
        </w:rPr>
        <w:t xml:space="preserve"> However, we also recognize that in the current political climate, students may have legitimate concerns about disclosing their identities in institutional surveys. Efforts to build on this kind of evidence base will need to balance the analytic power of detailed identity data with robust protections for student privacy and confidentiality. </w:t>
      </w:r>
    </w:p>
    <w:p w14:paraId="52256DEE" w14:textId="2852845D" w:rsidR="00873C71"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More broadly, our findings underscore the importance of California’s continued commitment to fostering safe, affirming educational environments — and to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state’s most vulnerable students.</w:t>
      </w:r>
      <w:bookmarkStart w:id="87" w:name="_fq6vnb7c3e33" w:colFirst="0" w:colLast="0"/>
      <w:bookmarkEnd w:id="87"/>
    </w:p>
    <w:p w14:paraId="2342E39D" w14:textId="77777777" w:rsidR="00873C71" w:rsidRPr="00824E21" w:rsidRDefault="00873C71" w:rsidP="001B2966">
      <w:pPr>
        <w:spacing w:line="360" w:lineRule="auto"/>
        <w:rPr>
          <w:rFonts w:asciiTheme="majorHAnsi" w:hAnsiTheme="majorHAnsi" w:cstheme="majorHAnsi"/>
        </w:rPr>
      </w:pPr>
      <w:r>
        <w:rPr>
          <w:rFonts w:asciiTheme="majorHAnsi" w:hAnsiTheme="majorHAnsi" w:cstheme="majorHAnsi"/>
        </w:rPr>
        <w:lastRenderedPageBreak/>
        <w:br w:type="page"/>
      </w:r>
    </w:p>
    <w:p w14:paraId="7439B0D0" w14:textId="7303D169" w:rsidR="00BD041A"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References</w:t>
      </w:r>
    </w:p>
    <w:p w14:paraId="7439B0D1" w14:textId="3030F1B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Alvarado, S. E., &amp; An, B. P. (2015). Race, friends, and college readiness: Evidence from the high school longitudinal study. </w:t>
      </w:r>
      <w:r>
        <w:rPr>
          <w:rFonts w:asciiTheme="majorHAnsi" w:hAnsiTheme="majorHAnsi" w:cstheme="majorHAnsi"/>
          <w:i/>
          <w:iCs/>
        </w:rPr>
        <w:t>Race and Social Problems</w:t>
      </w:r>
      <w:r>
        <w:rPr>
          <w:rFonts w:asciiTheme="majorHAnsi" w:hAnsiTheme="majorHAnsi" w:cstheme="majorHAnsi"/>
        </w:rPr>
        <w:t>, </w:t>
      </w:r>
      <w:r>
        <w:rPr>
          <w:rFonts w:asciiTheme="majorHAnsi" w:hAnsiTheme="majorHAnsi" w:cstheme="majorHAnsi"/>
          <w:i/>
          <w:iCs/>
        </w:rPr>
        <w:t>7</w:t>
      </w:r>
      <w:r>
        <w:rPr>
          <w:rFonts w:asciiTheme="majorHAnsi" w:hAnsiTheme="majorHAnsi" w:cstheme="majorHAnsi"/>
        </w:rPr>
        <w:t xml:space="preserve">, 150–167. </w:t>
      </w:r>
      <w:hyperlink r:id="rId27" w:history="1">
        <w:r>
          <w:rPr>
            <w:rStyle w:val="Hyperlink"/>
            <w:rFonts w:asciiTheme="majorHAnsi" w:hAnsiTheme="majorHAnsi" w:cstheme="majorHAnsi"/>
          </w:rPr>
          <w:t>https://doi.org/ 10.1007/s12552-015-9146-5</w:t>
        </w:r>
      </w:hyperlink>
      <w:r>
        <w:rPr>
          <w:rFonts w:asciiTheme="majorHAnsi" w:hAnsiTheme="majorHAnsi" w:cstheme="majorHAnsi"/>
        </w:rPr>
        <w:t xml:space="preserve">    </w:t>
      </w:r>
    </w:p>
    <w:p w14:paraId="7439B0D3" w14:textId="03C2A96D"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Aragon, S. R., Poteat, V. P., Espelage, D. L., &amp; Koenig, B. W. (2014). The influence of peer victimization on educational outcomes for LGBTQ and non-LGBTQ high school students.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(1), 1–19. </w:t>
      </w:r>
      <w:hyperlink r:id="rId28" w:history="1">
        <w:r>
          <w:rPr>
            <w:rStyle w:val="Hyperlink"/>
            <w:rFonts w:asciiTheme="majorHAnsi" w:hAnsiTheme="majorHAnsi" w:cstheme="majorHAnsi"/>
          </w:rPr>
          <w:t>https://doi.org/10.1080/ 19361653.2014.840761</w:t>
        </w:r>
      </w:hyperlink>
      <w:r>
        <w:rPr>
          <w:rFonts w:asciiTheme="majorHAnsi" w:hAnsiTheme="majorHAnsi" w:cstheme="majorHAnsi"/>
        </w:rPr>
        <w:t xml:space="preserve"> </w:t>
      </w:r>
    </w:p>
    <w:p w14:paraId="7439B0D5" w14:textId="3923B6AC"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Austin, G., Hanson, T., Bala, N., &amp; Zheng, C. (2023). </w:t>
      </w:r>
      <w:r>
        <w:rPr>
          <w:rFonts w:asciiTheme="majorHAnsi" w:hAnsiTheme="majorHAnsi" w:cstheme="majorHAnsi"/>
          <w:i/>
          <w:iCs/>
        </w:rPr>
        <w:t>Student engagement and well-being in California, 2019–21: Results of the Eighteenth Biennial State California Healthy Kids Survey, grades 7, 9, and 11.</w:t>
      </w:r>
      <w:r>
        <w:rPr>
          <w:rFonts w:asciiTheme="majorHAnsi" w:hAnsiTheme="majorHAnsi" w:cstheme="majorHAnsi"/>
        </w:rPr>
        <w:t xml:space="preserve"> WestEd. </w:t>
      </w:r>
      <w:hyperlink r:id="rId29" w:history="1">
        <w:r>
          <w:rPr>
            <w:rStyle w:val="Hyperlink"/>
            <w:rFonts w:asciiTheme="majorHAnsi" w:hAnsiTheme="majorHAnsi" w:cstheme="majorHAnsi"/>
          </w:rPr>
          <w:t>https://data.calschls.org/resources/18th_ Biennial_State_1921.pdf</w:t>
        </w:r>
      </w:hyperlink>
      <w:r>
        <w:rPr>
          <w:rFonts w:asciiTheme="majorHAnsi" w:hAnsiTheme="majorHAnsi" w:cstheme="majorHAnsi"/>
        </w:rPr>
        <w:t xml:space="preserve">     </w:t>
      </w:r>
    </w:p>
    <w:p w14:paraId="2C4AB194" w14:textId="03FD94D9" w:rsidR="003F369F" w:rsidRPr="00824E21" w:rsidRDefault="003F369F" w:rsidP="003F369F">
      <w:pPr>
        <w:spacing w:line="360" w:lineRule="auto"/>
        <w:ind w:left="720" w:hanging="720"/>
        <w:rPr>
          <w:rFonts w:asciiTheme="majorHAnsi" w:hAnsiTheme="majorHAnsi" w:cstheme="majorHAnsi"/>
          <w:lang w:val="en-US"/>
        </w:rPr>
      </w:pPr>
      <w:r>
        <w:rPr>
          <w:rFonts w:asciiTheme="majorHAnsi" w:hAnsiTheme="majorHAnsi" w:cstheme="majorHAnsi"/>
        </w:rPr>
        <w:t xml:space="preserve">Badgett, M. V., Goldberg, N., Conron, K., &amp; Gates, G. (2009, November). </w:t>
      </w:r>
      <w:r>
        <w:rPr>
          <w:rFonts w:asciiTheme="majorHAnsi" w:hAnsiTheme="majorHAnsi" w:cstheme="majorHAnsi"/>
          <w:i/>
          <w:iCs/>
          <w:lang w:val="en-US"/>
        </w:rPr>
        <w:t>Best practices for asking questions about sexual orientation on surveys.</w:t>
      </w:r>
      <w:r>
        <w:rPr>
          <w:rFonts w:asciiTheme="majorHAnsi" w:hAnsiTheme="majorHAnsi" w:cstheme="majorHAnsi"/>
          <w:lang w:val="en-US"/>
        </w:rPr>
        <w:t xml:space="preserve"> The Williams Institute. https://williamsinstitute.law.ucla.edu/wp-content/uploads/Best-Practices-SO-Surveys-Nov-2009.pdf</w:t>
      </w:r>
    </w:p>
    <w:p w14:paraId="7439B0D7" w14:textId="77777777" w:rsidR="00BD041A" w:rsidRPr="00824E21" w:rsidRDefault="00602BF5" w:rsidP="001B2966">
      <w:pPr>
        <w:spacing w:line="360" w:lineRule="auto"/>
        <w:ind w:left="720" w:hanging="720"/>
        <w:rPr>
          <w:rFonts w:asciiTheme="majorHAnsi" w:hAnsiTheme="majorHAnsi" w:cstheme="majorHAnsi"/>
          <w:i/>
          <w:iCs/>
        </w:rPr>
      </w:pPr>
      <w:r>
        <w:rPr>
          <w:rFonts w:asciiTheme="majorHAnsi" w:hAnsiTheme="majorHAnsi" w:cstheme="majorHAnsi"/>
        </w:rPr>
        <w:t xml:space="preserve">Bandura, A. (1981). Self-referent thought: A developmental analysis of self-efficacy. In J.H. Flavell &amp; L. Ross (Eds.), </w:t>
      </w:r>
      <w:r>
        <w:rPr>
          <w:rFonts w:asciiTheme="majorHAnsi" w:hAnsiTheme="majorHAnsi" w:cstheme="majorHAnsi"/>
          <w:i/>
          <w:iCs/>
        </w:rPr>
        <w:t>Social cognitive development: Frontiers and possible futures</w:t>
      </w:r>
      <w:r>
        <w:rPr>
          <w:rFonts w:asciiTheme="majorHAnsi" w:hAnsiTheme="majorHAnsi" w:cstheme="majorHAnsi"/>
        </w:rPr>
        <w:t xml:space="preserve"> (pp. 200–239). Cambridge, England: Cambridge</w:t>
      </w:r>
      <w:r>
        <w:rPr>
          <w:rFonts w:asciiTheme="majorHAnsi" w:hAnsiTheme="majorHAnsi" w:cstheme="majorHAnsi"/>
          <w:i/>
          <w:iCs/>
        </w:rPr>
        <w:t xml:space="preserve"> </w:t>
      </w:r>
      <w:r>
        <w:rPr>
          <w:rFonts w:asciiTheme="majorHAnsi" w:hAnsiTheme="majorHAnsi" w:cstheme="majorHAnsi"/>
        </w:rPr>
        <w:t>University Press.</w:t>
      </w:r>
    </w:p>
    <w:p w14:paraId="7439B0D9" w14:textId="089F5A15"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Beemyn, G. (2022). The changing nature of gender in the 21st century: How trans and nonbinary students applying to college today self-identify. </w:t>
      </w:r>
      <w:r>
        <w:rPr>
          <w:rFonts w:asciiTheme="majorHAnsi" w:hAnsiTheme="majorHAnsi" w:cstheme="majorHAnsi"/>
          <w:i/>
          <w:iCs/>
        </w:rPr>
        <w:t>Campus Pride.</w:t>
      </w:r>
      <w:r>
        <w:rPr>
          <w:rFonts w:asciiTheme="majorHAnsi" w:hAnsiTheme="majorHAnsi" w:cstheme="majorHAnsi"/>
        </w:rPr>
        <w:t xml:space="preserve"> </w:t>
      </w:r>
      <w:hyperlink r:id="rId30" w:history="1">
        <w:r>
          <w:rPr>
            <w:rStyle w:val="Hyperlink"/>
            <w:rFonts w:asciiTheme="majorHAnsi" w:hAnsiTheme="majorHAnsi" w:cstheme="majorHAnsi"/>
          </w:rPr>
          <w:t>https://www.campuspride.org/wp-content/uploads/CampusPride_ChangingNature ofGender21stCentury.pdf</w:t>
        </w:r>
      </w:hyperlink>
      <w:r>
        <w:rPr>
          <w:rFonts w:asciiTheme="majorHAnsi" w:hAnsiTheme="majorHAnsi" w:cstheme="majorHAnsi"/>
        </w:rPr>
        <w:t xml:space="preserve"> </w:t>
      </w:r>
    </w:p>
    <w:p w14:paraId="7439B0DA" w14:textId="7777777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Bourdieu, P. (1986). The forms of capital. In J.G. Richardson (Ed.), </w:t>
      </w:r>
      <w:r>
        <w:rPr>
          <w:rFonts w:asciiTheme="majorHAnsi" w:hAnsiTheme="majorHAnsi" w:cstheme="majorHAnsi"/>
          <w:i/>
          <w:iCs/>
        </w:rPr>
        <w:t>Handbook of theory and research for the sociology of education</w:t>
      </w:r>
      <w:r>
        <w:rPr>
          <w:rFonts w:asciiTheme="majorHAnsi" w:hAnsiTheme="majorHAnsi" w:cstheme="majorHAnsi"/>
        </w:rPr>
        <w:t>, (pp. 241–258). New York, NY: Greenwood.</w:t>
      </w:r>
    </w:p>
    <w:p w14:paraId="7439B0DB" w14:textId="508FFBD3"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Callis, A. S. (2014). Bisexual, pansexual, queer: Non-binary identities and the sexual borderlands. </w:t>
      </w:r>
      <w:r>
        <w:rPr>
          <w:rFonts w:asciiTheme="majorHAnsi" w:hAnsiTheme="majorHAnsi" w:cstheme="majorHAnsi"/>
          <w:i/>
          <w:iCs/>
        </w:rPr>
        <w:t>Sexualities</w:t>
      </w:r>
      <w:r>
        <w:rPr>
          <w:rFonts w:asciiTheme="majorHAnsi" w:hAnsiTheme="majorHAnsi" w:cstheme="majorHAnsi"/>
        </w:rPr>
        <w:t>, </w:t>
      </w:r>
      <w:r>
        <w:rPr>
          <w:rFonts w:asciiTheme="majorHAnsi" w:hAnsiTheme="majorHAnsi" w:cstheme="majorHAnsi"/>
          <w:i/>
          <w:iCs/>
        </w:rPr>
        <w:t>17</w:t>
      </w:r>
      <w:r>
        <w:rPr>
          <w:rFonts w:asciiTheme="majorHAnsi" w:hAnsiTheme="majorHAnsi" w:cstheme="majorHAnsi"/>
        </w:rPr>
        <w:t xml:space="preserve">(1-2), 63–80. </w:t>
      </w:r>
      <w:hyperlink r:id="rId31" w:history="1">
        <w:r>
          <w:rPr>
            <w:rStyle w:val="Hyperlink"/>
            <w:rFonts w:asciiTheme="majorHAnsi" w:hAnsiTheme="majorHAnsi" w:cstheme="majorHAnsi"/>
          </w:rPr>
          <w:t>https://doi.org/10.1177/1363460713511094</w:t>
        </w:r>
      </w:hyperlink>
      <w:r>
        <w:rPr>
          <w:rFonts w:asciiTheme="majorHAnsi" w:hAnsiTheme="majorHAnsi" w:cstheme="majorHAnsi"/>
        </w:rPr>
        <w:t xml:space="preserve"> </w:t>
      </w:r>
    </w:p>
    <w:p w14:paraId="0C157863" w14:textId="22C80701" w:rsidR="005E0AD3" w:rsidRPr="00824E21" w:rsidRDefault="005E0AD3" w:rsidP="001B2966">
      <w:pPr>
        <w:spacing w:line="360" w:lineRule="auto"/>
        <w:ind w:left="720" w:hanging="720"/>
        <w:rPr>
          <w:rFonts w:asciiTheme="majorHAnsi" w:hAnsiTheme="majorHAnsi" w:cstheme="majorHAnsi"/>
        </w:rPr>
      </w:pPr>
      <w:r>
        <w:rPr>
          <w:rFonts w:asciiTheme="majorHAnsi" w:hAnsiTheme="majorHAnsi" w:cstheme="majorHAnsi"/>
        </w:rPr>
        <w:lastRenderedPageBreak/>
        <w:t>California Legislative Information. (2023). AB 1955, Support Academic Futures and Educators for Today's Youth (SAFETY) Act. https://leginfo.legislature.ca.gov/faces/billNavClient.xhtml?bill_id=202320240AB1955</w:t>
      </w:r>
    </w:p>
    <w:p w14:paraId="7439B0DC" w14:textId="531AE5F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Casillas, A., Robbins, S., Allen, J., Kuo, Y. L., Hanson, M. A., &amp; Schmeiser, C. (2012). Predicting early academic failure in high school from prior academic achievement, psychosocial characteristics, and behavior. </w:t>
      </w:r>
      <w:r>
        <w:rPr>
          <w:rFonts w:asciiTheme="majorHAnsi" w:hAnsiTheme="majorHAnsi" w:cstheme="majorHAnsi"/>
          <w:i/>
          <w:iCs/>
        </w:rPr>
        <w:t>Journal of Educational Psychology</w:t>
      </w:r>
      <w:r>
        <w:rPr>
          <w:rFonts w:asciiTheme="majorHAnsi" w:hAnsiTheme="majorHAnsi" w:cstheme="majorHAnsi"/>
        </w:rPr>
        <w:t>, </w:t>
      </w:r>
      <w:r>
        <w:rPr>
          <w:rFonts w:asciiTheme="majorHAnsi" w:hAnsiTheme="majorHAnsi" w:cstheme="majorHAnsi"/>
          <w:i/>
          <w:iCs/>
        </w:rPr>
        <w:t>104</w:t>
      </w:r>
      <w:r>
        <w:rPr>
          <w:rFonts w:asciiTheme="majorHAnsi" w:hAnsiTheme="majorHAnsi" w:cstheme="majorHAnsi"/>
        </w:rPr>
        <w:t xml:space="preserve">(2), 407–420. </w:t>
      </w:r>
      <w:hyperlink r:id="rId32" w:history="1">
        <w:r>
          <w:rPr>
            <w:rStyle w:val="Hyperlink"/>
            <w:rFonts w:asciiTheme="majorHAnsi" w:hAnsiTheme="majorHAnsi" w:cstheme="majorHAnsi"/>
          </w:rPr>
          <w:t>https://doi.org/10.1037/a0027180</w:t>
        </w:r>
      </w:hyperlink>
      <w:r>
        <w:rPr>
          <w:rFonts w:asciiTheme="majorHAnsi" w:hAnsiTheme="majorHAnsi" w:cstheme="majorHAnsi"/>
        </w:rPr>
        <w:t xml:space="preserve"> </w:t>
      </w:r>
    </w:p>
    <w:p w14:paraId="7439B0DD" w14:textId="1832051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Choi, K. H., Kelly Raley, R., Muller, C., &amp; Riegle‐Crumb, C. (2008). Class composition: Socioeconomic characteristics of coursemates and college enrollment. </w:t>
      </w:r>
      <w:r>
        <w:rPr>
          <w:rFonts w:asciiTheme="majorHAnsi" w:hAnsiTheme="majorHAnsi" w:cstheme="majorHAnsi"/>
          <w:i/>
          <w:iCs/>
        </w:rPr>
        <w:t>Social Science Quarterly</w:t>
      </w:r>
      <w:r>
        <w:rPr>
          <w:rFonts w:asciiTheme="majorHAnsi" w:hAnsiTheme="majorHAnsi" w:cstheme="majorHAnsi"/>
        </w:rPr>
        <w:t>, </w:t>
      </w:r>
      <w:r>
        <w:rPr>
          <w:rFonts w:asciiTheme="majorHAnsi" w:hAnsiTheme="majorHAnsi" w:cstheme="majorHAnsi"/>
          <w:i/>
          <w:iCs/>
        </w:rPr>
        <w:t>89</w:t>
      </w:r>
      <w:r>
        <w:rPr>
          <w:rFonts w:asciiTheme="majorHAnsi" w:hAnsiTheme="majorHAnsi" w:cstheme="majorHAnsi"/>
        </w:rPr>
        <w:t xml:space="preserve">(4), 846–866. </w:t>
      </w:r>
      <w:hyperlink r:id="rId33" w:history="1">
        <w:r>
          <w:rPr>
            <w:rStyle w:val="Hyperlink"/>
            <w:rFonts w:asciiTheme="majorHAnsi" w:hAnsiTheme="majorHAnsi" w:cstheme="majorHAnsi"/>
          </w:rPr>
          <w:t>https://doi.org/10.1111/j.1540-6237.2008.00587.x</w:t>
        </w:r>
      </w:hyperlink>
      <w:r>
        <w:rPr>
          <w:rFonts w:asciiTheme="majorHAnsi" w:hAnsiTheme="majorHAnsi" w:cstheme="majorHAnsi"/>
        </w:rPr>
        <w:t xml:space="preserve"> </w:t>
      </w:r>
    </w:p>
    <w:p w14:paraId="7439B0DE" w14:textId="0EE72F7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Day, J. K., Perez-Brumer, A., &amp; Russell, S.T. (2018). Safe schools? Transgender youth's school experiences and perceptions of school climate. </w:t>
      </w:r>
      <w:r>
        <w:rPr>
          <w:rFonts w:asciiTheme="majorHAnsi" w:hAnsiTheme="majorHAnsi" w:cstheme="majorHAnsi"/>
          <w:i/>
          <w:iCs/>
        </w:rPr>
        <w:t>Journal of Youth and Adolescence</w:t>
      </w:r>
      <w:r>
        <w:rPr>
          <w:rFonts w:asciiTheme="majorHAnsi" w:hAnsiTheme="majorHAnsi" w:cstheme="majorHAnsi"/>
        </w:rPr>
        <w:t xml:space="preserve">, </w:t>
      </w:r>
      <w:r>
        <w:rPr>
          <w:rFonts w:asciiTheme="majorHAnsi" w:hAnsiTheme="majorHAnsi" w:cstheme="majorHAnsi"/>
          <w:i/>
          <w:iCs/>
        </w:rPr>
        <w:t>47</w:t>
      </w:r>
      <w:r>
        <w:rPr>
          <w:rFonts w:asciiTheme="majorHAnsi" w:hAnsiTheme="majorHAnsi" w:cstheme="majorHAnsi"/>
        </w:rPr>
        <w:t xml:space="preserve">(8), 1731–1742. </w:t>
      </w:r>
      <w:hyperlink r:id="rId34">
        <w:r>
          <w:rPr>
            <w:rFonts w:asciiTheme="majorHAnsi" w:hAnsiTheme="majorHAnsi" w:cstheme="majorHAnsi"/>
            <w:color w:val="1155CC"/>
            <w:u w:val="single"/>
          </w:rPr>
          <w:t>https://doi.org/10.1007/s10964-018-0866-x</w:t>
        </w:r>
      </w:hyperlink>
    </w:p>
    <w:p w14:paraId="7439B0DF" w14:textId="769B96D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DesJardins, S. L., Toutkoushian, R. K., Hossler, D., &amp; Chen, J. (2019). Time may change me: Examining how aspirations for college evolve during high school. </w:t>
      </w:r>
      <w:r>
        <w:rPr>
          <w:rFonts w:asciiTheme="majorHAnsi" w:hAnsiTheme="majorHAnsi" w:cstheme="majorHAnsi"/>
          <w:i/>
          <w:iCs/>
        </w:rPr>
        <w:t>The Review of Higher Education</w:t>
      </w:r>
      <w:r>
        <w:rPr>
          <w:rFonts w:asciiTheme="majorHAnsi" w:hAnsiTheme="majorHAnsi" w:cstheme="majorHAnsi"/>
        </w:rPr>
        <w:t>, </w:t>
      </w:r>
      <w:r>
        <w:rPr>
          <w:rFonts w:asciiTheme="majorHAnsi" w:hAnsiTheme="majorHAnsi" w:cstheme="majorHAnsi"/>
          <w:i/>
          <w:iCs/>
        </w:rPr>
        <w:t>43</w:t>
      </w:r>
      <w:r>
        <w:rPr>
          <w:rFonts w:asciiTheme="majorHAnsi" w:hAnsiTheme="majorHAnsi" w:cstheme="majorHAnsi"/>
        </w:rPr>
        <w:t xml:space="preserve">(1), 263–294. </w:t>
      </w:r>
      <w:hyperlink r:id="rId35" w:history="1">
        <w:r>
          <w:rPr>
            <w:rStyle w:val="Hyperlink"/>
            <w:rFonts w:asciiTheme="majorHAnsi" w:hAnsiTheme="majorHAnsi" w:cstheme="majorHAnsi"/>
          </w:rPr>
          <w:t>https://doi.org/10.1353/rhe.2019.0096</w:t>
        </w:r>
      </w:hyperlink>
      <w:r>
        <w:rPr>
          <w:rFonts w:asciiTheme="majorHAnsi" w:hAnsiTheme="majorHAnsi" w:cstheme="majorHAnsi"/>
        </w:rPr>
        <w:t xml:space="preserve"> </w:t>
      </w:r>
    </w:p>
    <w:p w14:paraId="7439B0E0" w14:textId="6BA5881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DiFulvio, G. T. (2011). Sexual minority youth, social connection and resilience: From personal struggle to collective identity. </w:t>
      </w:r>
      <w:r>
        <w:rPr>
          <w:rFonts w:asciiTheme="majorHAnsi" w:hAnsiTheme="majorHAnsi" w:cstheme="majorHAnsi"/>
          <w:i/>
          <w:iCs/>
        </w:rPr>
        <w:t>Social Science &amp; Medicine</w:t>
      </w:r>
      <w:r>
        <w:rPr>
          <w:rFonts w:asciiTheme="majorHAnsi" w:hAnsiTheme="majorHAnsi" w:cstheme="majorHAnsi"/>
        </w:rPr>
        <w:t>, </w:t>
      </w:r>
      <w:r>
        <w:rPr>
          <w:rFonts w:asciiTheme="majorHAnsi" w:hAnsiTheme="majorHAnsi" w:cstheme="majorHAnsi"/>
          <w:i/>
          <w:iCs/>
        </w:rPr>
        <w:t>72</w:t>
      </w:r>
      <w:r>
        <w:rPr>
          <w:rFonts w:asciiTheme="majorHAnsi" w:hAnsiTheme="majorHAnsi" w:cstheme="majorHAnsi"/>
        </w:rPr>
        <w:t xml:space="preserve">(10), 1611–1617. </w:t>
      </w:r>
      <w:hyperlink r:id="rId36" w:history="1">
        <w:r>
          <w:rPr>
            <w:rStyle w:val="Hyperlink"/>
            <w:rFonts w:asciiTheme="majorHAnsi" w:hAnsiTheme="majorHAnsi" w:cstheme="majorHAnsi"/>
          </w:rPr>
          <w:t>https://doi.org/10.1016/j.socscimed.2011.02.045</w:t>
        </w:r>
      </w:hyperlink>
      <w:r>
        <w:rPr>
          <w:rFonts w:asciiTheme="majorHAnsi" w:hAnsiTheme="majorHAnsi" w:cstheme="majorHAnsi"/>
        </w:rPr>
        <w:t xml:space="preserve"> </w:t>
      </w:r>
    </w:p>
    <w:p w14:paraId="7439B0E1" w14:textId="5112E7AD"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Eccles, J. S., &amp; Roeser, R. W. (2011). Schools as developmental contexts during adolescence.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21</w:t>
      </w:r>
      <w:r>
        <w:rPr>
          <w:rFonts w:asciiTheme="majorHAnsi" w:hAnsiTheme="majorHAnsi" w:cstheme="majorHAnsi"/>
        </w:rPr>
        <w:t xml:space="preserve">(1), 225–241. </w:t>
      </w:r>
      <w:hyperlink r:id="rId37" w:history="1">
        <w:r>
          <w:rPr>
            <w:rStyle w:val="Hyperlink"/>
            <w:rFonts w:asciiTheme="majorHAnsi" w:hAnsiTheme="majorHAnsi" w:cstheme="majorHAnsi"/>
          </w:rPr>
          <w:t>https://doi.org/10.1111/j.1532-7795.2010.00725.x</w:t>
        </w:r>
      </w:hyperlink>
      <w:r>
        <w:rPr>
          <w:rFonts w:asciiTheme="majorHAnsi" w:hAnsiTheme="majorHAnsi" w:cstheme="majorHAnsi"/>
        </w:rPr>
        <w:t xml:space="preserve"> </w:t>
      </w:r>
    </w:p>
    <w:p w14:paraId="3A05E5CF" w14:textId="035C926A" w:rsidR="00816094" w:rsidRDefault="00816094" w:rsidP="001B2966">
      <w:pPr>
        <w:spacing w:line="360" w:lineRule="auto"/>
        <w:ind w:left="720" w:hanging="720"/>
        <w:rPr>
          <w:rFonts w:asciiTheme="majorHAnsi" w:hAnsiTheme="majorHAnsi" w:cstheme="majorHAnsi"/>
        </w:rPr>
      </w:pPr>
      <w:r>
        <w:rPr>
          <w:rFonts w:asciiTheme="majorHAnsi" w:hAnsiTheme="majorHAnsi" w:cstheme="majorHAnsi"/>
        </w:rPr>
        <w:t xml:space="preserve">Equality California. (2025). 2025 legislative priorities. </w:t>
      </w:r>
      <w:hyperlink r:id="rId38" w:history="1">
        <w:r>
          <w:rPr>
            <w:rStyle w:val="Hyperlink"/>
            <w:rFonts w:asciiTheme="majorHAnsi" w:hAnsiTheme="majorHAnsi" w:cstheme="majorHAnsi"/>
          </w:rPr>
          <w:t>https://www.eqca.org/</w:t>
        </w:r>
      </w:hyperlink>
    </w:p>
    <w:p w14:paraId="7CEF3945" w14:textId="013FAF8C" w:rsidR="00D404BA" w:rsidRPr="00824E21" w:rsidRDefault="00D404BA" w:rsidP="001B2966">
      <w:pPr>
        <w:spacing w:line="360" w:lineRule="auto"/>
        <w:ind w:left="720" w:hanging="720"/>
        <w:rPr>
          <w:rFonts w:asciiTheme="majorHAnsi" w:hAnsiTheme="majorHAnsi" w:cstheme="majorHAnsi"/>
        </w:rPr>
      </w:pPr>
      <w:r>
        <w:rPr>
          <w:rFonts w:asciiTheme="majorHAnsi" w:hAnsiTheme="majorHAnsi" w:cstheme="majorHAnsi"/>
        </w:rPr>
        <w:t>Exec. Order No. 14168, 90 Fed. Reg. 4,603 (January 20, 2025). Defending Women from Gender Ideology Extremism and Restoring Biological Truth to the Federal Government.</w:t>
      </w:r>
    </w:p>
    <w:p w14:paraId="7439B0E2" w14:textId="6543ED0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Feldman, S., Watson, R. J., &amp; Gallik, C. (2022). College aspirations, gender sexuality alliances, and teacher support among diverse LGBTQ youth. </w:t>
      </w:r>
      <w:r>
        <w:rPr>
          <w:rFonts w:asciiTheme="majorHAnsi" w:hAnsiTheme="majorHAnsi" w:cstheme="majorHAnsi"/>
          <w:i/>
          <w:iCs/>
        </w:rPr>
        <w:t>Educational Review</w:t>
      </w:r>
      <w:r>
        <w:rPr>
          <w:rFonts w:asciiTheme="majorHAnsi" w:hAnsiTheme="majorHAnsi" w:cstheme="majorHAnsi"/>
        </w:rPr>
        <w:t>, </w:t>
      </w:r>
      <w:r>
        <w:rPr>
          <w:rFonts w:asciiTheme="majorHAnsi" w:hAnsiTheme="majorHAnsi" w:cstheme="majorHAnsi"/>
          <w:i/>
          <w:iCs/>
        </w:rPr>
        <w:t>74</w:t>
      </w:r>
      <w:r>
        <w:rPr>
          <w:rFonts w:asciiTheme="majorHAnsi" w:hAnsiTheme="majorHAnsi" w:cstheme="majorHAnsi"/>
        </w:rPr>
        <w:t xml:space="preserve">(2), 281–297. </w:t>
      </w:r>
      <w:hyperlink r:id="rId39" w:history="1">
        <w:r>
          <w:rPr>
            <w:rStyle w:val="Hyperlink"/>
            <w:rFonts w:asciiTheme="majorHAnsi" w:hAnsiTheme="majorHAnsi" w:cstheme="majorHAnsi"/>
          </w:rPr>
          <w:t>https://doi.org/10.1080/00131911.2020.1816907</w:t>
        </w:r>
      </w:hyperlink>
      <w:r>
        <w:rPr>
          <w:rFonts w:asciiTheme="majorHAnsi" w:hAnsiTheme="majorHAnsi" w:cstheme="majorHAnsi"/>
        </w:rPr>
        <w:t xml:space="preserve"> </w:t>
      </w:r>
    </w:p>
    <w:p w14:paraId="7439B0E3" w14:textId="3FED728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Fletcher, J. M. (2015). Social interactions and college enrollment: A combined school fixed effects/instrumental variables approach. </w:t>
      </w:r>
      <w:r>
        <w:rPr>
          <w:rFonts w:asciiTheme="majorHAnsi" w:hAnsiTheme="majorHAnsi" w:cstheme="majorHAnsi"/>
          <w:i/>
          <w:iCs/>
        </w:rPr>
        <w:t>Social Science Research</w:t>
      </w:r>
      <w:r>
        <w:rPr>
          <w:rFonts w:asciiTheme="majorHAnsi" w:hAnsiTheme="majorHAnsi" w:cstheme="majorHAnsi"/>
        </w:rPr>
        <w:t>, </w:t>
      </w:r>
      <w:r>
        <w:rPr>
          <w:rFonts w:asciiTheme="majorHAnsi" w:hAnsiTheme="majorHAnsi" w:cstheme="majorHAnsi"/>
          <w:i/>
          <w:iCs/>
        </w:rPr>
        <w:t>52</w:t>
      </w:r>
      <w:r>
        <w:rPr>
          <w:rFonts w:asciiTheme="majorHAnsi" w:hAnsiTheme="majorHAnsi" w:cstheme="majorHAnsi"/>
        </w:rPr>
        <w:t xml:space="preserve">, 494–507. </w:t>
      </w:r>
      <w:hyperlink r:id="rId40" w:history="1">
        <w:r>
          <w:rPr>
            <w:rStyle w:val="Hyperlink"/>
            <w:rFonts w:asciiTheme="majorHAnsi" w:hAnsiTheme="majorHAnsi" w:cstheme="majorHAnsi"/>
          </w:rPr>
          <w:t>https://doi.org/10.1016/j.ssresearch.2015.03.004</w:t>
        </w:r>
      </w:hyperlink>
      <w:r>
        <w:rPr>
          <w:rFonts w:asciiTheme="majorHAnsi" w:hAnsiTheme="majorHAnsi" w:cstheme="majorHAnsi"/>
        </w:rPr>
        <w:t xml:space="preserve"> </w:t>
      </w:r>
    </w:p>
    <w:p w14:paraId="7439B0E4" w14:textId="1FBE8DE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Forbes, T. D. (2022). Queer-free majors?: LGBTQ+ college students’ accounts of chilly and warm academic disciplines.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19</w:t>
      </w:r>
      <w:r>
        <w:rPr>
          <w:rFonts w:asciiTheme="majorHAnsi" w:hAnsiTheme="majorHAnsi" w:cstheme="majorHAnsi"/>
        </w:rPr>
        <w:t xml:space="preserve">(3), 330–349. </w:t>
      </w:r>
      <w:hyperlink r:id="rId41" w:history="1">
        <w:r>
          <w:rPr>
            <w:rStyle w:val="Hyperlink"/>
            <w:rFonts w:asciiTheme="majorHAnsi" w:hAnsiTheme="majorHAnsi" w:cstheme="majorHAnsi"/>
          </w:rPr>
          <w:t>https://doi.org/10.1080/19361653.2020.1813673</w:t>
        </w:r>
      </w:hyperlink>
      <w:r>
        <w:rPr>
          <w:rFonts w:asciiTheme="majorHAnsi" w:hAnsiTheme="majorHAnsi" w:cstheme="majorHAnsi"/>
        </w:rPr>
        <w:t xml:space="preserve"> </w:t>
      </w:r>
    </w:p>
    <w:p w14:paraId="7439B0E5" w14:textId="0E5CE835"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Fotopoulou, A. (2012). Intersectionality queer studies and hybridity: Methodological frameworks for social research. </w:t>
      </w:r>
      <w:r>
        <w:rPr>
          <w:rFonts w:asciiTheme="majorHAnsi" w:hAnsiTheme="majorHAnsi" w:cstheme="majorHAnsi"/>
          <w:i/>
          <w:iCs/>
        </w:rPr>
        <w:t>Journal of International Women's Studies</w:t>
      </w:r>
      <w:r>
        <w:rPr>
          <w:rFonts w:asciiTheme="majorHAnsi" w:hAnsiTheme="majorHAnsi" w:cstheme="majorHAnsi"/>
        </w:rPr>
        <w:t>, </w:t>
      </w:r>
      <w:r>
        <w:rPr>
          <w:rFonts w:asciiTheme="majorHAnsi" w:hAnsiTheme="majorHAnsi" w:cstheme="majorHAnsi"/>
          <w:i/>
          <w:iCs/>
        </w:rPr>
        <w:t>13</w:t>
      </w:r>
      <w:r>
        <w:rPr>
          <w:rFonts w:asciiTheme="majorHAnsi" w:hAnsiTheme="majorHAnsi" w:cstheme="majorHAnsi"/>
        </w:rPr>
        <w:t xml:space="preserve">(2), 19–32. </w:t>
      </w:r>
      <w:hyperlink r:id="rId42" w:history="1">
        <w:r>
          <w:rPr>
            <w:rStyle w:val="Hyperlink"/>
            <w:rFonts w:asciiTheme="majorHAnsi" w:hAnsiTheme="majorHAnsi" w:cstheme="majorHAnsi"/>
          </w:rPr>
          <w:t>https://vc.bridgew.edu/jiws/vol13/iss2/3</w:t>
        </w:r>
      </w:hyperlink>
      <w:r>
        <w:rPr>
          <w:rFonts w:asciiTheme="majorHAnsi" w:hAnsiTheme="majorHAnsi" w:cstheme="majorHAnsi"/>
        </w:rPr>
        <w:t xml:space="preserve"> </w:t>
      </w:r>
    </w:p>
    <w:p w14:paraId="7439B0E6" w14:textId="5F6B5C88"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Galupo, M. P., Mitchell, R. C., &amp; Davis, K. S. (2015). Sexual minority self-identification: Multiple identities and complexity. </w:t>
      </w:r>
      <w:r>
        <w:rPr>
          <w:rFonts w:asciiTheme="majorHAnsi" w:hAnsiTheme="majorHAnsi" w:cstheme="majorHAnsi"/>
          <w:i/>
          <w:iCs/>
        </w:rPr>
        <w:t>Psychology of Sexual Orientation and Gender Diversity</w:t>
      </w:r>
      <w:r>
        <w:rPr>
          <w:rFonts w:asciiTheme="majorHAnsi" w:hAnsiTheme="majorHAnsi" w:cstheme="majorHAnsi"/>
        </w:rPr>
        <w:t>, </w:t>
      </w:r>
      <w:r>
        <w:rPr>
          <w:rFonts w:asciiTheme="majorHAnsi" w:hAnsiTheme="majorHAnsi" w:cstheme="majorHAnsi"/>
          <w:i/>
          <w:iCs/>
        </w:rPr>
        <w:t>2</w:t>
      </w:r>
      <w:r>
        <w:rPr>
          <w:rFonts w:asciiTheme="majorHAnsi" w:hAnsiTheme="majorHAnsi" w:cstheme="majorHAnsi"/>
        </w:rPr>
        <w:t xml:space="preserve">(4), 355–364. </w:t>
      </w:r>
      <w:hyperlink r:id="rId43" w:history="1">
        <w:r>
          <w:rPr>
            <w:rStyle w:val="Hyperlink"/>
            <w:rFonts w:asciiTheme="majorHAnsi" w:hAnsiTheme="majorHAnsi" w:cstheme="majorHAnsi"/>
          </w:rPr>
          <w:t>https://doi.org/10.1037/sgd0000131</w:t>
        </w:r>
      </w:hyperlink>
      <w:r>
        <w:rPr>
          <w:rFonts w:asciiTheme="majorHAnsi" w:hAnsiTheme="majorHAnsi" w:cstheme="majorHAnsi"/>
        </w:rPr>
        <w:t xml:space="preserve"> </w:t>
      </w:r>
    </w:p>
    <w:p w14:paraId="7439B0E7" w14:textId="6CC69DD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Goldberg, A. E., Beemyn, G., &amp; Smith, J. Z. (2019). What is needed, what is valued: Trans students’ perspectives on trans-inclusive policies and practices in higher education. </w:t>
      </w:r>
      <w:r>
        <w:rPr>
          <w:rFonts w:asciiTheme="majorHAnsi" w:hAnsiTheme="majorHAnsi" w:cstheme="majorHAnsi"/>
          <w:i/>
          <w:iCs/>
        </w:rPr>
        <w:t>Journal of Educational and Psychological Consultation</w:t>
      </w:r>
      <w:r>
        <w:rPr>
          <w:rFonts w:asciiTheme="majorHAnsi" w:hAnsiTheme="majorHAnsi" w:cstheme="majorHAnsi"/>
        </w:rPr>
        <w:t>, </w:t>
      </w:r>
      <w:r>
        <w:rPr>
          <w:rFonts w:asciiTheme="majorHAnsi" w:hAnsiTheme="majorHAnsi" w:cstheme="majorHAnsi"/>
          <w:i/>
          <w:iCs/>
        </w:rPr>
        <w:t>29</w:t>
      </w:r>
      <w:r>
        <w:rPr>
          <w:rFonts w:asciiTheme="majorHAnsi" w:hAnsiTheme="majorHAnsi" w:cstheme="majorHAnsi"/>
        </w:rPr>
        <w:t xml:space="preserve">(1), 27–67. </w:t>
      </w:r>
      <w:hyperlink r:id="rId44" w:history="1">
        <w:r>
          <w:rPr>
            <w:rStyle w:val="Hyperlink"/>
            <w:rFonts w:asciiTheme="majorHAnsi" w:hAnsiTheme="majorHAnsi" w:cstheme="majorHAnsi"/>
          </w:rPr>
          <w:t>https://doi.org/10.1080/10474412.2018.1480376</w:t>
        </w:r>
      </w:hyperlink>
      <w:r>
        <w:rPr>
          <w:rFonts w:asciiTheme="majorHAnsi" w:hAnsiTheme="majorHAnsi" w:cstheme="majorHAnsi"/>
        </w:rPr>
        <w:t xml:space="preserve"> </w:t>
      </w:r>
    </w:p>
    <w:p w14:paraId="7439B0E8" w14:textId="5EF9127C"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Goldberg, A. E., &amp; Kuvalanka, K. A. (2018). Navigating identity development and community belonging when “there are only two boxes to check”: An exploratory study of nonbinary, trans college students. </w:t>
      </w:r>
      <w:r>
        <w:rPr>
          <w:rFonts w:asciiTheme="majorHAnsi" w:hAnsiTheme="majorHAnsi" w:cstheme="majorHAnsi"/>
          <w:i/>
          <w:iCs/>
        </w:rPr>
        <w:t>Journal of LGBT Youth, 15</w:t>
      </w:r>
      <w:r>
        <w:rPr>
          <w:rFonts w:asciiTheme="majorHAnsi" w:hAnsiTheme="majorHAnsi" w:cstheme="majorHAnsi"/>
        </w:rPr>
        <w:t xml:space="preserve">(2), 106–131. </w:t>
      </w:r>
      <w:hyperlink r:id="rId45" w:history="1">
        <w:r>
          <w:rPr>
            <w:rStyle w:val="Hyperlink"/>
            <w:rFonts w:asciiTheme="majorHAnsi" w:hAnsiTheme="majorHAnsi" w:cstheme="majorHAnsi"/>
          </w:rPr>
          <w:t>https://doi.org/10.1080/19361653.2018.1429979</w:t>
        </w:r>
      </w:hyperlink>
      <w:r>
        <w:rPr>
          <w:rFonts w:asciiTheme="majorHAnsi" w:hAnsiTheme="majorHAnsi" w:cstheme="majorHAnsi"/>
        </w:rPr>
        <w:t xml:space="preserve"> </w:t>
      </w:r>
    </w:p>
    <w:p w14:paraId="7439B0E9" w14:textId="2AFB9B14"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Gong, H. J., &amp; Toutkoushian, R. K. (2024). High school students’ expectations and college aspirations: Causes and consequences. </w:t>
      </w:r>
      <w:r>
        <w:rPr>
          <w:rFonts w:asciiTheme="majorHAnsi" w:hAnsiTheme="majorHAnsi" w:cstheme="majorHAnsi"/>
          <w:i/>
          <w:iCs/>
        </w:rPr>
        <w:t>Educational Policy</w:t>
      </w:r>
      <w:r>
        <w:rPr>
          <w:rFonts w:asciiTheme="majorHAnsi" w:hAnsiTheme="majorHAnsi" w:cstheme="majorHAnsi"/>
        </w:rPr>
        <w:t>, </w:t>
      </w:r>
      <w:r>
        <w:rPr>
          <w:rFonts w:asciiTheme="majorHAnsi" w:hAnsiTheme="majorHAnsi" w:cstheme="majorHAnsi"/>
          <w:i/>
          <w:iCs/>
        </w:rPr>
        <w:t>38</w:t>
      </w:r>
      <w:r>
        <w:rPr>
          <w:rFonts w:asciiTheme="majorHAnsi" w:hAnsiTheme="majorHAnsi" w:cstheme="majorHAnsi"/>
        </w:rPr>
        <w:t xml:space="preserve">(1), 254–28. </w:t>
      </w:r>
      <w:hyperlink r:id="rId46" w:history="1">
        <w:r>
          <w:rPr>
            <w:rStyle w:val="Hyperlink"/>
            <w:rFonts w:asciiTheme="majorHAnsi" w:hAnsiTheme="majorHAnsi" w:cstheme="majorHAnsi"/>
          </w:rPr>
          <w:t>https://doi.org/10.1177/08959048231153600</w:t>
        </w:r>
      </w:hyperlink>
      <w:r>
        <w:rPr>
          <w:rFonts w:asciiTheme="majorHAnsi" w:hAnsiTheme="majorHAnsi" w:cstheme="majorHAnsi"/>
        </w:rPr>
        <w:t xml:space="preserve"> </w:t>
      </w:r>
    </w:p>
    <w:p w14:paraId="7439B0EB" w14:textId="34259BC0"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Hammack, P. L., Hughes, S. D., Atwood, J. M., Cohen, E. M., &amp; Clark, R. C. (2022). Gender and sexual identity in adolescence: A mixed-methods study of labeling in diverse community settings. </w:t>
      </w:r>
      <w:r>
        <w:rPr>
          <w:rFonts w:asciiTheme="majorHAnsi" w:hAnsiTheme="majorHAnsi" w:cstheme="majorHAnsi"/>
          <w:i/>
          <w:iCs/>
        </w:rPr>
        <w:t>Journal of Adolescent Research, 37</w:t>
      </w:r>
      <w:r>
        <w:rPr>
          <w:rFonts w:asciiTheme="majorHAnsi" w:hAnsiTheme="majorHAnsi" w:cstheme="majorHAnsi"/>
        </w:rPr>
        <w:t xml:space="preserve">(2), 167–220. </w:t>
      </w:r>
      <w:hyperlink r:id="rId47" w:history="1">
        <w:r>
          <w:rPr>
            <w:rStyle w:val="Hyperlink"/>
            <w:rFonts w:asciiTheme="majorHAnsi" w:hAnsiTheme="majorHAnsi" w:cstheme="majorHAnsi"/>
          </w:rPr>
          <w:t>https://doi.org/10.1177/ 07435584211000315</w:t>
        </w:r>
      </w:hyperlink>
      <w:r>
        <w:rPr>
          <w:rFonts w:asciiTheme="majorHAnsi" w:hAnsiTheme="majorHAnsi" w:cstheme="majorHAnsi"/>
        </w:rPr>
        <w:t xml:space="preserve">  </w:t>
      </w:r>
    </w:p>
    <w:p w14:paraId="7439B0ED" w14:textId="6092CB6E"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Hatchel, T., Valido, A., De Pedro, K. T., Huang, Y., &amp; Espelage, D. L. (2018). Minority stress among transgender adolescents: The role of peer victimization, school belonging, and </w:t>
      </w:r>
      <w:r>
        <w:rPr>
          <w:rFonts w:asciiTheme="majorHAnsi" w:hAnsiTheme="majorHAnsi" w:cstheme="majorHAnsi"/>
        </w:rPr>
        <w:lastRenderedPageBreak/>
        <w:t>ethnicity. </w:t>
      </w:r>
      <w:r>
        <w:rPr>
          <w:rFonts w:asciiTheme="majorHAnsi" w:hAnsiTheme="majorHAnsi" w:cstheme="majorHAnsi"/>
          <w:i/>
          <w:iCs/>
        </w:rPr>
        <w:t>Journal of Child and Family Studies</w:t>
      </w:r>
      <w:r>
        <w:rPr>
          <w:rFonts w:asciiTheme="majorHAnsi" w:hAnsiTheme="majorHAnsi" w:cstheme="majorHAnsi"/>
        </w:rPr>
        <w:t xml:space="preserve">, </w:t>
      </w:r>
      <w:r>
        <w:rPr>
          <w:rFonts w:asciiTheme="majorHAnsi" w:hAnsiTheme="majorHAnsi" w:cstheme="majorHAnsi"/>
          <w:i/>
          <w:iCs/>
        </w:rPr>
        <w:t>28</w:t>
      </w:r>
      <w:r>
        <w:rPr>
          <w:rFonts w:asciiTheme="majorHAnsi" w:hAnsiTheme="majorHAnsi" w:cstheme="majorHAnsi"/>
        </w:rPr>
        <w:t xml:space="preserve">(9), 2467–2476. </w:t>
      </w:r>
      <w:hyperlink r:id="rId48" w:history="1">
        <w:r>
          <w:rPr>
            <w:rStyle w:val="Hyperlink"/>
            <w:rFonts w:asciiTheme="majorHAnsi" w:hAnsiTheme="majorHAnsi" w:cstheme="majorHAnsi"/>
          </w:rPr>
          <w:t>https://doi.org/ 10.1007/s10826-018-1168-3</w:t>
        </w:r>
      </w:hyperlink>
      <w:r>
        <w:rPr>
          <w:rFonts w:asciiTheme="majorHAnsi" w:hAnsiTheme="majorHAnsi" w:cstheme="majorHAnsi"/>
        </w:rPr>
        <w:t xml:space="preserve"> </w:t>
      </w:r>
    </w:p>
    <w:p w14:paraId="7439B0EE" w14:textId="09F72A1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Hattie, J. (2009). </w:t>
      </w:r>
      <w:r>
        <w:rPr>
          <w:rFonts w:asciiTheme="majorHAnsi" w:hAnsiTheme="majorHAnsi" w:cstheme="majorHAnsi"/>
          <w:i/>
          <w:iCs/>
        </w:rPr>
        <w:t>Visible learning: A synthesis of over 800 meta-analyses relating to achievement</w:t>
      </w:r>
      <w:r>
        <w:rPr>
          <w:rFonts w:asciiTheme="majorHAnsi" w:hAnsiTheme="majorHAnsi" w:cstheme="majorHAnsi"/>
        </w:rPr>
        <w:t>. Corwin.</w:t>
      </w:r>
    </w:p>
    <w:p w14:paraId="501401E9" w14:textId="5A3A4892" w:rsidR="00255044" w:rsidRPr="00824E21" w:rsidRDefault="00255044" w:rsidP="00255044">
      <w:pPr>
        <w:spacing w:line="360" w:lineRule="auto"/>
        <w:ind w:left="720" w:hanging="720"/>
        <w:rPr>
          <w:rFonts w:asciiTheme="majorHAnsi" w:hAnsiTheme="majorHAnsi" w:cstheme="majorHAnsi"/>
        </w:rPr>
      </w:pPr>
      <w:r>
        <w:rPr>
          <w:rFonts w:asciiTheme="majorHAnsi" w:hAnsiTheme="majorHAnsi" w:cstheme="majorHAnsi"/>
        </w:rPr>
        <w:t xml:space="preserve">Herman, J. L. (2014, September). </w:t>
      </w:r>
      <w:r>
        <w:rPr>
          <w:rFonts w:asciiTheme="majorHAnsi" w:hAnsiTheme="majorHAnsi" w:cstheme="majorHAnsi"/>
          <w:i/>
          <w:iCs/>
        </w:rPr>
        <w:t>Best practices for asking questions to identify transgender and other gender minority respondents on population-based surveys</w:t>
      </w:r>
      <w:r>
        <w:rPr>
          <w:rFonts w:asciiTheme="majorHAnsi" w:hAnsiTheme="majorHAnsi" w:cstheme="majorHAnsi"/>
        </w:rPr>
        <w:t xml:space="preserve">. The Williams Institute. </w:t>
      </w:r>
      <w:hyperlink r:id="rId49" w:history="1">
        <w:r>
          <w:rPr>
            <w:rStyle w:val="Hyperlink"/>
            <w:rFonts w:asciiTheme="majorHAnsi" w:hAnsiTheme="majorHAnsi" w:cstheme="majorHAnsi"/>
          </w:rPr>
          <w:t>https://williamsinstitute.law.ucla.edu/wp-content/uploads/Survey-Measures-Trans-GenIUSS-Sep-2014.pdf</w:t>
        </w:r>
      </w:hyperlink>
    </w:p>
    <w:p w14:paraId="7439B0F0" w14:textId="5EB13A3C"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Hershbein, B. &amp; Kearney, M. (2014). Major decisions: What graduates earn over their lifetimes. </w:t>
      </w:r>
      <w:r>
        <w:rPr>
          <w:rFonts w:asciiTheme="majorHAnsi" w:hAnsiTheme="majorHAnsi" w:cstheme="majorHAnsi"/>
          <w:i/>
          <w:iCs/>
        </w:rPr>
        <w:t>The Hamilton Project</w:t>
      </w:r>
      <w:r>
        <w:rPr>
          <w:rFonts w:asciiTheme="majorHAnsi" w:hAnsiTheme="majorHAnsi" w:cstheme="majorHAnsi"/>
        </w:rPr>
        <w:t xml:space="preserve">. </w:t>
      </w:r>
      <w:hyperlink r:id="rId50" w:history="1">
        <w:r>
          <w:rPr>
            <w:rStyle w:val="Hyperlink"/>
            <w:rFonts w:asciiTheme="majorHAnsi" w:hAnsiTheme="majorHAnsi" w:cstheme="majorHAnsi"/>
          </w:rPr>
          <w:t>http://www.hamiltonproject.org/assets/legacy/files/downloads_ and_links/Major_Decisions_Lifetime__Earnings_by_Major.pdf</w:t>
        </w:r>
      </w:hyperlink>
      <w:r>
        <w:rPr>
          <w:rFonts w:asciiTheme="majorHAnsi" w:hAnsiTheme="majorHAnsi" w:cstheme="majorHAnsi"/>
        </w:rPr>
        <w:t xml:space="preserve"> </w:t>
      </w:r>
    </w:p>
    <w:p w14:paraId="7439B0F1" w14:textId="5BE94BD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Hill, L. D. (2008). School strategies and the ‘college-linking’ process: Reconsidering the effects of high schools on college enrollment. </w:t>
      </w:r>
      <w:r>
        <w:rPr>
          <w:rFonts w:asciiTheme="majorHAnsi" w:hAnsiTheme="majorHAnsi" w:cstheme="majorHAnsi"/>
          <w:i/>
          <w:iCs/>
        </w:rPr>
        <w:t>Sociology of Education, 81</w:t>
      </w:r>
      <w:r>
        <w:rPr>
          <w:rFonts w:asciiTheme="majorHAnsi" w:hAnsiTheme="majorHAnsi" w:cstheme="majorHAnsi"/>
        </w:rPr>
        <w:t xml:space="preserve">(1), 53–76. </w:t>
      </w:r>
      <w:hyperlink r:id="rId51" w:history="1">
        <w:r>
          <w:rPr>
            <w:rStyle w:val="Hyperlink"/>
            <w:rFonts w:asciiTheme="majorHAnsi" w:hAnsiTheme="majorHAnsi" w:cstheme="majorHAnsi"/>
          </w:rPr>
          <w:t>https://doi.org/10.1177/003804070808100103</w:t>
        </w:r>
      </w:hyperlink>
      <w:r>
        <w:rPr>
          <w:rFonts w:asciiTheme="majorHAnsi" w:hAnsiTheme="majorHAnsi" w:cstheme="majorHAnsi"/>
        </w:rPr>
        <w:t xml:space="preserve"> </w:t>
      </w:r>
    </w:p>
    <w:p w14:paraId="7439B0F2" w14:textId="7777777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Hunter, J., Butler, C., &amp; Cooper, K. (2021). Gender minority stress in trans and gender diverse adolescents and young people. </w:t>
      </w:r>
      <w:r>
        <w:rPr>
          <w:rFonts w:asciiTheme="majorHAnsi" w:hAnsiTheme="majorHAnsi" w:cstheme="majorHAnsi"/>
          <w:i/>
          <w:iCs/>
        </w:rPr>
        <w:t>Clinical Child Psychology and Psychiatry, 26</w:t>
      </w:r>
      <w:r>
        <w:rPr>
          <w:rFonts w:asciiTheme="majorHAnsi" w:hAnsiTheme="majorHAnsi" w:cstheme="majorHAnsi"/>
        </w:rPr>
        <w:t xml:space="preserve">(4), 1182–1195. </w:t>
      </w:r>
      <w:hyperlink r:id="rId52">
        <w:r>
          <w:rPr>
            <w:rFonts w:asciiTheme="majorHAnsi" w:hAnsiTheme="majorHAnsi" w:cstheme="majorHAnsi"/>
            <w:color w:val="1155CC"/>
            <w:u w:val="single"/>
          </w:rPr>
          <w:t>https://doi.org/10.1177/13591045211033187</w:t>
        </w:r>
      </w:hyperlink>
    </w:p>
    <w:p w14:paraId="7439B0F3" w14:textId="1249A02C"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Hurtt, A., Kurlaender, M., Sun, C., Weber, K., &amp; Zhou, B. (2026). The transition to college for LGBTQ+ youth: High school experiences and college expectations. </w:t>
      </w:r>
      <w:r>
        <w:rPr>
          <w:rFonts w:asciiTheme="majorHAnsi" w:hAnsiTheme="majorHAnsi" w:cstheme="majorHAnsi"/>
          <w:i/>
          <w:iCs/>
        </w:rPr>
        <w:t>Forthcoming</w:t>
      </w:r>
      <w:r>
        <w:rPr>
          <w:rFonts w:asciiTheme="majorHAnsi" w:hAnsiTheme="majorHAnsi" w:cstheme="majorHAnsi"/>
        </w:rPr>
        <w:t>.</w:t>
      </w:r>
    </w:p>
    <w:p w14:paraId="7439B0F4" w14:textId="210303D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Kersey, E. &amp; Voigt, M. (2021). Finding community and overcoming barriers: Experiences of queer and transgender postsecondary students in mathematics and other STEM fields.” </w:t>
      </w:r>
      <w:r>
        <w:rPr>
          <w:rFonts w:asciiTheme="majorHAnsi" w:hAnsiTheme="majorHAnsi" w:cstheme="majorHAnsi"/>
          <w:i/>
          <w:iCs/>
        </w:rPr>
        <w:t>Mathematics Education Research Journal, 33</w:t>
      </w:r>
      <w:r>
        <w:rPr>
          <w:rFonts w:asciiTheme="majorHAnsi" w:hAnsiTheme="majorHAnsi" w:cstheme="majorHAnsi"/>
        </w:rPr>
        <w:t xml:space="preserve">(4), 733–756. </w:t>
      </w:r>
      <w:hyperlink r:id="rId53" w:history="1">
        <w:r>
          <w:rPr>
            <w:rStyle w:val="Hyperlink"/>
            <w:rFonts w:asciiTheme="majorHAnsi" w:hAnsiTheme="majorHAnsi" w:cstheme="majorHAnsi"/>
          </w:rPr>
          <w:t>https://doi.org/10.1007/s13394-020-00356-5</w:t>
        </w:r>
      </w:hyperlink>
      <w:r>
        <w:rPr>
          <w:rFonts w:asciiTheme="majorHAnsi" w:hAnsiTheme="majorHAnsi" w:cstheme="majorHAnsi"/>
        </w:rPr>
        <w:t xml:space="preserve"> </w:t>
      </w:r>
    </w:p>
    <w:p w14:paraId="7439B0F5" w14:textId="00C1587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Kosciw, J. G., Clark, C. M., &amp; Menard, L. (2022). </w:t>
      </w:r>
      <w:r>
        <w:rPr>
          <w:rFonts w:asciiTheme="majorHAnsi" w:hAnsiTheme="majorHAnsi" w:cstheme="majorHAnsi"/>
          <w:i/>
          <w:iCs/>
        </w:rPr>
        <w:t>The 2021 national school climate survey: The experiences of LGBTQ+ youth in our nation’s schools</w:t>
      </w:r>
      <w:r>
        <w:rPr>
          <w:rFonts w:asciiTheme="majorHAnsi" w:hAnsiTheme="majorHAnsi" w:cstheme="majorHAnsi"/>
        </w:rPr>
        <w:t xml:space="preserve">. New York: GLSEN. </w:t>
      </w:r>
      <w:hyperlink r:id="rId54" w:history="1">
        <w:r>
          <w:rPr>
            <w:rStyle w:val="Hyperlink"/>
            <w:rFonts w:asciiTheme="majorHAnsi" w:hAnsiTheme="majorHAnsi" w:cstheme="majorHAnsi"/>
          </w:rPr>
          <w:t>https://www.glsen.org/sites/default/files/2022-10/NSCS-2021-Full-Report.pdf</w:t>
        </w:r>
      </w:hyperlink>
      <w:r>
        <w:rPr>
          <w:rFonts w:asciiTheme="majorHAnsi" w:hAnsiTheme="majorHAnsi" w:cstheme="majorHAnsi"/>
        </w:rPr>
        <w:t xml:space="preserve"> </w:t>
      </w:r>
    </w:p>
    <w:p w14:paraId="7439B0F6" w14:textId="6623ACF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Kurlaender, M., Reed, S., &amp; Hurtt, A.</w:t>
      </w:r>
      <w:r>
        <w:rPr>
          <w:rFonts w:asciiTheme="majorHAnsi" w:hAnsiTheme="majorHAnsi" w:cstheme="majorHAnsi"/>
          <w:b/>
          <w:bCs/>
        </w:rPr>
        <w:t xml:space="preserve"> </w:t>
      </w:r>
      <w:r>
        <w:rPr>
          <w:rFonts w:asciiTheme="majorHAnsi" w:hAnsiTheme="majorHAnsi" w:cstheme="majorHAnsi"/>
        </w:rPr>
        <w:t xml:space="preserve">(2019, August). </w:t>
      </w:r>
      <w:r>
        <w:rPr>
          <w:rFonts w:asciiTheme="majorHAnsi" w:hAnsiTheme="majorHAnsi" w:cstheme="majorHAnsi"/>
          <w:i/>
          <w:iCs/>
        </w:rPr>
        <w:t xml:space="preserve">Improving college readiness: A research summary and implications for practice. </w:t>
      </w:r>
      <w:r>
        <w:rPr>
          <w:rFonts w:asciiTheme="majorHAnsi" w:hAnsiTheme="majorHAnsi" w:cstheme="majorHAnsi"/>
        </w:rPr>
        <w:t xml:space="preserve">Policy Analysis for California Education, PACE. </w:t>
      </w:r>
      <w:hyperlink r:id="rId55" w:history="1">
        <w:r>
          <w:rPr>
            <w:rStyle w:val="Hyperlink"/>
            <w:rFonts w:asciiTheme="majorHAnsi" w:hAnsiTheme="majorHAnsi" w:cstheme="majorHAnsi"/>
          </w:rPr>
          <w:t>https://edpolicyinca.org/sites/default/files/R_Kurlaender_Aug19_01.pdf</w:t>
        </w:r>
      </w:hyperlink>
      <w:r>
        <w:rPr>
          <w:rFonts w:asciiTheme="majorHAnsi" w:hAnsiTheme="majorHAnsi" w:cstheme="majorHAnsi"/>
        </w:rPr>
        <w:t xml:space="preserve"> </w:t>
      </w:r>
    </w:p>
    <w:p w14:paraId="7439B0F7" w14:textId="7FE9583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Lazowski, R. A., &amp; Hulleman, C. S. (2016). Motivation interventions in education: A meta-analytic review. </w:t>
      </w:r>
      <w:r>
        <w:rPr>
          <w:rFonts w:asciiTheme="majorHAnsi" w:hAnsiTheme="majorHAnsi" w:cstheme="majorHAnsi"/>
          <w:i/>
          <w:iCs/>
        </w:rPr>
        <w:t>Review of Educational Research</w:t>
      </w:r>
      <w:r>
        <w:rPr>
          <w:rFonts w:asciiTheme="majorHAnsi" w:hAnsiTheme="majorHAnsi" w:cstheme="majorHAnsi"/>
        </w:rPr>
        <w:t>, </w:t>
      </w:r>
      <w:r>
        <w:rPr>
          <w:rFonts w:asciiTheme="majorHAnsi" w:hAnsiTheme="majorHAnsi" w:cstheme="majorHAnsi"/>
          <w:i/>
          <w:iCs/>
        </w:rPr>
        <w:t>86</w:t>
      </w:r>
      <w:r>
        <w:rPr>
          <w:rFonts w:asciiTheme="majorHAnsi" w:hAnsiTheme="majorHAnsi" w:cstheme="majorHAnsi"/>
        </w:rPr>
        <w:t xml:space="preserve">(2), 602–640. </w:t>
      </w:r>
      <w:hyperlink r:id="rId56" w:history="1">
        <w:r>
          <w:rPr>
            <w:rStyle w:val="Hyperlink"/>
            <w:rFonts w:asciiTheme="majorHAnsi" w:hAnsiTheme="majorHAnsi" w:cstheme="majorHAnsi"/>
          </w:rPr>
          <w:t>https://doi.org/10.3102/ 0034654315617832</w:t>
        </w:r>
      </w:hyperlink>
      <w:r>
        <w:rPr>
          <w:rFonts w:asciiTheme="majorHAnsi" w:hAnsiTheme="majorHAnsi" w:cstheme="majorHAnsi"/>
        </w:rPr>
        <w:t xml:space="preserve"> </w:t>
      </w:r>
    </w:p>
    <w:p w14:paraId="7439B0F8" w14:textId="1B468B3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Linley, J. L., Renn, K. A., &amp; Woodford, M. R. (2018). Examining the ecological systems of LGBTQ STEM majors. </w:t>
      </w:r>
      <w:r>
        <w:rPr>
          <w:rFonts w:asciiTheme="majorHAnsi" w:hAnsiTheme="majorHAnsi" w:cstheme="majorHAnsi"/>
          <w:i/>
          <w:iCs/>
        </w:rPr>
        <w:t>Journal of Women and Minorities in Science and Engineering</w:t>
      </w:r>
      <w:r>
        <w:rPr>
          <w:rFonts w:asciiTheme="majorHAnsi" w:hAnsiTheme="majorHAnsi" w:cstheme="majorHAnsi"/>
        </w:rPr>
        <w:t>, </w:t>
      </w:r>
      <w:r>
        <w:rPr>
          <w:rFonts w:asciiTheme="majorHAnsi" w:hAnsiTheme="majorHAnsi" w:cstheme="majorHAnsi"/>
          <w:i/>
          <w:iCs/>
        </w:rPr>
        <w:t>24</w:t>
      </w:r>
      <w:r>
        <w:rPr>
          <w:rFonts w:asciiTheme="majorHAnsi" w:hAnsiTheme="majorHAnsi" w:cstheme="majorHAnsi"/>
        </w:rPr>
        <w:t xml:space="preserve">(1), 1–16. </w:t>
      </w:r>
      <w:hyperlink r:id="rId57" w:history="1">
        <w:r>
          <w:rPr>
            <w:rStyle w:val="Hyperlink"/>
            <w:rFonts w:asciiTheme="majorHAnsi" w:hAnsiTheme="majorHAnsi" w:cstheme="majorHAnsi"/>
          </w:rPr>
          <w:t>https://doi.org/10.1615/jwomenminorscieneng.2017018836</w:t>
        </w:r>
      </w:hyperlink>
      <w:r>
        <w:rPr>
          <w:rFonts w:asciiTheme="majorHAnsi" w:hAnsiTheme="majorHAnsi" w:cstheme="majorHAnsi"/>
        </w:rPr>
        <w:t xml:space="preserve"> </w:t>
      </w:r>
    </w:p>
    <w:p w14:paraId="7439B0F9" w14:textId="138802C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Luh, H. J., deLeyer-Tiarks, J., Wojcik, H., &amp; Mandracchia, F. (2023). Preparing LGBTQ youth for the high school to college transition: A multidimensional approach. </w:t>
      </w:r>
      <w:r>
        <w:rPr>
          <w:rFonts w:asciiTheme="majorHAnsi" w:hAnsiTheme="majorHAnsi" w:cstheme="majorHAnsi"/>
          <w:i/>
          <w:iCs/>
        </w:rPr>
        <w:t>Journal of LGBT Youth</w:t>
      </w:r>
      <w:r>
        <w:rPr>
          <w:rFonts w:asciiTheme="majorHAnsi" w:hAnsiTheme="majorHAnsi" w:cstheme="majorHAnsi"/>
        </w:rPr>
        <w:t xml:space="preserve">, 1–20. </w:t>
      </w:r>
      <w:hyperlink r:id="rId58" w:history="1">
        <w:r>
          <w:rPr>
            <w:rStyle w:val="Hyperlink"/>
            <w:rFonts w:asciiTheme="majorHAnsi" w:hAnsiTheme="majorHAnsi" w:cstheme="majorHAnsi"/>
          </w:rPr>
          <w:t>https://doi.org/10.1080/19361653.2023.2264830</w:t>
        </w:r>
      </w:hyperlink>
      <w:r>
        <w:rPr>
          <w:rFonts w:asciiTheme="majorHAnsi" w:hAnsiTheme="majorHAnsi" w:cstheme="majorHAnsi"/>
        </w:rPr>
        <w:t xml:space="preserve"> </w:t>
      </w:r>
    </w:p>
    <w:p w14:paraId="7439B0FA" w14:textId="3688EED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Ma, J., Pender, M., &amp; Welch, M. (2019). Education pays 2019: The benefits of higher education for individuals and society. </w:t>
      </w:r>
      <w:r>
        <w:rPr>
          <w:rFonts w:asciiTheme="majorHAnsi" w:hAnsiTheme="majorHAnsi" w:cstheme="majorHAnsi"/>
          <w:i/>
          <w:iCs/>
        </w:rPr>
        <w:t xml:space="preserve">Trends in Higher Education Series. </w:t>
      </w:r>
      <w:r>
        <w:rPr>
          <w:rFonts w:asciiTheme="majorHAnsi" w:hAnsiTheme="majorHAnsi" w:cstheme="majorHAnsi"/>
        </w:rPr>
        <w:t xml:space="preserve">College Board. </w:t>
      </w:r>
      <w:hyperlink r:id="rId59" w:history="1">
        <w:r>
          <w:rPr>
            <w:rStyle w:val="Hyperlink"/>
            <w:rFonts w:asciiTheme="majorHAnsi" w:hAnsiTheme="majorHAnsi" w:cstheme="majorHAnsi"/>
          </w:rPr>
          <w:t>https://research.collegeboard.org/media/pdf/education-pays-2019-full-report.pdf</w:t>
        </w:r>
      </w:hyperlink>
      <w:r>
        <w:rPr>
          <w:rFonts w:asciiTheme="majorHAnsi" w:hAnsiTheme="majorHAnsi" w:cstheme="majorHAnsi"/>
        </w:rPr>
        <w:t xml:space="preserve"> </w:t>
      </w:r>
    </w:p>
    <w:p w14:paraId="7439B0FB" w14:textId="2C5A7D62"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Marine, S. B., &amp; Nicolazzo, Z. (2014). Names that matter: Exploring the tensions of campus LGBTQ centers and trans* inclusion. </w:t>
      </w:r>
      <w:r>
        <w:rPr>
          <w:rFonts w:asciiTheme="majorHAnsi" w:hAnsiTheme="majorHAnsi" w:cstheme="majorHAnsi"/>
          <w:i/>
          <w:iCs/>
        </w:rPr>
        <w:t>Journal of Diversity in Higher Education</w:t>
      </w:r>
      <w:r>
        <w:rPr>
          <w:rFonts w:asciiTheme="majorHAnsi" w:hAnsiTheme="majorHAnsi" w:cstheme="majorHAnsi"/>
        </w:rPr>
        <w:t>, </w:t>
      </w:r>
      <w:r>
        <w:rPr>
          <w:rFonts w:asciiTheme="majorHAnsi" w:hAnsiTheme="majorHAnsi" w:cstheme="majorHAnsi"/>
          <w:i/>
          <w:iCs/>
        </w:rPr>
        <w:t>7</w:t>
      </w:r>
      <w:r>
        <w:rPr>
          <w:rFonts w:asciiTheme="majorHAnsi" w:hAnsiTheme="majorHAnsi" w:cstheme="majorHAnsi"/>
        </w:rPr>
        <w:t xml:space="preserve">(4), 265–281. </w:t>
      </w:r>
      <w:hyperlink r:id="rId60" w:history="1">
        <w:r>
          <w:rPr>
            <w:rStyle w:val="Hyperlink"/>
            <w:rFonts w:asciiTheme="majorHAnsi" w:hAnsiTheme="majorHAnsi" w:cstheme="majorHAnsi"/>
          </w:rPr>
          <w:t>https://doi.org/10.1037/a0037990</w:t>
        </w:r>
      </w:hyperlink>
      <w:r>
        <w:rPr>
          <w:rFonts w:asciiTheme="majorHAnsi" w:hAnsiTheme="majorHAnsi" w:cstheme="majorHAnsi"/>
        </w:rPr>
        <w:t xml:space="preserve"> </w:t>
      </w:r>
    </w:p>
    <w:p w14:paraId="7439B0FD" w14:textId="5319B9D3"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t>McBride, R. S. (2021). A literature review of the secondary school experiences of trans youth.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18</w:t>
      </w:r>
      <w:r>
        <w:rPr>
          <w:rFonts w:asciiTheme="majorHAnsi" w:hAnsiTheme="majorHAnsi" w:cstheme="majorHAnsi"/>
        </w:rPr>
        <w:t xml:space="preserve">(2), 103–134. </w:t>
      </w:r>
      <w:hyperlink r:id="rId61" w:history="1">
        <w:r>
          <w:rPr>
            <w:rStyle w:val="Hyperlink"/>
            <w:rFonts w:asciiTheme="majorHAnsi" w:hAnsiTheme="majorHAnsi" w:cstheme="majorHAnsi"/>
          </w:rPr>
          <w:t>https://doi.org/10.1080/19361653. 2020.1727815</w:t>
        </w:r>
      </w:hyperlink>
      <w:r>
        <w:rPr>
          <w:rFonts w:asciiTheme="majorHAnsi" w:hAnsiTheme="majorHAnsi" w:cstheme="majorHAnsi"/>
        </w:rPr>
        <w:t xml:space="preserve"> </w:t>
      </w:r>
    </w:p>
    <w:p w14:paraId="7439B0FE" w14:textId="74FB457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Means, B., Wang, H., Young, V., Peters, V. L., &amp; Lynch, S. J. (2016). STEM-focused high schools as a strategy for enhancing readiness for postsecondary STEM programs. </w:t>
      </w:r>
      <w:r>
        <w:rPr>
          <w:rFonts w:asciiTheme="majorHAnsi" w:hAnsiTheme="majorHAnsi" w:cstheme="majorHAnsi"/>
          <w:i/>
          <w:iCs/>
        </w:rPr>
        <w:t>Journal of Research in Science Teaching, 53</w:t>
      </w:r>
      <w:r>
        <w:rPr>
          <w:rFonts w:asciiTheme="majorHAnsi" w:hAnsiTheme="majorHAnsi" w:cstheme="majorHAnsi"/>
        </w:rPr>
        <w:t xml:space="preserve">(5), 709–736. </w:t>
      </w:r>
      <w:hyperlink r:id="rId62" w:history="1">
        <w:r>
          <w:rPr>
            <w:rStyle w:val="Hyperlink"/>
            <w:rFonts w:asciiTheme="majorHAnsi" w:hAnsiTheme="majorHAnsi" w:cstheme="majorHAnsi"/>
          </w:rPr>
          <w:t>https://doi.org/10.1002/tea.21313</w:t>
        </w:r>
      </w:hyperlink>
      <w:r>
        <w:rPr>
          <w:rFonts w:asciiTheme="majorHAnsi" w:hAnsiTheme="majorHAnsi" w:cstheme="majorHAnsi"/>
        </w:rPr>
        <w:t xml:space="preserve"> </w:t>
      </w:r>
    </w:p>
    <w:p w14:paraId="7439B0FF" w14:textId="6066A3D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Meyer, I. H. (2015). Resilience in the study of minority stress and health of sexual and gender minorities. </w:t>
      </w:r>
      <w:r>
        <w:rPr>
          <w:rFonts w:asciiTheme="majorHAnsi" w:hAnsiTheme="majorHAnsi" w:cstheme="majorHAnsi"/>
          <w:i/>
          <w:iCs/>
        </w:rPr>
        <w:t>Psychology of Sexual Orientation and Gender Diversity</w:t>
      </w:r>
      <w:r>
        <w:rPr>
          <w:rFonts w:asciiTheme="majorHAnsi" w:hAnsiTheme="majorHAnsi" w:cstheme="majorHAnsi"/>
        </w:rPr>
        <w:t xml:space="preserve">, </w:t>
      </w:r>
      <w:r>
        <w:rPr>
          <w:rFonts w:asciiTheme="majorHAnsi" w:hAnsiTheme="majorHAnsi" w:cstheme="majorHAnsi"/>
          <w:i/>
          <w:iCs/>
        </w:rPr>
        <w:t>2</w:t>
      </w:r>
      <w:r>
        <w:rPr>
          <w:rFonts w:asciiTheme="majorHAnsi" w:hAnsiTheme="majorHAnsi" w:cstheme="majorHAnsi"/>
        </w:rPr>
        <w:t xml:space="preserve">(3), 209–213. </w:t>
      </w:r>
      <w:hyperlink r:id="rId63" w:history="1">
        <w:r>
          <w:rPr>
            <w:rStyle w:val="Hyperlink"/>
            <w:rFonts w:asciiTheme="majorHAnsi" w:hAnsiTheme="majorHAnsi" w:cstheme="majorHAnsi"/>
          </w:rPr>
          <w:t>https://doi.org/10.1037/sgd0000132</w:t>
        </w:r>
      </w:hyperlink>
      <w:r>
        <w:rPr>
          <w:rFonts w:asciiTheme="majorHAnsi" w:hAnsiTheme="majorHAnsi" w:cstheme="majorHAnsi"/>
        </w:rPr>
        <w:t xml:space="preserve"> </w:t>
      </w:r>
    </w:p>
    <w:p w14:paraId="4DDF2D1A" w14:textId="09A346BD" w:rsidR="00255044" w:rsidRPr="00824E21" w:rsidRDefault="00255044" w:rsidP="00255044">
      <w:pPr>
        <w:spacing w:line="360" w:lineRule="auto"/>
        <w:ind w:left="720" w:hanging="720"/>
        <w:rPr>
          <w:rFonts w:asciiTheme="majorHAnsi" w:hAnsiTheme="majorHAnsi" w:cstheme="majorHAnsi"/>
          <w:lang w:val="en-US"/>
        </w:rPr>
      </w:pPr>
      <w:r>
        <w:rPr>
          <w:rFonts w:asciiTheme="majorHAnsi" w:hAnsiTheme="majorHAnsi" w:cstheme="majorHAnsi"/>
          <w:lang w:val="en-US"/>
        </w:rPr>
        <w:t>Mittleman, J. (2022). Intersecting the academic gender gap: The education of lesbian, gay, and bisexual America. </w:t>
      </w:r>
      <w:r>
        <w:rPr>
          <w:rFonts w:asciiTheme="majorHAnsi" w:hAnsiTheme="majorHAnsi" w:cstheme="majorHAnsi"/>
          <w:i/>
          <w:iCs/>
          <w:lang w:val="en-US"/>
        </w:rPr>
        <w:t>American Sociological Review</w:t>
      </w:r>
      <w:r>
        <w:rPr>
          <w:rFonts w:asciiTheme="majorHAnsi" w:hAnsiTheme="majorHAnsi" w:cstheme="majorHAnsi"/>
          <w:lang w:val="en-US"/>
        </w:rPr>
        <w:t>, </w:t>
      </w:r>
      <w:r>
        <w:rPr>
          <w:rFonts w:asciiTheme="majorHAnsi" w:hAnsiTheme="majorHAnsi" w:cstheme="majorHAnsi"/>
          <w:i/>
          <w:iCs/>
          <w:lang w:val="en-US"/>
        </w:rPr>
        <w:t>87</w:t>
      </w:r>
      <w:r>
        <w:rPr>
          <w:rFonts w:asciiTheme="majorHAnsi" w:hAnsiTheme="majorHAnsi" w:cstheme="majorHAnsi"/>
          <w:lang w:val="en-US"/>
        </w:rPr>
        <w:t>(2), 303-335. https://doi.org/10.1177/00031224221075776</w:t>
      </w:r>
    </w:p>
    <w:p w14:paraId="7439B101" w14:textId="6CC962B0"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lastRenderedPageBreak/>
        <w:t>Morgan, E. M. (2013). Contemporary issues in sexual orientation and identity development in emerging adulthood. </w:t>
      </w:r>
      <w:r>
        <w:rPr>
          <w:rFonts w:asciiTheme="majorHAnsi" w:hAnsiTheme="majorHAnsi" w:cstheme="majorHAnsi"/>
          <w:i/>
          <w:iCs/>
        </w:rPr>
        <w:t>Emerging Adulthood,</w:t>
      </w:r>
      <w:r>
        <w:rPr>
          <w:rFonts w:asciiTheme="majorHAnsi" w:hAnsiTheme="majorHAnsi" w:cstheme="majorHAnsi"/>
        </w:rPr>
        <w:t> </w:t>
      </w:r>
      <w:r>
        <w:rPr>
          <w:rFonts w:asciiTheme="majorHAnsi" w:hAnsiTheme="majorHAnsi" w:cstheme="majorHAnsi"/>
          <w:i/>
          <w:iCs/>
        </w:rPr>
        <w:t>1</w:t>
      </w:r>
      <w:r>
        <w:rPr>
          <w:rFonts w:asciiTheme="majorHAnsi" w:hAnsiTheme="majorHAnsi" w:cstheme="majorHAnsi"/>
        </w:rPr>
        <w:t xml:space="preserve">(1), 52–66. </w:t>
      </w:r>
      <w:hyperlink r:id="rId64" w:history="1">
        <w:r>
          <w:rPr>
            <w:rStyle w:val="Hyperlink"/>
            <w:rFonts w:asciiTheme="majorHAnsi" w:hAnsiTheme="majorHAnsi" w:cstheme="majorHAnsi"/>
          </w:rPr>
          <w:t>https://doi.org/10.1177/ 2167696812469187</w:t>
        </w:r>
      </w:hyperlink>
      <w:r>
        <w:rPr>
          <w:rFonts w:asciiTheme="majorHAnsi" w:hAnsiTheme="majorHAnsi" w:cstheme="majorHAnsi"/>
        </w:rPr>
        <w:t xml:space="preserve"> </w:t>
      </w:r>
    </w:p>
    <w:p w14:paraId="7439B102" w14:textId="2AB630BB"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Morton, T. R., Ramirez, N. A., Meece, J. L., Demetriou, C., &amp; Panter, A. T. (2018). Perceived barriers, anxieties, and fears in prospective college students from rural high schools. </w:t>
      </w:r>
      <w:r>
        <w:rPr>
          <w:rFonts w:asciiTheme="majorHAnsi" w:hAnsiTheme="majorHAnsi" w:cstheme="majorHAnsi"/>
          <w:i/>
          <w:iCs/>
        </w:rPr>
        <w:t>High School Journal</w:t>
      </w:r>
      <w:r>
        <w:rPr>
          <w:rFonts w:asciiTheme="majorHAnsi" w:hAnsiTheme="majorHAnsi" w:cstheme="majorHAnsi"/>
        </w:rPr>
        <w:t>, </w:t>
      </w:r>
      <w:r>
        <w:rPr>
          <w:rFonts w:asciiTheme="majorHAnsi" w:hAnsiTheme="majorHAnsi" w:cstheme="majorHAnsi"/>
          <w:i/>
          <w:iCs/>
        </w:rPr>
        <w:t>101</w:t>
      </w:r>
      <w:r>
        <w:rPr>
          <w:rFonts w:asciiTheme="majorHAnsi" w:hAnsiTheme="majorHAnsi" w:cstheme="majorHAnsi"/>
        </w:rPr>
        <w:t xml:space="preserve">(3), 155–176. </w:t>
      </w:r>
      <w:hyperlink r:id="rId65" w:history="1">
        <w:r>
          <w:rPr>
            <w:rStyle w:val="Hyperlink"/>
            <w:rFonts w:asciiTheme="majorHAnsi" w:hAnsiTheme="majorHAnsi" w:cstheme="majorHAnsi"/>
          </w:rPr>
          <w:t>https://www.jstor.org/stable/90024241</w:t>
        </w:r>
      </w:hyperlink>
      <w:r>
        <w:rPr>
          <w:rFonts w:asciiTheme="majorHAnsi" w:hAnsiTheme="majorHAnsi" w:cstheme="majorHAnsi"/>
        </w:rPr>
        <w:t xml:space="preserve"> </w:t>
      </w:r>
    </w:p>
    <w:p w14:paraId="6AA5131F" w14:textId="3EB71DA3" w:rsidR="00E45A99" w:rsidRPr="00824E21" w:rsidRDefault="00E45A99" w:rsidP="001B2966">
      <w:pPr>
        <w:spacing w:line="360" w:lineRule="auto"/>
        <w:ind w:left="720" w:hanging="720"/>
        <w:rPr>
          <w:rFonts w:asciiTheme="majorHAnsi" w:hAnsiTheme="majorHAnsi" w:cstheme="majorHAnsi"/>
        </w:rPr>
      </w:pPr>
      <w:r>
        <w:rPr>
          <w:rFonts w:asciiTheme="majorHAnsi" w:hAnsiTheme="majorHAnsi" w:cstheme="majorHAnsi"/>
        </w:rPr>
        <w:t>Movement Advancement Project. (2025). Equality maps: Safe schools laws. https://www.lgbtmap.org/equality-maps/safe_school_laws</w:t>
      </w:r>
    </w:p>
    <w:p w14:paraId="64C12D05" w14:textId="4B0022F7" w:rsidR="00887134" w:rsidRPr="00824E21" w:rsidRDefault="00887134" w:rsidP="00887134">
      <w:pPr>
        <w:spacing w:line="360" w:lineRule="auto"/>
        <w:ind w:left="720" w:hanging="720"/>
        <w:rPr>
          <w:rFonts w:asciiTheme="majorHAnsi" w:hAnsiTheme="majorHAnsi" w:cstheme="majorHAnsi"/>
          <w:lang w:val="en-US"/>
        </w:rPr>
      </w:pPr>
      <w:r>
        <w:rPr>
          <w:rFonts w:asciiTheme="majorHAnsi" w:hAnsiTheme="majorHAnsi" w:cstheme="majorHAnsi"/>
          <w:lang w:val="en-US"/>
        </w:rPr>
        <w:t xml:space="preserve">O’Neill, K. K. &amp; Conron, K. J. (co-first authors), Goldberg, A. E., &amp; Guardado, R. (2022). </w:t>
      </w:r>
      <w:r>
        <w:rPr>
          <w:rFonts w:asciiTheme="majorHAnsi" w:hAnsiTheme="majorHAnsi" w:cstheme="majorHAnsi"/>
          <w:i/>
          <w:iCs/>
          <w:lang w:val="en-US"/>
        </w:rPr>
        <w:t>The experiences of LGBTQ people in four-year colleges and graduate programs: Findings from a national probability survey.</w:t>
      </w:r>
      <w:r>
        <w:rPr>
          <w:rFonts w:asciiTheme="majorHAnsi" w:hAnsiTheme="majorHAnsi" w:cstheme="majorHAnsi"/>
          <w:lang w:val="en-US"/>
        </w:rPr>
        <w:t xml:space="preserve"> The Williams Institute. </w:t>
      </w:r>
      <w:hyperlink r:id="rId66" w:history="1">
        <w:r>
          <w:rPr>
            <w:rStyle w:val="Hyperlink"/>
            <w:rFonts w:asciiTheme="majorHAnsi" w:hAnsiTheme="majorHAnsi" w:cstheme="majorHAnsi"/>
            <w:lang w:val="en-US"/>
          </w:rPr>
          <w:t>https://williamsinstitute.law.ucla.edu/wp-content/uploads/LGBTQ-College-Grad-School-May-2022.pdf</w:t>
        </w:r>
      </w:hyperlink>
      <w:r>
        <w:rPr>
          <w:rFonts w:asciiTheme="majorHAnsi" w:hAnsiTheme="majorHAnsi" w:cstheme="majorHAnsi"/>
          <w:lang w:val="en-US"/>
        </w:rPr>
        <w:t xml:space="preserve"> </w:t>
      </w:r>
    </w:p>
    <w:p w14:paraId="7439B103" w14:textId="59A331F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Olson, J. (2017). Moving up, feeling down: Socioemotional health during the transition into college.</w:t>
      </w:r>
      <w:r>
        <w:rPr>
          <w:rFonts w:asciiTheme="majorHAnsi" w:hAnsiTheme="majorHAnsi" w:cstheme="majorHAnsi"/>
          <w:i/>
          <w:iCs/>
        </w:rPr>
        <w:t xml:space="preserve"> Longitudinal and Life Course Studies, 8</w:t>
      </w:r>
      <w:r>
        <w:rPr>
          <w:rFonts w:asciiTheme="majorHAnsi" w:hAnsiTheme="majorHAnsi" w:cstheme="majorHAnsi"/>
        </w:rPr>
        <w:t xml:space="preserve">(3), 3. </w:t>
      </w:r>
      <w:hyperlink r:id="rId67" w:history="1">
        <w:r>
          <w:rPr>
            <w:rStyle w:val="Hyperlink"/>
            <w:rFonts w:asciiTheme="majorHAnsi" w:hAnsiTheme="majorHAnsi" w:cstheme="majorHAnsi"/>
          </w:rPr>
          <w:t>http://dx.doi.org/10.14301/ llcs.v8i3.419</w:t>
        </w:r>
      </w:hyperlink>
      <w:r>
        <w:rPr>
          <w:rFonts w:asciiTheme="majorHAnsi" w:hAnsiTheme="majorHAnsi" w:cstheme="majorHAnsi"/>
        </w:rPr>
        <w:t xml:space="preserve"> </w:t>
      </w:r>
    </w:p>
    <w:p w14:paraId="7439B104" w14:textId="5DDA3135"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Osterman, K. F. (2000). Students’ need for belonging in the school community. </w:t>
      </w:r>
      <w:r>
        <w:rPr>
          <w:rFonts w:asciiTheme="majorHAnsi" w:hAnsiTheme="majorHAnsi" w:cstheme="majorHAnsi"/>
          <w:i/>
          <w:iCs/>
        </w:rPr>
        <w:t>Review of Educational Research</w:t>
      </w:r>
      <w:r>
        <w:rPr>
          <w:rFonts w:asciiTheme="majorHAnsi" w:hAnsiTheme="majorHAnsi" w:cstheme="majorHAnsi"/>
        </w:rPr>
        <w:t>, </w:t>
      </w:r>
      <w:r>
        <w:rPr>
          <w:rFonts w:asciiTheme="majorHAnsi" w:hAnsiTheme="majorHAnsi" w:cstheme="majorHAnsi"/>
          <w:i/>
          <w:iCs/>
        </w:rPr>
        <w:t>70</w:t>
      </w:r>
      <w:r>
        <w:rPr>
          <w:rFonts w:asciiTheme="majorHAnsi" w:hAnsiTheme="majorHAnsi" w:cstheme="majorHAnsi"/>
        </w:rPr>
        <w:t xml:space="preserve">(3), 323–367. </w:t>
      </w:r>
      <w:hyperlink r:id="rId68" w:history="1">
        <w:r>
          <w:rPr>
            <w:rStyle w:val="Hyperlink"/>
            <w:rFonts w:asciiTheme="majorHAnsi" w:hAnsiTheme="majorHAnsi" w:cstheme="majorHAnsi"/>
          </w:rPr>
          <w:t>https://doi.org/10.2307/1170786</w:t>
        </w:r>
      </w:hyperlink>
      <w:r>
        <w:rPr>
          <w:rFonts w:asciiTheme="majorHAnsi" w:hAnsiTheme="majorHAnsi" w:cstheme="majorHAnsi"/>
        </w:rPr>
        <w:t xml:space="preserve"> </w:t>
      </w:r>
    </w:p>
    <w:p w14:paraId="7439B105" w14:textId="09D79F32"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Perez, N., &amp; Farruggia, S. P. (2022). Pathways to early departure from college: The interrelated and precarious role of finances among Black and Latinx students. </w:t>
      </w:r>
      <w:r>
        <w:rPr>
          <w:rFonts w:asciiTheme="majorHAnsi" w:hAnsiTheme="majorHAnsi" w:cstheme="majorHAnsi"/>
          <w:i/>
          <w:iCs/>
        </w:rPr>
        <w:t>Race Ethnicity and Education</w:t>
      </w:r>
      <w:r>
        <w:rPr>
          <w:rFonts w:asciiTheme="majorHAnsi" w:hAnsiTheme="majorHAnsi" w:cstheme="majorHAnsi"/>
        </w:rPr>
        <w:t>, </w:t>
      </w:r>
      <w:r>
        <w:rPr>
          <w:rFonts w:asciiTheme="majorHAnsi" w:hAnsiTheme="majorHAnsi" w:cstheme="majorHAnsi"/>
          <w:i/>
          <w:iCs/>
        </w:rPr>
        <w:t>25</w:t>
      </w:r>
      <w:r>
        <w:rPr>
          <w:rFonts w:asciiTheme="majorHAnsi" w:hAnsiTheme="majorHAnsi" w:cstheme="majorHAnsi"/>
        </w:rPr>
        <w:t xml:space="preserve">(2), 155–172. </w:t>
      </w:r>
      <w:hyperlink r:id="rId69" w:history="1">
        <w:r>
          <w:rPr>
            <w:rStyle w:val="Hyperlink"/>
            <w:rFonts w:asciiTheme="majorHAnsi" w:hAnsiTheme="majorHAnsi" w:cstheme="majorHAnsi"/>
          </w:rPr>
          <w:t>https://doi.org/10.1080/13613324.2021.1890561</w:t>
        </w:r>
      </w:hyperlink>
      <w:r>
        <w:rPr>
          <w:rFonts w:asciiTheme="majorHAnsi" w:hAnsiTheme="majorHAnsi" w:cstheme="majorHAnsi"/>
        </w:rPr>
        <w:t xml:space="preserve"> </w:t>
      </w:r>
    </w:p>
    <w:p w14:paraId="7439B106" w14:textId="3A29509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Perna, L., &amp; Titus, M. (2005). The relationship between parental involvement as social capital and college enrollment: An examination of racial/ethnic group differences. </w:t>
      </w:r>
      <w:r>
        <w:rPr>
          <w:rFonts w:asciiTheme="majorHAnsi" w:hAnsiTheme="majorHAnsi" w:cstheme="majorHAnsi"/>
          <w:i/>
          <w:iCs/>
        </w:rPr>
        <w:t>The Journal of Higher Education, 76</w:t>
      </w:r>
      <w:r>
        <w:rPr>
          <w:rFonts w:asciiTheme="majorHAnsi" w:hAnsiTheme="majorHAnsi" w:cstheme="majorHAnsi"/>
        </w:rPr>
        <w:t xml:space="preserve">(5), 485–518. </w:t>
      </w:r>
      <w:hyperlink r:id="rId70" w:history="1">
        <w:r>
          <w:rPr>
            <w:rStyle w:val="Hyperlink"/>
            <w:rFonts w:asciiTheme="majorHAnsi" w:hAnsiTheme="majorHAnsi" w:cstheme="majorHAnsi"/>
          </w:rPr>
          <w:t>https://doi.org/10.1080/00221546.2005.11772296</w:t>
        </w:r>
      </w:hyperlink>
      <w:r>
        <w:rPr>
          <w:rFonts w:asciiTheme="majorHAnsi" w:hAnsiTheme="majorHAnsi" w:cstheme="majorHAnsi"/>
        </w:rPr>
        <w:t xml:space="preserve"> </w:t>
      </w:r>
    </w:p>
    <w:p w14:paraId="7439B107" w14:textId="34AB60F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Pike, G. R., &amp; Robbins, K. (2016). The relationships among individual characteristics, high school characteristics, and college enrollment: Using enrollment propensity as a baseline for evaluating strategic enrollment management efforts. </w:t>
      </w:r>
      <w:r>
        <w:rPr>
          <w:rFonts w:asciiTheme="majorHAnsi" w:hAnsiTheme="majorHAnsi" w:cstheme="majorHAnsi"/>
          <w:i/>
          <w:iCs/>
        </w:rPr>
        <w:t>Strategic Enrollment Management Quarterly</w:t>
      </w:r>
      <w:r>
        <w:rPr>
          <w:rFonts w:asciiTheme="majorHAnsi" w:hAnsiTheme="majorHAnsi" w:cstheme="majorHAnsi"/>
        </w:rPr>
        <w:t>, </w:t>
      </w:r>
      <w:r>
        <w:rPr>
          <w:rFonts w:asciiTheme="majorHAnsi" w:hAnsiTheme="majorHAnsi" w:cstheme="majorHAnsi"/>
          <w:i/>
          <w:iCs/>
        </w:rPr>
        <w:t>3</w:t>
      </w:r>
      <w:r>
        <w:rPr>
          <w:rFonts w:asciiTheme="majorHAnsi" w:hAnsiTheme="majorHAnsi" w:cstheme="majorHAnsi"/>
        </w:rPr>
        <w:t xml:space="preserve">(4), 282–304. </w:t>
      </w:r>
      <w:hyperlink r:id="rId71" w:history="1">
        <w:r>
          <w:rPr>
            <w:rStyle w:val="Hyperlink"/>
            <w:rFonts w:asciiTheme="majorHAnsi" w:hAnsiTheme="majorHAnsi" w:cstheme="majorHAnsi"/>
          </w:rPr>
          <w:t>https://doi.org/10.1002/sem3.20075</w:t>
        </w:r>
      </w:hyperlink>
      <w:r>
        <w:rPr>
          <w:rFonts w:asciiTheme="majorHAnsi" w:hAnsiTheme="majorHAnsi" w:cstheme="majorHAnsi"/>
        </w:rPr>
        <w:t xml:space="preserve"> </w:t>
      </w:r>
    </w:p>
    <w:p w14:paraId="7439B109" w14:textId="6535A0B2"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lastRenderedPageBreak/>
        <w:t>Plagens, G. K. (2011). Social capital and education: Implications for student and school performance. </w:t>
      </w:r>
      <w:r>
        <w:rPr>
          <w:rFonts w:asciiTheme="majorHAnsi" w:hAnsiTheme="majorHAnsi" w:cstheme="majorHAnsi"/>
          <w:i/>
          <w:iCs/>
        </w:rPr>
        <w:t>Education and Culture</w:t>
      </w:r>
      <w:r>
        <w:rPr>
          <w:rFonts w:asciiTheme="majorHAnsi" w:hAnsiTheme="majorHAnsi" w:cstheme="majorHAnsi"/>
        </w:rPr>
        <w:t>, </w:t>
      </w:r>
      <w:r>
        <w:rPr>
          <w:rFonts w:asciiTheme="majorHAnsi" w:hAnsiTheme="majorHAnsi" w:cstheme="majorHAnsi"/>
          <w:i/>
          <w:iCs/>
        </w:rPr>
        <w:t>27</w:t>
      </w:r>
      <w:r>
        <w:rPr>
          <w:rFonts w:asciiTheme="majorHAnsi" w:hAnsiTheme="majorHAnsi" w:cstheme="majorHAnsi"/>
        </w:rPr>
        <w:t xml:space="preserve">(1), 40–64 </w:t>
      </w:r>
      <w:hyperlink r:id="rId72" w:history="1">
        <w:r>
          <w:rPr>
            <w:rStyle w:val="Hyperlink"/>
            <w:rFonts w:asciiTheme="majorHAnsi" w:hAnsiTheme="majorHAnsi" w:cstheme="majorHAnsi"/>
          </w:rPr>
          <w:t>https://doi.org/10.1353/ eac.2011.0007</w:t>
        </w:r>
      </w:hyperlink>
      <w:r>
        <w:rPr>
          <w:rFonts w:asciiTheme="majorHAnsi" w:hAnsiTheme="majorHAnsi" w:cstheme="majorHAnsi"/>
        </w:rPr>
        <w:t xml:space="preserve"> </w:t>
      </w:r>
    </w:p>
    <w:p w14:paraId="7439B10A" w14:textId="550D5598"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Reber, S., &amp; Smith, E. (2023). College enrollment disparities: Understanding the role of academic preparation. </w:t>
      </w:r>
      <w:r>
        <w:rPr>
          <w:rFonts w:asciiTheme="majorHAnsi" w:hAnsiTheme="majorHAnsi" w:cstheme="majorHAnsi"/>
          <w:i/>
          <w:iCs/>
        </w:rPr>
        <w:t>Brookings</w:t>
      </w:r>
      <w:r>
        <w:rPr>
          <w:rFonts w:asciiTheme="majorHAnsi" w:hAnsiTheme="majorHAnsi" w:cstheme="majorHAnsi"/>
        </w:rPr>
        <w:t xml:space="preserve">. </w:t>
      </w:r>
      <w:hyperlink r:id="rId73" w:history="1">
        <w:r>
          <w:rPr>
            <w:rStyle w:val="Hyperlink"/>
            <w:rFonts w:asciiTheme="majorHAnsi" w:hAnsiTheme="majorHAnsi" w:cstheme="majorHAnsi"/>
          </w:rPr>
          <w:t>https://www.brookings.edu/wp-content/ uploads/2023/02/20230123_CCF_CollegeEnrollment_FINAL2.pdf</w:t>
        </w:r>
      </w:hyperlink>
      <w:r>
        <w:rPr>
          <w:rFonts w:asciiTheme="majorHAnsi" w:hAnsiTheme="majorHAnsi" w:cstheme="majorHAnsi"/>
        </w:rPr>
        <w:t xml:space="preserve"> </w:t>
      </w:r>
    </w:p>
    <w:p w14:paraId="7439B10B" w14:textId="0E57AD5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Riggle, E. D., Rostosky, S. S., McCants, L. E., &amp; Pascale-Hague, D. (2011). The positive aspects of a transgender self-identification. </w:t>
      </w:r>
      <w:r>
        <w:rPr>
          <w:rFonts w:asciiTheme="majorHAnsi" w:hAnsiTheme="majorHAnsi" w:cstheme="majorHAnsi"/>
          <w:i/>
          <w:iCs/>
        </w:rPr>
        <w:t>Psychology &amp; Sexuality</w:t>
      </w:r>
      <w:r>
        <w:rPr>
          <w:rFonts w:asciiTheme="majorHAnsi" w:hAnsiTheme="majorHAnsi" w:cstheme="majorHAnsi"/>
        </w:rPr>
        <w:t>, </w:t>
      </w:r>
      <w:r>
        <w:rPr>
          <w:rFonts w:asciiTheme="majorHAnsi" w:hAnsiTheme="majorHAnsi" w:cstheme="majorHAnsi"/>
          <w:i/>
          <w:iCs/>
        </w:rPr>
        <w:t>2</w:t>
      </w:r>
      <w:r>
        <w:rPr>
          <w:rFonts w:asciiTheme="majorHAnsi" w:hAnsiTheme="majorHAnsi" w:cstheme="majorHAnsi"/>
        </w:rPr>
        <w:t xml:space="preserve">(2), 147–158. </w:t>
      </w:r>
      <w:hyperlink r:id="rId74" w:history="1">
        <w:r>
          <w:rPr>
            <w:rStyle w:val="Hyperlink"/>
            <w:rFonts w:asciiTheme="majorHAnsi" w:hAnsiTheme="majorHAnsi" w:cstheme="majorHAnsi"/>
          </w:rPr>
          <w:t>https://doi.org/10.1080/19419899.2010.534490</w:t>
        </w:r>
      </w:hyperlink>
      <w:r>
        <w:rPr>
          <w:rFonts w:asciiTheme="majorHAnsi" w:hAnsiTheme="majorHAnsi" w:cstheme="majorHAnsi"/>
        </w:rPr>
        <w:t xml:space="preserve"> </w:t>
      </w:r>
    </w:p>
    <w:p w14:paraId="7439B10C" w14:textId="7D7AFBE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Sanlo, R. (2004). Lesbian, gay, and bisexual college students: Risk, resiliency, and retention. </w:t>
      </w:r>
      <w:r>
        <w:rPr>
          <w:rFonts w:asciiTheme="majorHAnsi" w:hAnsiTheme="majorHAnsi" w:cstheme="majorHAnsi"/>
          <w:i/>
          <w:iCs/>
        </w:rPr>
        <w:t>Journal of College Student Retention: Research, Theory and Practice, 6</w:t>
      </w:r>
      <w:r>
        <w:rPr>
          <w:rFonts w:asciiTheme="majorHAnsi" w:hAnsiTheme="majorHAnsi" w:cstheme="majorHAnsi"/>
        </w:rPr>
        <w:t xml:space="preserve">(1), 97–110. </w:t>
      </w:r>
      <w:hyperlink r:id="rId75" w:history="1">
        <w:r>
          <w:rPr>
            <w:rStyle w:val="Hyperlink"/>
            <w:rFonts w:asciiTheme="majorHAnsi" w:hAnsiTheme="majorHAnsi" w:cstheme="majorHAnsi"/>
          </w:rPr>
          <w:t>https://doi.org/10.2190/fh61-ve7v-hhcx-0pur</w:t>
        </w:r>
      </w:hyperlink>
      <w:r>
        <w:rPr>
          <w:rFonts w:asciiTheme="majorHAnsi" w:hAnsiTheme="majorHAnsi" w:cstheme="majorHAnsi"/>
        </w:rPr>
        <w:t xml:space="preserve"> </w:t>
      </w:r>
    </w:p>
    <w:p w14:paraId="7439B10D" w14:textId="67284D5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Sansone, D. (2019). LGBT students: New evidence on demographics and educational outcomes. </w:t>
      </w:r>
      <w:r>
        <w:rPr>
          <w:rFonts w:asciiTheme="majorHAnsi" w:hAnsiTheme="majorHAnsi" w:cstheme="majorHAnsi"/>
          <w:i/>
          <w:iCs/>
        </w:rPr>
        <w:t>Economics of Education Review, 73</w:t>
      </w:r>
      <w:r>
        <w:rPr>
          <w:rFonts w:asciiTheme="majorHAnsi" w:hAnsiTheme="majorHAnsi" w:cstheme="majorHAnsi"/>
        </w:rPr>
        <w:t xml:space="preserve">, 101933. </w:t>
      </w:r>
      <w:hyperlink r:id="rId76" w:history="1">
        <w:r>
          <w:rPr>
            <w:rStyle w:val="Hyperlink"/>
            <w:rFonts w:asciiTheme="majorHAnsi" w:hAnsiTheme="majorHAnsi" w:cstheme="majorHAnsi"/>
          </w:rPr>
          <w:t>https://doi.org/10.1016/ j.econedurev.2019.101933</w:t>
        </w:r>
      </w:hyperlink>
      <w:r>
        <w:rPr>
          <w:rFonts w:asciiTheme="majorHAnsi" w:hAnsiTheme="majorHAnsi" w:cstheme="majorHAnsi"/>
        </w:rPr>
        <w:t xml:space="preserve">   </w:t>
      </w:r>
    </w:p>
    <w:p w14:paraId="7439B10E" w14:textId="362F995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Saperstein, A., &amp; Westbrook, L. (2021). Categorical and gradational: Alternative survey measures of sex and gender. </w:t>
      </w:r>
      <w:r>
        <w:rPr>
          <w:rFonts w:asciiTheme="majorHAnsi" w:hAnsiTheme="majorHAnsi" w:cstheme="majorHAnsi"/>
          <w:i/>
          <w:iCs/>
        </w:rPr>
        <w:t>European Journal of Politics and Gender</w:t>
      </w:r>
      <w:r>
        <w:rPr>
          <w:rFonts w:asciiTheme="majorHAnsi" w:hAnsiTheme="majorHAnsi" w:cstheme="majorHAnsi"/>
        </w:rPr>
        <w:t>, </w:t>
      </w:r>
      <w:r>
        <w:rPr>
          <w:rFonts w:asciiTheme="majorHAnsi" w:hAnsiTheme="majorHAnsi" w:cstheme="majorHAnsi"/>
          <w:i/>
          <w:iCs/>
        </w:rPr>
        <w:t>4</w:t>
      </w:r>
      <w:r>
        <w:rPr>
          <w:rFonts w:asciiTheme="majorHAnsi" w:hAnsiTheme="majorHAnsi" w:cstheme="majorHAnsi"/>
        </w:rPr>
        <w:t xml:space="preserve">(1), 11–30. </w:t>
      </w:r>
      <w:hyperlink r:id="rId77" w:history="1">
        <w:r>
          <w:rPr>
            <w:rStyle w:val="Hyperlink"/>
            <w:rFonts w:asciiTheme="majorHAnsi" w:hAnsiTheme="majorHAnsi" w:cstheme="majorHAnsi"/>
          </w:rPr>
          <w:t>https://doi.org/10.1332/251510820x15995647280686</w:t>
        </w:r>
      </w:hyperlink>
      <w:r>
        <w:rPr>
          <w:rFonts w:asciiTheme="majorHAnsi" w:hAnsiTheme="majorHAnsi" w:cstheme="majorHAnsi"/>
        </w:rPr>
        <w:t xml:space="preserve"> </w:t>
      </w:r>
    </w:p>
    <w:p w14:paraId="7439B10F" w14:textId="4F207704"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Skobba, K., Meyers, D., &amp; Tiller, L. (2018). Getting by and getting ahead: Social capital and transition to college among homeless and foster youth. </w:t>
      </w:r>
      <w:r>
        <w:rPr>
          <w:rFonts w:asciiTheme="majorHAnsi" w:hAnsiTheme="majorHAnsi" w:cstheme="majorHAnsi"/>
          <w:i/>
          <w:iCs/>
        </w:rPr>
        <w:t>Children and Youth Services Review</w:t>
      </w:r>
      <w:r>
        <w:rPr>
          <w:rFonts w:asciiTheme="majorHAnsi" w:hAnsiTheme="majorHAnsi" w:cstheme="majorHAnsi"/>
        </w:rPr>
        <w:t>, </w:t>
      </w:r>
      <w:r>
        <w:rPr>
          <w:rFonts w:asciiTheme="majorHAnsi" w:hAnsiTheme="majorHAnsi" w:cstheme="majorHAnsi"/>
          <w:i/>
          <w:iCs/>
        </w:rPr>
        <w:t>94</w:t>
      </w:r>
      <w:r>
        <w:rPr>
          <w:rFonts w:asciiTheme="majorHAnsi" w:hAnsiTheme="majorHAnsi" w:cstheme="majorHAnsi"/>
        </w:rPr>
        <w:t xml:space="preserve">, 198–206. </w:t>
      </w:r>
      <w:hyperlink r:id="rId78" w:history="1">
        <w:r>
          <w:rPr>
            <w:rStyle w:val="Hyperlink"/>
            <w:rFonts w:asciiTheme="majorHAnsi" w:hAnsiTheme="majorHAnsi" w:cstheme="majorHAnsi"/>
          </w:rPr>
          <w:t>https://doi.org/10.1016/j.childyouth.2018.10.003</w:t>
        </w:r>
      </w:hyperlink>
      <w:r>
        <w:rPr>
          <w:rFonts w:asciiTheme="majorHAnsi" w:hAnsiTheme="majorHAnsi" w:cstheme="majorHAnsi"/>
        </w:rPr>
        <w:t xml:space="preserve"> </w:t>
      </w:r>
    </w:p>
    <w:p w14:paraId="7439B111" w14:textId="59CE75CA"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t>Stolzenberg, E. B., Aragon, M. C., Romo, E., Couch, V., McLennan, D., Eagan, M. K., &amp; Kang, N. (2020). The American freshman: National norms fall 2019. </w:t>
      </w:r>
      <w:r>
        <w:rPr>
          <w:rFonts w:asciiTheme="majorHAnsi" w:hAnsiTheme="majorHAnsi" w:cstheme="majorHAnsi"/>
          <w:i/>
          <w:iCs/>
        </w:rPr>
        <w:t>Higher Education Research Institute, UCLA</w:t>
      </w:r>
      <w:r>
        <w:rPr>
          <w:rFonts w:asciiTheme="majorHAnsi" w:hAnsiTheme="majorHAnsi" w:cstheme="majorHAnsi"/>
        </w:rPr>
        <w:t>, </w:t>
      </w:r>
      <w:r>
        <w:rPr>
          <w:rFonts w:asciiTheme="majorHAnsi" w:hAnsiTheme="majorHAnsi" w:cstheme="majorHAnsi"/>
          <w:i/>
          <w:iCs/>
        </w:rPr>
        <w:t>42</w:t>
      </w:r>
      <w:r>
        <w:rPr>
          <w:rFonts w:asciiTheme="majorHAnsi" w:hAnsiTheme="majorHAnsi" w:cstheme="majorHAnsi"/>
        </w:rPr>
        <w:t xml:space="preserve">. </w:t>
      </w:r>
      <w:hyperlink r:id="rId79" w:history="1">
        <w:r>
          <w:rPr>
            <w:rStyle w:val="Hyperlink"/>
            <w:rFonts w:asciiTheme="majorHAnsi" w:hAnsiTheme="majorHAnsi" w:cstheme="majorHAnsi"/>
          </w:rPr>
          <w:t>https://www.heri.ucla.edu/monographs/TheAmericanFreshman 2019.pdf</w:t>
        </w:r>
      </w:hyperlink>
      <w:r>
        <w:rPr>
          <w:rFonts w:asciiTheme="majorHAnsi" w:hAnsiTheme="majorHAnsi" w:cstheme="majorHAnsi"/>
        </w:rPr>
        <w:t xml:space="preserve">  </w:t>
      </w:r>
    </w:p>
    <w:p w14:paraId="2979C656" w14:textId="33CA080C" w:rsidR="00864233"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Toutkoushian, R. K., Stollberg, R. A., &amp; Slaton, K. A. (2018). Talking ‘bout my generation: Defining “first-generation college students” in higher education research. </w:t>
      </w:r>
      <w:r>
        <w:rPr>
          <w:rFonts w:asciiTheme="majorHAnsi" w:hAnsiTheme="majorHAnsi" w:cstheme="majorHAnsi"/>
          <w:i/>
          <w:iCs/>
        </w:rPr>
        <w:t>Teachers College Record</w:t>
      </w:r>
      <w:r>
        <w:rPr>
          <w:rFonts w:asciiTheme="majorHAnsi" w:hAnsiTheme="majorHAnsi" w:cstheme="majorHAnsi"/>
        </w:rPr>
        <w:t>, </w:t>
      </w:r>
      <w:r>
        <w:rPr>
          <w:rFonts w:asciiTheme="majorHAnsi" w:hAnsiTheme="majorHAnsi" w:cstheme="majorHAnsi"/>
          <w:i/>
          <w:iCs/>
        </w:rPr>
        <w:t>120</w:t>
      </w:r>
      <w:r>
        <w:rPr>
          <w:rFonts w:asciiTheme="majorHAnsi" w:hAnsiTheme="majorHAnsi" w:cstheme="majorHAnsi"/>
        </w:rPr>
        <w:t xml:space="preserve">(4), 1–38. </w:t>
      </w:r>
      <w:hyperlink r:id="rId80" w:history="1">
        <w:r>
          <w:rPr>
            <w:rStyle w:val="Hyperlink"/>
            <w:rFonts w:asciiTheme="majorHAnsi" w:hAnsiTheme="majorHAnsi" w:cstheme="majorHAnsi"/>
          </w:rPr>
          <w:t>https://doi.org/10.1177/016146811812000407</w:t>
        </w:r>
      </w:hyperlink>
    </w:p>
    <w:p w14:paraId="5BAA26A1" w14:textId="77777777" w:rsidR="00864233"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 xml:space="preserve">Ungar, M. (2011). The social ecology of resilience: Addressing contextual and cultural ambiguity of a nascent construct. </w:t>
      </w:r>
      <w:r>
        <w:rPr>
          <w:rFonts w:asciiTheme="majorHAnsi" w:hAnsiTheme="majorHAnsi" w:cstheme="majorHAnsi"/>
          <w:i/>
          <w:iCs/>
        </w:rPr>
        <w:t>American Journal of Orthopsychiatry</w:t>
      </w:r>
      <w:r>
        <w:rPr>
          <w:rFonts w:asciiTheme="majorHAnsi" w:hAnsiTheme="majorHAnsi" w:cstheme="majorHAnsi"/>
        </w:rPr>
        <w:t xml:space="preserve">, </w:t>
      </w:r>
      <w:r>
        <w:rPr>
          <w:rFonts w:asciiTheme="majorHAnsi" w:hAnsiTheme="majorHAnsi" w:cstheme="majorHAnsi"/>
          <w:i/>
          <w:iCs/>
        </w:rPr>
        <w:t>81</w:t>
      </w:r>
      <w:r>
        <w:rPr>
          <w:rFonts w:asciiTheme="majorHAnsi" w:hAnsiTheme="majorHAnsi" w:cstheme="majorHAnsi"/>
        </w:rPr>
        <w:t xml:space="preserve">(1), 1–17. </w:t>
      </w:r>
      <w:hyperlink r:id="rId81">
        <w:r>
          <w:rPr>
            <w:rFonts w:asciiTheme="majorHAnsi" w:hAnsiTheme="majorHAnsi" w:cstheme="majorHAnsi"/>
            <w:color w:val="1155CC"/>
            <w:u w:val="single"/>
          </w:rPr>
          <w:t>https://doi.org/10.1111/j.1939-0025.2010.01067.x</w:t>
        </w:r>
      </w:hyperlink>
    </w:p>
    <w:p w14:paraId="7439B116" w14:textId="6ED0CF35" w:rsidR="00BD041A" w:rsidRDefault="00602BF5" w:rsidP="001B2966">
      <w:pPr>
        <w:spacing w:line="360" w:lineRule="auto"/>
        <w:ind w:left="720" w:hanging="720"/>
      </w:pPr>
      <w:r>
        <w:rPr>
          <w:rFonts w:asciiTheme="majorHAnsi" w:hAnsiTheme="majorHAnsi" w:cstheme="majorHAnsi"/>
        </w:rPr>
        <w:t xml:space="preserve">Ungar, M. (Ed.). (2012). </w:t>
      </w:r>
      <w:r>
        <w:rPr>
          <w:rFonts w:asciiTheme="majorHAnsi" w:hAnsiTheme="majorHAnsi" w:cstheme="majorHAnsi"/>
          <w:i/>
          <w:iCs/>
        </w:rPr>
        <w:t>The social ecology of resilience: A handbook of theory and practice</w:t>
      </w:r>
      <w:r>
        <w:rPr>
          <w:rFonts w:asciiTheme="majorHAnsi" w:hAnsiTheme="majorHAnsi" w:cstheme="majorHAnsi"/>
        </w:rPr>
        <w:t xml:space="preserve">. Springer. </w:t>
      </w:r>
      <w:hyperlink r:id="rId82">
        <w:r>
          <w:rPr>
            <w:rFonts w:asciiTheme="majorHAnsi" w:hAnsiTheme="majorHAnsi" w:cstheme="majorHAnsi"/>
            <w:color w:val="1155CC"/>
            <w:u w:val="single"/>
          </w:rPr>
          <w:t>https://doi.org/10.1007/978-1-4614-0586-3</w:t>
        </w:r>
      </w:hyperlink>
    </w:p>
    <w:p w14:paraId="2FC4A2D6" w14:textId="30A15B5F" w:rsidR="009B4B34" w:rsidRPr="00824E21" w:rsidRDefault="009B4B34" w:rsidP="001B2966">
      <w:pPr>
        <w:spacing w:line="360" w:lineRule="auto"/>
        <w:ind w:left="720" w:hanging="720"/>
        <w:rPr>
          <w:rFonts w:asciiTheme="majorHAnsi" w:hAnsiTheme="majorHAnsi" w:cstheme="majorHAnsi"/>
        </w:rPr>
      </w:pPr>
      <w:r>
        <w:rPr>
          <w:rFonts w:asciiTheme="majorHAnsi" w:hAnsiTheme="majorHAnsi" w:cstheme="majorHAnsi"/>
        </w:rPr>
        <w:t>U.S. Department of Education. (2025). Dear Colleague Letter on Title IX enforcement regarding gender identity. https://www.ed.gov/media/document/title-ix-enforcement-directive-dcl-109477.pdf</w:t>
      </w:r>
    </w:p>
    <w:p w14:paraId="7439B117" w14:textId="07285CB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Uwah, C. J., McMahon, H. G., &amp; Furlow, C. F. (2008). School belonging, educational aspirations, and academic self-efficacy among African American male high school students: Implications for school counselors. </w:t>
      </w:r>
      <w:r>
        <w:rPr>
          <w:rFonts w:asciiTheme="majorHAnsi" w:hAnsiTheme="majorHAnsi" w:cstheme="majorHAnsi"/>
          <w:i/>
          <w:iCs/>
        </w:rPr>
        <w:t>Professional School Counseling</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(5), 296–305. </w:t>
      </w:r>
      <w:hyperlink r:id="rId83" w:history="1">
        <w:r>
          <w:rPr>
            <w:rStyle w:val="Hyperlink"/>
            <w:rFonts w:asciiTheme="majorHAnsi" w:hAnsiTheme="majorHAnsi" w:cstheme="majorHAnsi"/>
          </w:rPr>
          <w:t>https://doi.org/10.1177/2156759x0801100503</w:t>
        </w:r>
      </w:hyperlink>
      <w:r>
        <w:rPr>
          <w:rFonts w:asciiTheme="majorHAnsi" w:hAnsiTheme="majorHAnsi" w:cstheme="majorHAnsi"/>
        </w:rPr>
        <w:t xml:space="preserve"> </w:t>
      </w:r>
    </w:p>
    <w:p w14:paraId="7439B118" w14:textId="1DB2312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Walton, G. M., &amp; Cohen, G. L. (2011). A brief social-belonging intervention improves academic and health outcomes of minority students. </w:t>
      </w:r>
      <w:r>
        <w:rPr>
          <w:rFonts w:asciiTheme="majorHAnsi" w:hAnsiTheme="majorHAnsi" w:cstheme="majorHAnsi"/>
          <w:i/>
          <w:iCs/>
        </w:rPr>
        <w:t>Science</w:t>
      </w:r>
      <w:r>
        <w:rPr>
          <w:rFonts w:asciiTheme="majorHAnsi" w:hAnsiTheme="majorHAnsi" w:cstheme="majorHAnsi"/>
        </w:rPr>
        <w:t>, </w:t>
      </w:r>
      <w:r>
        <w:rPr>
          <w:rFonts w:asciiTheme="majorHAnsi" w:hAnsiTheme="majorHAnsi" w:cstheme="majorHAnsi"/>
          <w:i/>
          <w:iCs/>
        </w:rPr>
        <w:t>331</w:t>
      </w:r>
      <w:r>
        <w:rPr>
          <w:rFonts w:asciiTheme="majorHAnsi" w:hAnsiTheme="majorHAnsi" w:cstheme="majorHAnsi"/>
        </w:rPr>
        <w:t xml:space="preserve">(6023), 1447–1451. </w:t>
      </w:r>
      <w:hyperlink r:id="rId84" w:history="1">
        <w:r>
          <w:rPr>
            <w:rStyle w:val="Hyperlink"/>
            <w:rFonts w:asciiTheme="majorHAnsi" w:hAnsiTheme="majorHAnsi" w:cstheme="majorHAnsi"/>
          </w:rPr>
          <w:t>https://doi.org/10.1126/science.1198364</w:t>
        </w:r>
      </w:hyperlink>
      <w:r>
        <w:rPr>
          <w:rFonts w:asciiTheme="majorHAnsi" w:hAnsiTheme="majorHAnsi" w:cstheme="majorHAnsi"/>
        </w:rPr>
        <w:t xml:space="preserve"> </w:t>
      </w:r>
    </w:p>
    <w:p w14:paraId="7439B119" w14:textId="2146EB7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Watson, R. J., Wheldon, C. W., &amp; Puhl, R. M. (2020). Evidence of diverse identities in a large national sample of sexual and gender minority adolescents.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30</w:t>
      </w:r>
      <w:r>
        <w:rPr>
          <w:rFonts w:asciiTheme="majorHAnsi" w:hAnsiTheme="majorHAnsi" w:cstheme="majorHAnsi"/>
        </w:rPr>
        <w:t xml:space="preserve">(S2), 431–442. </w:t>
      </w:r>
      <w:hyperlink r:id="rId85" w:history="1">
        <w:r>
          <w:rPr>
            <w:rStyle w:val="Hyperlink"/>
            <w:rFonts w:asciiTheme="majorHAnsi" w:hAnsiTheme="majorHAnsi" w:cstheme="majorHAnsi"/>
          </w:rPr>
          <w:t>https://doi.org/10.1111/jora.12488</w:t>
        </w:r>
      </w:hyperlink>
      <w:r>
        <w:rPr>
          <w:rFonts w:asciiTheme="majorHAnsi" w:hAnsiTheme="majorHAnsi" w:cstheme="majorHAnsi"/>
        </w:rPr>
        <w:t xml:space="preserve"> </w:t>
      </w:r>
    </w:p>
    <w:p w14:paraId="7439B11A" w14:textId="0C3492A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White, A. E., Moeller, J., Ivcevic, Z., &amp; Brackett, M. A. (2018). Gender identity and sexual identity labels used by US high school students: A co-occurrence network analysis. </w:t>
      </w:r>
      <w:r>
        <w:rPr>
          <w:rFonts w:asciiTheme="majorHAnsi" w:hAnsiTheme="majorHAnsi" w:cstheme="majorHAnsi"/>
          <w:i/>
          <w:iCs/>
        </w:rPr>
        <w:t>Psychology of Sexual Orientation and Gender Diversity</w:t>
      </w:r>
      <w:r>
        <w:rPr>
          <w:rFonts w:asciiTheme="majorHAnsi" w:hAnsiTheme="majorHAnsi" w:cstheme="majorHAnsi"/>
        </w:rPr>
        <w:t>, </w:t>
      </w:r>
      <w:r>
        <w:rPr>
          <w:rFonts w:asciiTheme="majorHAnsi" w:hAnsiTheme="majorHAnsi" w:cstheme="majorHAnsi"/>
          <w:i/>
          <w:iCs/>
        </w:rPr>
        <w:t>5</w:t>
      </w:r>
      <w:r>
        <w:rPr>
          <w:rFonts w:asciiTheme="majorHAnsi" w:hAnsiTheme="majorHAnsi" w:cstheme="majorHAnsi"/>
        </w:rPr>
        <w:t xml:space="preserve">(2), 243–252. </w:t>
      </w:r>
      <w:hyperlink r:id="rId86" w:history="1">
        <w:r>
          <w:rPr>
            <w:rStyle w:val="Hyperlink"/>
            <w:rFonts w:asciiTheme="majorHAnsi" w:hAnsiTheme="majorHAnsi" w:cstheme="majorHAnsi"/>
          </w:rPr>
          <w:t>https://doi.org/10.1037/ sgd0000266</w:t>
        </w:r>
      </w:hyperlink>
      <w:r>
        <w:rPr>
          <w:rFonts w:asciiTheme="majorHAnsi" w:hAnsiTheme="majorHAnsi" w:cstheme="majorHAnsi"/>
        </w:rPr>
        <w:t xml:space="preserve"> </w:t>
      </w:r>
    </w:p>
    <w:p w14:paraId="31993B3B" w14:textId="361E20C4" w:rsidR="00AA7AF1" w:rsidRPr="00824E21" w:rsidRDefault="00602BF5" w:rsidP="001B2966">
      <w:pPr>
        <w:spacing w:line="360" w:lineRule="auto"/>
        <w:ind w:left="720" w:hanging="720"/>
        <w:rPr>
          <w:rFonts w:asciiTheme="majorHAnsi" w:hAnsiTheme="majorHAnsi" w:cstheme="majorHAnsi"/>
        </w:rPr>
        <w:sectPr w:rsidR="00AA7AF1" w:rsidRPr="00824E21">
          <w:pgSz w:w="12240" w:h="15840"/>
          <w:pgMar w:top="1440" w:right="1440" w:bottom="1440" w:left="1440" w:header="720" w:footer="720" w:gutter="0"/>
          <w:cols w:space="720"/>
        </w:sectPr>
      </w:pPr>
      <w:r>
        <w:rPr>
          <w:rFonts w:asciiTheme="majorHAnsi" w:hAnsiTheme="majorHAnsi" w:cstheme="majorHAnsi"/>
        </w:rPr>
        <w:t>Wilkinson, L., Shifrer, D., &amp; Pearson, J. (2021). Educational outcomes of gender-diverse youth: A national population-based study. </w:t>
      </w:r>
      <w:r>
        <w:rPr>
          <w:rFonts w:asciiTheme="majorHAnsi" w:hAnsiTheme="majorHAnsi" w:cstheme="majorHAnsi"/>
          <w:i/>
          <w:iCs/>
        </w:rPr>
        <w:t>Gender &amp; Society</w:t>
      </w:r>
      <w:r>
        <w:rPr>
          <w:rFonts w:asciiTheme="majorHAnsi" w:hAnsiTheme="majorHAnsi" w:cstheme="majorHAnsi"/>
        </w:rPr>
        <w:t>, </w:t>
      </w:r>
      <w:r>
        <w:rPr>
          <w:rFonts w:asciiTheme="majorHAnsi" w:hAnsiTheme="majorHAnsi" w:cstheme="majorHAnsi"/>
          <w:i/>
          <w:iCs/>
        </w:rPr>
        <w:t>35</w:t>
      </w:r>
      <w:r>
        <w:rPr>
          <w:rFonts w:asciiTheme="majorHAnsi" w:hAnsiTheme="majorHAnsi" w:cstheme="majorHAnsi"/>
        </w:rPr>
        <w:t xml:space="preserve">(5), 806–837. </w:t>
      </w:r>
      <w:hyperlink r:id="rId87" w:history="1">
        <w:r>
          <w:rPr>
            <w:rStyle w:val="Hyperlink"/>
            <w:rFonts w:asciiTheme="majorHAnsi" w:hAnsiTheme="majorHAnsi" w:cstheme="majorHAnsi"/>
          </w:rPr>
          <w:t>https://doi.org/10.1177/08912432211038689</w:t>
        </w:r>
      </w:hyperlink>
      <w:r>
        <w:rPr>
          <w:rFonts w:asciiTheme="majorHAnsi" w:hAnsiTheme="majorHAnsi" w:cstheme="majorHAnsi"/>
        </w:rPr>
        <w:t xml:space="preserve"> </w:t>
      </w:r>
    </w:p>
    <w:p w14:paraId="4912CF21" w14:textId="3E448EE5" w:rsidR="00393D00" w:rsidRPr="00824E21" w:rsidRDefault="00602BF5" w:rsidP="001B2966">
      <w:pPr>
        <w:pStyle w:val="Heading1"/>
        <w:spacing w:before="0" w:after="0" w:line="360" w:lineRule="auto"/>
        <w:rPr>
          <w:rFonts w:asciiTheme="majorHAnsi" w:hAnsiTheme="majorHAnsi" w:cstheme="majorHAnsi"/>
          <w:b/>
          <w:bCs/>
          <w:sz w:val="24"/>
          <w:szCs w:val="24"/>
        </w:rPr>
      </w:pPr>
      <w:bookmarkStart w:id="88" w:name="_456isvu801a1" w:colFirst="0" w:colLast="0"/>
      <w:bookmarkEnd w:id="88"/>
      <w:r>
        <w:rPr>
          <w:rFonts w:asciiTheme="majorHAnsi" w:hAnsiTheme="majorHAnsi" w:cstheme="majorHAnsi"/>
          <w:b/>
          <w:bCs/>
          <w:sz w:val="24"/>
          <w:szCs w:val="24"/>
        </w:rPr>
        <w:lastRenderedPageBreak/>
        <w:t>Appendix A: Additional Demographics</w:t>
      </w:r>
    </w:p>
    <w:p w14:paraId="22268A3F" w14:textId="3DC06B04" w:rsidR="00393D00" w:rsidRPr="00824E21" w:rsidRDefault="00940701" w:rsidP="001B2966">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b/>
          <w:bCs/>
          <w:color w:val="000000"/>
        </w:rPr>
        <w:t>Table A1</w:t>
      </w:r>
      <w:r>
        <w:rPr>
          <w:rFonts w:asciiTheme="majorHAnsi" w:hAnsiTheme="majorHAnsi" w:cstheme="majorHAnsi"/>
          <w:b/>
          <w:bCs/>
          <w:color w:val="000000"/>
        </w:rPr>
        <w:br/>
      </w:r>
      <w:r>
        <w:rPr>
          <w:rFonts w:asciiTheme="majorHAnsi" w:hAnsiTheme="majorHAnsi" w:cstheme="majorHAnsi"/>
          <w:i/>
          <w:iCs/>
          <w:color w:val="000000"/>
        </w:rPr>
        <w:t xml:space="preserve">Gender Identity and Sexual Orientation </w:t>
      </w:r>
      <w:r>
        <w:rPr>
          <w:rFonts w:asciiTheme="majorHAnsi" w:hAnsiTheme="majorHAnsi" w:cstheme="majorHAnsi"/>
          <w:i/>
          <w:iCs/>
          <w:color w:val="000000"/>
          <w:lang w:val="en"/>
        </w:rPr>
        <w:t>(n = 7,462)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Participants, 2023</w:t>
      </w:r>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B621E1"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Sexual orientation categories</w:t>
            </w:r>
          </w:p>
        </w:tc>
      </w:tr>
      <w:tr w:rsidR="00393D00" w:rsidRPr="00B621E1" w14:paraId="74C6557D" w14:textId="77777777" w:rsidTr="0073266D">
        <w:trPr>
          <w:trHeight w:val="720"/>
        </w:trPr>
        <w:tc>
          <w:tcPr>
            <w:tcW w:w="993" w:type="pct"/>
            <w:vMerge/>
            <w:tcBorders>
              <w:top w:val="single" w:sz="6" w:space="0" w:color="000000"/>
            </w:tcBorders>
            <w:vAlign w:val="center"/>
            <w:hideMark/>
          </w:tcPr>
          <w:p w14:paraId="2D6DDBD3" w14:textId="77777777" w:rsidR="00393D00" w:rsidRPr="00824E21" w:rsidRDefault="00393D00" w:rsidP="00ED55AE">
            <w:pPr>
              <w:rPr>
                <w:rFonts w:asciiTheme="majorHAnsi" w:hAnsiTheme="majorHAnsi" w:cstheme="majorHAnsi"/>
                <w:sz w:val="20"/>
                <w:szCs w:val="20"/>
              </w:rPr>
            </w:pPr>
          </w:p>
        </w:tc>
        <w:tc>
          <w:tcPr>
            <w:tcW w:w="651" w:type="pct"/>
            <w:tcBorders>
              <w:top w:val="single" w:sz="6" w:space="0" w:color="000000"/>
              <w:left w:val="nil"/>
            </w:tcBorders>
            <w:tcMar>
              <w:top w:w="0" w:type="dxa"/>
              <w:left w:w="100" w:type="dxa"/>
              <w:bottom w:w="0" w:type="dxa"/>
              <w:right w:w="100" w:type="dxa"/>
            </w:tcMar>
            <w:vAlign w:val="center"/>
            <w:hideMark/>
          </w:tcPr>
          <w:p w14:paraId="7A71F342"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Straight/</w:t>
            </w:r>
          </w:p>
          <w:p w14:paraId="6A96FFC5" w14:textId="6E70DA4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heterosexual</w:t>
            </w:r>
          </w:p>
        </w:tc>
        <w:tc>
          <w:tcPr>
            <w:tcW w:w="548" w:type="pct"/>
            <w:tcBorders>
              <w:top w:val="single" w:sz="6" w:space="0" w:color="000000"/>
            </w:tcBorders>
            <w:tcMar>
              <w:top w:w="0" w:type="dxa"/>
              <w:left w:w="100" w:type="dxa"/>
              <w:bottom w:w="0" w:type="dxa"/>
              <w:right w:w="100" w:type="dxa"/>
            </w:tcMar>
            <w:vAlign w:val="center"/>
            <w:hideMark/>
          </w:tcPr>
          <w:p w14:paraId="3DDF2BC4"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Gay or lesbian</w:t>
            </w:r>
          </w:p>
        </w:tc>
        <w:tc>
          <w:tcPr>
            <w:tcW w:w="651" w:type="pct"/>
            <w:tcBorders>
              <w:top w:val="single" w:sz="6" w:space="0" w:color="000000"/>
            </w:tcBorders>
            <w:tcMar>
              <w:top w:w="0" w:type="dxa"/>
              <w:left w:w="100" w:type="dxa"/>
              <w:bottom w:w="0" w:type="dxa"/>
              <w:right w:w="100" w:type="dxa"/>
            </w:tcMar>
            <w:vAlign w:val="center"/>
            <w:hideMark/>
          </w:tcPr>
          <w:p w14:paraId="1D5F59E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Bisexual/</w:t>
            </w:r>
          </w:p>
          <w:p w14:paraId="6C5D5026"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pansexual/</w:t>
            </w:r>
          </w:p>
          <w:p w14:paraId="359EDA11" w14:textId="6E090DA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omnisexual</w:t>
            </w:r>
          </w:p>
        </w:tc>
        <w:tc>
          <w:tcPr>
            <w:tcW w:w="616" w:type="pct"/>
            <w:tcBorders>
              <w:top w:val="single" w:sz="6" w:space="0" w:color="000000"/>
            </w:tcBorders>
            <w:tcMar>
              <w:top w:w="0" w:type="dxa"/>
              <w:left w:w="100" w:type="dxa"/>
              <w:bottom w:w="0" w:type="dxa"/>
              <w:right w:w="100" w:type="dxa"/>
            </w:tcMar>
            <w:vAlign w:val="center"/>
            <w:hideMark/>
          </w:tcPr>
          <w:p w14:paraId="605E1B0F"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Asexual/</w:t>
            </w:r>
          </w:p>
          <w:p w14:paraId="77F0BB7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aromantic/</w:t>
            </w:r>
          </w:p>
          <w:p w14:paraId="2A208C2E" w14:textId="1540F48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demisexual</w:t>
            </w:r>
          </w:p>
        </w:tc>
        <w:tc>
          <w:tcPr>
            <w:tcW w:w="514" w:type="pct"/>
            <w:tcBorders>
              <w:top w:val="single" w:sz="6" w:space="0" w:color="000000"/>
            </w:tcBorders>
            <w:tcMar>
              <w:top w:w="0" w:type="dxa"/>
              <w:left w:w="100" w:type="dxa"/>
              <w:bottom w:w="0" w:type="dxa"/>
              <w:right w:w="100" w:type="dxa"/>
            </w:tcMar>
            <w:vAlign w:val="center"/>
            <w:hideMark/>
          </w:tcPr>
          <w:p w14:paraId="7C80A618"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Other/</w:t>
            </w:r>
          </w:p>
          <w:p w14:paraId="3DAE778F" w14:textId="6954FD27" w:rsidR="00393D00"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queer/</w:t>
            </w:r>
          </w:p>
          <w:p w14:paraId="692D814A"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questioning</w:t>
            </w:r>
          </w:p>
        </w:tc>
        <w:tc>
          <w:tcPr>
            <w:tcW w:w="582" w:type="pct"/>
            <w:tcBorders>
              <w:top w:val="single" w:sz="6" w:space="0" w:color="000000"/>
            </w:tcBorders>
            <w:tcMar>
              <w:top w:w="0" w:type="dxa"/>
              <w:left w:w="100" w:type="dxa"/>
              <w:bottom w:w="0" w:type="dxa"/>
              <w:right w:w="100" w:type="dxa"/>
            </w:tcMar>
            <w:vAlign w:val="center"/>
            <w:hideMark/>
          </w:tcPr>
          <w:p w14:paraId="11C5D3A5"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Prefer not to say</w:t>
            </w:r>
          </w:p>
        </w:tc>
        <w:tc>
          <w:tcPr>
            <w:tcW w:w="445" w:type="pct"/>
            <w:tcBorders>
              <w:top w:val="single" w:sz="6" w:space="0" w:color="000000"/>
            </w:tcBorders>
            <w:tcMar>
              <w:top w:w="0" w:type="dxa"/>
              <w:left w:w="100" w:type="dxa"/>
              <w:bottom w:w="0" w:type="dxa"/>
              <w:right w:w="100" w:type="dxa"/>
            </w:tcMar>
            <w:vAlign w:val="center"/>
            <w:hideMark/>
          </w:tcPr>
          <w:p w14:paraId="6D5519A9"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Total</w:t>
            </w:r>
          </w:p>
        </w:tc>
      </w:tr>
      <w:tr w:rsidR="00393D00" w:rsidRPr="00B621E1" w14:paraId="11A3DF1B" w14:textId="77777777" w:rsidTr="0073266D">
        <w:trPr>
          <w:trHeight w:val="255"/>
        </w:trPr>
        <w:tc>
          <w:tcPr>
            <w:tcW w:w="993" w:type="pct"/>
            <w:tcMar>
              <w:top w:w="0" w:type="dxa"/>
              <w:left w:w="100" w:type="dxa"/>
              <w:bottom w:w="0" w:type="dxa"/>
              <w:right w:w="100" w:type="dxa"/>
            </w:tcMar>
            <w:vAlign w:val="center"/>
            <w:hideMark/>
          </w:tcPr>
          <w:p w14:paraId="77CA883B"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man</w:t>
            </w:r>
          </w:p>
        </w:tc>
        <w:tc>
          <w:tcPr>
            <w:tcW w:w="651" w:type="pct"/>
            <w:tcBorders>
              <w:left w:val="nil"/>
            </w:tcBorders>
            <w:tcMar>
              <w:top w:w="0" w:type="dxa"/>
              <w:left w:w="100" w:type="dxa"/>
              <w:bottom w:w="0" w:type="dxa"/>
              <w:right w:w="100" w:type="dxa"/>
            </w:tcMar>
            <w:vAlign w:val="center"/>
            <w:hideMark/>
          </w:tcPr>
          <w:p w14:paraId="2FD927F6" w14:textId="475D818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85.0</w:t>
            </w:r>
          </w:p>
        </w:tc>
        <w:tc>
          <w:tcPr>
            <w:tcW w:w="548" w:type="pct"/>
            <w:tcMar>
              <w:top w:w="0" w:type="dxa"/>
              <w:left w:w="100" w:type="dxa"/>
              <w:bottom w:w="0" w:type="dxa"/>
              <w:right w:w="100" w:type="dxa"/>
            </w:tcMar>
            <w:vAlign w:val="center"/>
            <w:hideMark/>
          </w:tcPr>
          <w:p w14:paraId="38DECAD4" w14:textId="693DE5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w:t>
            </w:r>
          </w:p>
        </w:tc>
        <w:tc>
          <w:tcPr>
            <w:tcW w:w="651" w:type="pct"/>
            <w:tcMar>
              <w:top w:w="0" w:type="dxa"/>
              <w:left w:w="100" w:type="dxa"/>
              <w:bottom w:w="0" w:type="dxa"/>
              <w:right w:w="100" w:type="dxa"/>
            </w:tcMar>
            <w:vAlign w:val="center"/>
            <w:hideMark/>
          </w:tcPr>
          <w:p w14:paraId="56180546" w14:textId="06940C4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5.1</w:t>
            </w:r>
          </w:p>
        </w:tc>
        <w:tc>
          <w:tcPr>
            <w:tcW w:w="616" w:type="pct"/>
            <w:tcMar>
              <w:top w:w="0" w:type="dxa"/>
              <w:left w:w="100" w:type="dxa"/>
              <w:bottom w:w="0" w:type="dxa"/>
              <w:right w:w="100" w:type="dxa"/>
            </w:tcMar>
            <w:vAlign w:val="center"/>
            <w:hideMark/>
          </w:tcPr>
          <w:p w14:paraId="728F3B99" w14:textId="78A7D92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0.8</w:t>
            </w:r>
          </w:p>
        </w:tc>
        <w:tc>
          <w:tcPr>
            <w:tcW w:w="514" w:type="pct"/>
            <w:tcMar>
              <w:top w:w="0" w:type="dxa"/>
              <w:left w:w="100" w:type="dxa"/>
              <w:bottom w:w="0" w:type="dxa"/>
              <w:right w:w="100" w:type="dxa"/>
            </w:tcMar>
            <w:vAlign w:val="center"/>
            <w:hideMark/>
          </w:tcPr>
          <w:p w14:paraId="7BEE4F5E" w14:textId="5A43AE4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c>
          <w:tcPr>
            <w:tcW w:w="582" w:type="pct"/>
            <w:tcMar>
              <w:top w:w="0" w:type="dxa"/>
              <w:left w:w="100" w:type="dxa"/>
              <w:bottom w:w="0" w:type="dxa"/>
              <w:right w:w="100" w:type="dxa"/>
            </w:tcMar>
            <w:vAlign w:val="center"/>
            <w:hideMark/>
          </w:tcPr>
          <w:p w14:paraId="0067D3D8" w14:textId="71828BB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4.5</w:t>
            </w:r>
          </w:p>
        </w:tc>
        <w:tc>
          <w:tcPr>
            <w:tcW w:w="445" w:type="pct"/>
            <w:tcMar>
              <w:top w:w="0" w:type="dxa"/>
              <w:left w:w="100" w:type="dxa"/>
              <w:bottom w:w="0" w:type="dxa"/>
              <w:right w:w="100" w:type="dxa"/>
            </w:tcMar>
            <w:vAlign w:val="center"/>
            <w:hideMark/>
          </w:tcPr>
          <w:p w14:paraId="2A36C157" w14:textId="38372A8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37681DB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68.0</w:t>
            </w:r>
          </w:p>
        </w:tc>
        <w:tc>
          <w:tcPr>
            <w:tcW w:w="548" w:type="pct"/>
            <w:tcMar>
              <w:top w:w="0" w:type="dxa"/>
              <w:left w:w="100" w:type="dxa"/>
              <w:bottom w:w="0" w:type="dxa"/>
              <w:right w:w="100" w:type="dxa"/>
            </w:tcMar>
            <w:vAlign w:val="center"/>
            <w:hideMark/>
          </w:tcPr>
          <w:p w14:paraId="7DD84E99" w14:textId="3049D68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3.0</w:t>
            </w:r>
          </w:p>
        </w:tc>
        <w:tc>
          <w:tcPr>
            <w:tcW w:w="651" w:type="pct"/>
            <w:tcMar>
              <w:top w:w="0" w:type="dxa"/>
              <w:left w:w="100" w:type="dxa"/>
              <w:bottom w:w="0" w:type="dxa"/>
              <w:right w:w="100" w:type="dxa"/>
            </w:tcMar>
            <w:vAlign w:val="center"/>
            <w:hideMark/>
          </w:tcPr>
          <w:p w14:paraId="6E4C517E" w14:textId="1BB8682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17.9</w:t>
            </w:r>
          </w:p>
        </w:tc>
        <w:tc>
          <w:tcPr>
            <w:tcW w:w="616" w:type="pct"/>
            <w:tcMar>
              <w:top w:w="0" w:type="dxa"/>
              <w:left w:w="100" w:type="dxa"/>
              <w:bottom w:w="0" w:type="dxa"/>
              <w:right w:w="100" w:type="dxa"/>
            </w:tcMar>
            <w:vAlign w:val="center"/>
            <w:hideMark/>
          </w:tcPr>
          <w:p w14:paraId="00DF5007" w14:textId="0C7FF82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2.3</w:t>
            </w:r>
          </w:p>
        </w:tc>
        <w:tc>
          <w:tcPr>
            <w:tcW w:w="514" w:type="pct"/>
            <w:tcMar>
              <w:top w:w="0" w:type="dxa"/>
              <w:left w:w="100" w:type="dxa"/>
              <w:bottom w:w="0" w:type="dxa"/>
              <w:right w:w="100" w:type="dxa"/>
            </w:tcMar>
            <w:vAlign w:val="center"/>
            <w:hideMark/>
          </w:tcPr>
          <w:p w14:paraId="120DDCC2" w14:textId="245FF08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w:t>
            </w:r>
          </w:p>
        </w:tc>
        <w:tc>
          <w:tcPr>
            <w:tcW w:w="582" w:type="pct"/>
            <w:tcMar>
              <w:top w:w="0" w:type="dxa"/>
              <w:left w:w="100" w:type="dxa"/>
              <w:bottom w:w="0" w:type="dxa"/>
              <w:right w:w="100" w:type="dxa"/>
            </w:tcMar>
            <w:vAlign w:val="center"/>
            <w:hideMark/>
          </w:tcPr>
          <w:p w14:paraId="38DACB81" w14:textId="0F9AFDE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7.3</w:t>
            </w:r>
          </w:p>
        </w:tc>
        <w:tc>
          <w:tcPr>
            <w:tcW w:w="445" w:type="pct"/>
            <w:tcMar>
              <w:top w:w="0" w:type="dxa"/>
              <w:left w:w="100" w:type="dxa"/>
              <w:bottom w:w="0" w:type="dxa"/>
              <w:right w:w="100" w:type="dxa"/>
            </w:tcMar>
            <w:vAlign w:val="center"/>
            <w:hideMark/>
          </w:tcPr>
          <w:p w14:paraId="3CBDEEB7" w14:textId="480C3E3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18BCC5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48" w:type="pct"/>
            <w:tcMar>
              <w:top w:w="0" w:type="dxa"/>
              <w:left w:w="100" w:type="dxa"/>
              <w:bottom w:w="0" w:type="dxa"/>
              <w:right w:w="100" w:type="dxa"/>
            </w:tcMar>
            <w:vAlign w:val="center"/>
            <w:hideMark/>
          </w:tcPr>
          <w:p w14:paraId="2DA84E3C" w14:textId="1CFF73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51" w:type="pct"/>
            <w:tcMar>
              <w:top w:w="0" w:type="dxa"/>
              <w:left w:w="100" w:type="dxa"/>
              <w:bottom w:w="0" w:type="dxa"/>
              <w:right w:w="100" w:type="dxa"/>
            </w:tcMar>
            <w:vAlign w:val="center"/>
            <w:hideMark/>
          </w:tcPr>
          <w:p w14:paraId="2CCE2791" w14:textId="0F11C6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16" w:type="pct"/>
            <w:tcMar>
              <w:top w:w="0" w:type="dxa"/>
              <w:left w:w="100" w:type="dxa"/>
              <w:bottom w:w="0" w:type="dxa"/>
              <w:right w:w="100" w:type="dxa"/>
            </w:tcMar>
            <w:vAlign w:val="center"/>
            <w:hideMark/>
          </w:tcPr>
          <w:p w14:paraId="7BD0C25C" w14:textId="380331D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14" w:type="pct"/>
            <w:tcMar>
              <w:top w:w="0" w:type="dxa"/>
              <w:left w:w="100" w:type="dxa"/>
              <w:bottom w:w="0" w:type="dxa"/>
              <w:right w:w="100" w:type="dxa"/>
            </w:tcMar>
            <w:vAlign w:val="center"/>
            <w:hideMark/>
          </w:tcPr>
          <w:p w14:paraId="12BD37B7" w14:textId="6D9B900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12.1</w:t>
            </w:r>
          </w:p>
        </w:tc>
        <w:tc>
          <w:tcPr>
            <w:tcW w:w="582" w:type="pct"/>
            <w:tcMar>
              <w:top w:w="0" w:type="dxa"/>
              <w:left w:w="100" w:type="dxa"/>
              <w:bottom w:w="0" w:type="dxa"/>
              <w:right w:w="100" w:type="dxa"/>
            </w:tcMar>
            <w:vAlign w:val="center"/>
            <w:hideMark/>
          </w:tcPr>
          <w:p w14:paraId="000F175D" w14:textId="03F1E3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8.6</w:t>
            </w:r>
          </w:p>
        </w:tc>
        <w:tc>
          <w:tcPr>
            <w:tcW w:w="445" w:type="pct"/>
            <w:tcMar>
              <w:top w:w="0" w:type="dxa"/>
              <w:left w:w="100" w:type="dxa"/>
              <w:bottom w:w="0" w:type="dxa"/>
              <w:right w:w="100" w:type="dxa"/>
            </w:tcMar>
            <w:vAlign w:val="center"/>
            <w:hideMark/>
          </w:tcPr>
          <w:p w14:paraId="5E0000E2" w14:textId="71BBB41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48F8A0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20.0</w:t>
            </w:r>
          </w:p>
        </w:tc>
        <w:tc>
          <w:tcPr>
            <w:tcW w:w="548" w:type="pct"/>
            <w:tcMar>
              <w:top w:w="0" w:type="dxa"/>
              <w:left w:w="100" w:type="dxa"/>
              <w:bottom w:w="0" w:type="dxa"/>
              <w:right w:w="100" w:type="dxa"/>
            </w:tcMar>
            <w:vAlign w:val="center"/>
            <w:hideMark/>
          </w:tcPr>
          <w:p w14:paraId="5D8C9269" w14:textId="05393A9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40.0</w:t>
            </w:r>
          </w:p>
        </w:tc>
        <w:tc>
          <w:tcPr>
            <w:tcW w:w="651" w:type="pct"/>
            <w:tcMar>
              <w:top w:w="0" w:type="dxa"/>
              <w:left w:w="100" w:type="dxa"/>
              <w:bottom w:w="0" w:type="dxa"/>
              <w:right w:w="100" w:type="dxa"/>
            </w:tcMar>
            <w:vAlign w:val="center"/>
            <w:hideMark/>
          </w:tcPr>
          <w:p w14:paraId="74D9B7A8" w14:textId="7F8A2EC3"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25.0</w:t>
            </w:r>
          </w:p>
        </w:tc>
        <w:tc>
          <w:tcPr>
            <w:tcW w:w="616" w:type="pct"/>
            <w:tcMar>
              <w:top w:w="0" w:type="dxa"/>
              <w:left w:w="100" w:type="dxa"/>
              <w:bottom w:w="0" w:type="dxa"/>
              <w:right w:w="100" w:type="dxa"/>
            </w:tcMar>
            <w:vAlign w:val="center"/>
            <w:hideMark/>
          </w:tcPr>
          <w:p w14:paraId="5F67AF5A" w14:textId="7330E2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w:t>
            </w:r>
          </w:p>
        </w:tc>
        <w:tc>
          <w:tcPr>
            <w:tcW w:w="514" w:type="pct"/>
            <w:tcMar>
              <w:top w:w="0" w:type="dxa"/>
              <w:left w:w="100" w:type="dxa"/>
              <w:bottom w:w="0" w:type="dxa"/>
              <w:right w:w="100" w:type="dxa"/>
            </w:tcMar>
            <w:vAlign w:val="center"/>
            <w:hideMark/>
          </w:tcPr>
          <w:p w14:paraId="27BEEB2F" w14:textId="3572203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582" w:type="pct"/>
            <w:tcMar>
              <w:top w:w="0" w:type="dxa"/>
              <w:left w:w="100" w:type="dxa"/>
              <w:bottom w:w="0" w:type="dxa"/>
              <w:right w:w="100" w:type="dxa"/>
            </w:tcMar>
            <w:vAlign w:val="center"/>
            <w:hideMark/>
          </w:tcPr>
          <w:p w14:paraId="62513B98" w14:textId="764A91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w:t>
            </w:r>
          </w:p>
        </w:tc>
        <w:tc>
          <w:tcPr>
            <w:tcW w:w="445" w:type="pct"/>
            <w:tcMar>
              <w:top w:w="0" w:type="dxa"/>
              <w:left w:w="100" w:type="dxa"/>
              <w:bottom w:w="0" w:type="dxa"/>
              <w:right w:w="100" w:type="dxa"/>
            </w:tcMar>
            <w:vAlign w:val="center"/>
            <w:hideMark/>
          </w:tcPr>
          <w:p w14:paraId="61682808" w14:textId="25C0C6E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6F9BF68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1.9</w:t>
            </w:r>
          </w:p>
        </w:tc>
        <w:tc>
          <w:tcPr>
            <w:tcW w:w="548" w:type="pct"/>
            <w:tcMar>
              <w:top w:w="0" w:type="dxa"/>
              <w:left w:w="100" w:type="dxa"/>
              <w:bottom w:w="0" w:type="dxa"/>
              <w:right w:w="100" w:type="dxa"/>
            </w:tcMar>
            <w:vAlign w:val="center"/>
            <w:hideMark/>
          </w:tcPr>
          <w:p w14:paraId="3F2F89E5" w14:textId="4D4D1B4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651" w:type="pct"/>
            <w:tcMar>
              <w:top w:w="0" w:type="dxa"/>
              <w:left w:w="100" w:type="dxa"/>
              <w:bottom w:w="0" w:type="dxa"/>
              <w:right w:w="100" w:type="dxa"/>
            </w:tcMar>
            <w:vAlign w:val="center"/>
            <w:hideMark/>
          </w:tcPr>
          <w:p w14:paraId="1DC9E2D8" w14:textId="221CD0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50.2</w:t>
            </w:r>
          </w:p>
        </w:tc>
        <w:tc>
          <w:tcPr>
            <w:tcW w:w="616" w:type="pct"/>
            <w:tcMar>
              <w:top w:w="0" w:type="dxa"/>
              <w:left w:w="100" w:type="dxa"/>
              <w:bottom w:w="0" w:type="dxa"/>
              <w:right w:w="100" w:type="dxa"/>
            </w:tcMar>
            <w:vAlign w:val="center"/>
            <w:hideMark/>
          </w:tcPr>
          <w:p w14:paraId="65104B56" w14:textId="4689102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13.4</w:t>
            </w:r>
          </w:p>
        </w:tc>
        <w:tc>
          <w:tcPr>
            <w:tcW w:w="514" w:type="pct"/>
            <w:tcMar>
              <w:top w:w="0" w:type="dxa"/>
              <w:left w:w="100" w:type="dxa"/>
              <w:bottom w:w="0" w:type="dxa"/>
              <w:right w:w="100" w:type="dxa"/>
            </w:tcMar>
            <w:vAlign w:val="center"/>
            <w:hideMark/>
          </w:tcPr>
          <w:p w14:paraId="3D271E66" w14:textId="133CCCF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9.6</w:t>
            </w:r>
          </w:p>
        </w:tc>
        <w:tc>
          <w:tcPr>
            <w:tcW w:w="582" w:type="pct"/>
            <w:tcMar>
              <w:top w:w="0" w:type="dxa"/>
              <w:left w:w="100" w:type="dxa"/>
              <w:bottom w:w="0" w:type="dxa"/>
              <w:right w:w="100" w:type="dxa"/>
            </w:tcMar>
            <w:vAlign w:val="center"/>
            <w:hideMark/>
          </w:tcPr>
          <w:p w14:paraId="20C60812" w14:textId="1E9090D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6.1</w:t>
            </w:r>
          </w:p>
        </w:tc>
        <w:tc>
          <w:tcPr>
            <w:tcW w:w="445" w:type="pct"/>
            <w:tcMar>
              <w:top w:w="0" w:type="dxa"/>
              <w:left w:w="100" w:type="dxa"/>
              <w:bottom w:w="0" w:type="dxa"/>
              <w:right w:w="100" w:type="dxa"/>
            </w:tcMar>
            <w:vAlign w:val="center"/>
            <w:hideMark/>
          </w:tcPr>
          <w:p w14:paraId="68306C49" w14:textId="2B11C29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DE98CF4" w14:textId="77777777" w:rsidTr="0073266D">
        <w:tc>
          <w:tcPr>
            <w:tcW w:w="993" w:type="pct"/>
            <w:tcMar>
              <w:top w:w="0" w:type="dxa"/>
              <w:left w:w="100" w:type="dxa"/>
              <w:bottom w:w="0" w:type="dxa"/>
              <w:right w:w="100" w:type="dxa"/>
            </w:tcMar>
            <w:vAlign w:val="center"/>
            <w:hideMark/>
          </w:tcPr>
          <w:p w14:paraId="1D75DDD8"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63636BC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2.9</w:t>
            </w:r>
          </w:p>
        </w:tc>
        <w:tc>
          <w:tcPr>
            <w:tcW w:w="548" w:type="pct"/>
            <w:tcMar>
              <w:top w:w="0" w:type="dxa"/>
              <w:left w:w="100" w:type="dxa"/>
              <w:bottom w:w="0" w:type="dxa"/>
              <w:right w:w="100" w:type="dxa"/>
            </w:tcMar>
            <w:vAlign w:val="center"/>
            <w:hideMark/>
          </w:tcPr>
          <w:p w14:paraId="377B7D0A" w14:textId="7829B4D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13.0</w:t>
            </w:r>
          </w:p>
        </w:tc>
        <w:tc>
          <w:tcPr>
            <w:tcW w:w="651" w:type="pct"/>
            <w:tcMar>
              <w:top w:w="0" w:type="dxa"/>
              <w:left w:w="100" w:type="dxa"/>
              <w:bottom w:w="0" w:type="dxa"/>
              <w:right w:w="100" w:type="dxa"/>
            </w:tcMar>
            <w:vAlign w:val="center"/>
            <w:hideMark/>
          </w:tcPr>
          <w:p w14:paraId="1778B4EA" w14:textId="730B5AE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50.7</w:t>
            </w:r>
          </w:p>
        </w:tc>
        <w:tc>
          <w:tcPr>
            <w:tcW w:w="616" w:type="pct"/>
            <w:tcMar>
              <w:top w:w="0" w:type="dxa"/>
              <w:left w:w="100" w:type="dxa"/>
              <w:bottom w:w="0" w:type="dxa"/>
              <w:right w:w="100" w:type="dxa"/>
            </w:tcMar>
            <w:vAlign w:val="center"/>
            <w:hideMark/>
          </w:tcPr>
          <w:p w14:paraId="0CC1250A" w14:textId="15AAE54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14.5</w:t>
            </w:r>
          </w:p>
        </w:tc>
        <w:tc>
          <w:tcPr>
            <w:tcW w:w="514" w:type="pct"/>
            <w:tcMar>
              <w:top w:w="0" w:type="dxa"/>
              <w:left w:w="100" w:type="dxa"/>
              <w:bottom w:w="0" w:type="dxa"/>
              <w:right w:w="100" w:type="dxa"/>
            </w:tcMar>
            <w:vAlign w:val="center"/>
            <w:hideMark/>
          </w:tcPr>
          <w:p w14:paraId="68B6B4AA" w14:textId="582A7F6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582" w:type="pct"/>
            <w:tcMar>
              <w:top w:w="0" w:type="dxa"/>
              <w:left w:w="100" w:type="dxa"/>
              <w:bottom w:w="0" w:type="dxa"/>
              <w:right w:w="100" w:type="dxa"/>
            </w:tcMar>
            <w:vAlign w:val="center"/>
            <w:hideMark/>
          </w:tcPr>
          <w:p w14:paraId="443DDB43" w14:textId="71675F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445" w:type="pct"/>
            <w:tcMar>
              <w:top w:w="0" w:type="dxa"/>
              <w:left w:w="100" w:type="dxa"/>
              <w:bottom w:w="0" w:type="dxa"/>
              <w:right w:w="100" w:type="dxa"/>
            </w:tcMar>
            <w:vAlign w:val="center"/>
            <w:hideMark/>
          </w:tcPr>
          <w:p w14:paraId="14117CB3" w14:textId="25DAACF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5129D51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7.9</w:t>
            </w:r>
          </w:p>
        </w:tc>
        <w:tc>
          <w:tcPr>
            <w:tcW w:w="548" w:type="pct"/>
            <w:tcBorders>
              <w:bottom w:val="single" w:sz="6" w:space="0" w:color="000000"/>
            </w:tcBorders>
            <w:tcMar>
              <w:top w:w="0" w:type="dxa"/>
              <w:left w:w="100" w:type="dxa"/>
              <w:bottom w:w="0" w:type="dxa"/>
              <w:right w:w="100" w:type="dxa"/>
            </w:tcMar>
            <w:vAlign w:val="center"/>
            <w:hideMark/>
          </w:tcPr>
          <w:p w14:paraId="1E75B11E" w14:textId="4CE0EC5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6.5</w:t>
            </w:r>
          </w:p>
        </w:tc>
        <w:tc>
          <w:tcPr>
            <w:tcW w:w="651" w:type="pct"/>
            <w:tcBorders>
              <w:bottom w:val="single" w:sz="6" w:space="0" w:color="000000"/>
            </w:tcBorders>
            <w:tcMar>
              <w:top w:w="0" w:type="dxa"/>
              <w:left w:w="100" w:type="dxa"/>
              <w:bottom w:w="0" w:type="dxa"/>
              <w:right w:w="100" w:type="dxa"/>
            </w:tcMar>
            <w:vAlign w:val="center"/>
            <w:hideMark/>
          </w:tcPr>
          <w:p w14:paraId="24188FB6" w14:textId="6BD85BD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33.1</w:t>
            </w:r>
          </w:p>
        </w:tc>
        <w:tc>
          <w:tcPr>
            <w:tcW w:w="616" w:type="pct"/>
            <w:tcBorders>
              <w:bottom w:val="single" w:sz="6" w:space="0" w:color="000000"/>
            </w:tcBorders>
            <w:tcMar>
              <w:top w:w="0" w:type="dxa"/>
              <w:left w:w="100" w:type="dxa"/>
              <w:bottom w:w="0" w:type="dxa"/>
              <w:right w:w="100" w:type="dxa"/>
            </w:tcMar>
            <w:vAlign w:val="center"/>
            <w:hideMark/>
          </w:tcPr>
          <w:p w14:paraId="5D4DFB5A" w14:textId="664724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10.1</w:t>
            </w:r>
          </w:p>
        </w:tc>
        <w:tc>
          <w:tcPr>
            <w:tcW w:w="514" w:type="pct"/>
            <w:tcBorders>
              <w:bottom w:val="single" w:sz="6" w:space="0" w:color="000000"/>
            </w:tcBorders>
            <w:tcMar>
              <w:top w:w="0" w:type="dxa"/>
              <w:left w:w="100" w:type="dxa"/>
              <w:bottom w:w="0" w:type="dxa"/>
              <w:right w:w="100" w:type="dxa"/>
            </w:tcMar>
            <w:vAlign w:val="center"/>
            <w:hideMark/>
          </w:tcPr>
          <w:p w14:paraId="13B09B6B" w14:textId="5261C88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4.3</w:t>
            </w:r>
          </w:p>
        </w:tc>
        <w:tc>
          <w:tcPr>
            <w:tcW w:w="582" w:type="pct"/>
            <w:tcBorders>
              <w:bottom w:val="single" w:sz="6" w:space="0" w:color="000000"/>
            </w:tcBorders>
            <w:tcMar>
              <w:top w:w="0" w:type="dxa"/>
              <w:left w:w="100" w:type="dxa"/>
              <w:bottom w:w="0" w:type="dxa"/>
              <w:right w:w="100" w:type="dxa"/>
            </w:tcMar>
            <w:vAlign w:val="center"/>
            <w:hideMark/>
          </w:tcPr>
          <w:p w14:paraId="794704AD" w14:textId="0C56069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38.1</w:t>
            </w:r>
          </w:p>
        </w:tc>
        <w:tc>
          <w:tcPr>
            <w:tcW w:w="445" w:type="pct"/>
            <w:tcBorders>
              <w:bottom w:val="single" w:sz="6" w:space="0" w:color="000000"/>
            </w:tcBorders>
            <w:tcMar>
              <w:top w:w="0" w:type="dxa"/>
              <w:left w:w="100" w:type="dxa"/>
              <w:bottom w:w="0" w:type="dxa"/>
              <w:right w:w="100" w:type="dxa"/>
            </w:tcMar>
            <w:vAlign w:val="center"/>
            <w:hideMark/>
          </w:tcPr>
          <w:p w14:paraId="348B5284" w14:textId="5B47566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5ACB54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456F3E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4.4</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57C498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15.2</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2C18EA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2.4</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52F6E28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645CF80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5DA444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bl>
    <w:p w14:paraId="0C5337B2" w14:textId="78F7741D" w:rsidR="00BD3767" w:rsidRPr="00824E21" w:rsidRDefault="00393D00" w:rsidP="001B2966">
      <w:pPr>
        <w:spacing w:line="360" w:lineRule="auto"/>
        <w:rPr>
          <w:rFonts w:asciiTheme="majorHAnsi" w:hAnsiTheme="majorHAnsi" w:cstheme="majorHAnsi"/>
          <w:b/>
          <w:bCs/>
        </w:rPr>
        <w:sectPr w:rsidR="00BD3767" w:rsidRPr="00824E21" w:rsidSect="00BD3767">
          <w:pgSz w:w="15840" w:h="12240" w:orient="landscape"/>
          <w:pgMar w:top="1440" w:right="1440" w:bottom="1440" w:left="1440" w:header="720" w:footer="720" w:gutter="0"/>
          <w:cols w:space="720"/>
          <w:docGrid w:linePitch="326"/>
        </w:sect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Each cell represents row percentages—that is, the percentage of students within each gender category of the corresponding sexual orientation.</w:t>
      </w:r>
    </w:p>
    <w:p w14:paraId="27CE5226" w14:textId="008E30BA" w:rsidR="005111F0" w:rsidRPr="00824E2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Table A2</w:t>
      </w:r>
    </w:p>
    <w:p w14:paraId="7439B11F" w14:textId="312D815A" w:rsidR="00BD041A" w:rsidRPr="00824E21" w:rsidRDefault="00EC2BD2" w:rsidP="00ED55AE">
      <w:pPr>
        <w:spacing w:line="360" w:lineRule="auto"/>
        <w:rPr>
          <w:rFonts w:asciiTheme="majorHAnsi" w:hAnsiTheme="majorHAnsi" w:cstheme="majorHAnsi"/>
        </w:rPr>
      </w:pPr>
      <w:r>
        <w:rPr>
          <w:rFonts w:asciiTheme="majorHAnsi" w:hAnsiTheme="majorHAnsi" w:cstheme="majorHAnsi"/>
          <w:i/>
          <w:iCs/>
        </w:rPr>
        <w:t>Demographic Characteristics of California Students Enrolled in 12</w:t>
      </w:r>
      <w:r>
        <w:rPr>
          <w:rFonts w:asciiTheme="majorHAnsi" w:hAnsiTheme="majorHAnsi" w:cstheme="majorHAnsi"/>
          <w:i/>
          <w:iCs/>
          <w:vertAlign w:val="superscript"/>
        </w:rPr>
        <w:t>th</w:t>
      </w:r>
      <w:r>
        <w:rPr>
          <w:rFonts w:asciiTheme="majorHAnsi" w:hAnsiTheme="majorHAnsi" w:cstheme="majorHAnsi"/>
          <w:i/>
          <w:iCs/>
        </w:rPr>
        <w:t xml:space="preserve"> Grade in the 2022-2023 Academic Year </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B621E1"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1463E5F" w:rsidR="00BD041A" w:rsidRPr="00824E21" w:rsidRDefault="00AC2DF1" w:rsidP="0073266D">
            <w:pPr>
              <w:widowControl w:val="0"/>
              <w:jc w:val="center"/>
              <w:rPr>
                <w:rFonts w:asciiTheme="majorHAnsi" w:hAnsiTheme="majorHAnsi" w:cstheme="majorHAnsi"/>
                <w:sz w:val="20"/>
                <w:szCs w:val="20"/>
              </w:rPr>
            </w:pPr>
            <w:r>
              <w:rPr>
                <w:rFonts w:asciiTheme="majorHAnsi" w:hAnsiTheme="majorHAnsi" w:cstheme="majorHAnsi"/>
                <w:sz w:val="20"/>
                <w:szCs w:val="20"/>
              </w:rPr>
              <w:t>n</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Percent</w:t>
            </w:r>
          </w:p>
        </w:tc>
      </w:tr>
      <w:tr w:rsidR="00BD041A" w:rsidRPr="00B621E1" w14:paraId="7439B127" w14:textId="77777777" w:rsidTr="0073266D">
        <w:trPr>
          <w:trHeight w:val="315"/>
        </w:trPr>
        <w:tc>
          <w:tcPr>
            <w:tcW w:w="2980" w:type="pct"/>
            <w:tcMar>
              <w:top w:w="0" w:type="dxa"/>
              <w:left w:w="100" w:type="dxa"/>
              <w:bottom w:w="0" w:type="dxa"/>
              <w:right w:w="100" w:type="dxa"/>
            </w:tcMar>
            <w:vAlign w:val="center"/>
          </w:tcPr>
          <w:p w14:paraId="7439B124" w14:textId="77777777"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A: Race/Ethnicity</w:t>
            </w:r>
          </w:p>
        </w:tc>
        <w:tc>
          <w:tcPr>
            <w:tcW w:w="1010" w:type="pct"/>
            <w:tcMar>
              <w:top w:w="0" w:type="dxa"/>
              <w:left w:w="100" w:type="dxa"/>
              <w:bottom w:w="0" w:type="dxa"/>
              <w:right w:w="100" w:type="dxa"/>
            </w:tcMar>
            <w:vAlign w:val="center"/>
          </w:tcPr>
          <w:p w14:paraId="7439B125"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2B" w14:textId="77777777" w:rsidTr="0073266D">
        <w:trPr>
          <w:trHeight w:val="315"/>
        </w:trPr>
        <w:tc>
          <w:tcPr>
            <w:tcW w:w="2980" w:type="pct"/>
            <w:tcMar>
              <w:top w:w="0" w:type="dxa"/>
              <w:left w:w="100" w:type="dxa"/>
              <w:bottom w:w="0" w:type="dxa"/>
              <w:right w:w="100" w:type="dxa"/>
            </w:tcMar>
            <w:vAlign w:val="center"/>
          </w:tcPr>
          <w:p w14:paraId="7439B12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2F" w14:textId="77777777" w:rsidTr="0073266D">
        <w:trPr>
          <w:trHeight w:val="315"/>
        </w:trPr>
        <w:tc>
          <w:tcPr>
            <w:tcW w:w="2980" w:type="pct"/>
            <w:tcMar>
              <w:top w:w="0" w:type="dxa"/>
              <w:left w:w="100" w:type="dxa"/>
              <w:bottom w:w="0" w:type="dxa"/>
              <w:right w:w="100" w:type="dxa"/>
            </w:tcMar>
            <w:vAlign w:val="center"/>
          </w:tcPr>
          <w:p w14:paraId="7439B12C" w14:textId="08433FBD" w:rsidR="00BD041A" w:rsidRPr="00824E21" w:rsidRDefault="007016FB" w:rsidP="0073266D">
            <w:pPr>
              <w:widowControl w:val="0"/>
              <w:ind w:left="355"/>
              <w:rPr>
                <w:rFonts w:asciiTheme="majorHAnsi" w:hAnsiTheme="majorHAnsi" w:cstheme="majorHAnsi"/>
                <w:sz w:val="20"/>
                <w:szCs w:val="20"/>
              </w:rPr>
            </w:pPr>
            <w:r>
              <w:rPr>
                <w:rFonts w:asciiTheme="majorHAnsi" w:hAnsiTheme="majorHAnsi" w:cstheme="majorHAnsi"/>
                <w:sz w:val="20"/>
                <w:szCs w:val="20"/>
              </w:rPr>
              <w:t>Black/African American</w:t>
            </w:r>
          </w:p>
        </w:tc>
        <w:tc>
          <w:tcPr>
            <w:tcW w:w="1010" w:type="pct"/>
            <w:tcMar>
              <w:top w:w="0" w:type="dxa"/>
              <w:left w:w="100" w:type="dxa"/>
              <w:bottom w:w="0" w:type="dxa"/>
              <w:right w:w="100" w:type="dxa"/>
            </w:tcMar>
            <w:vAlign w:val="center"/>
          </w:tcPr>
          <w:p w14:paraId="7439B12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4.9</w:t>
            </w:r>
          </w:p>
        </w:tc>
      </w:tr>
      <w:tr w:rsidR="00BD041A" w:rsidRPr="00B621E1"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55.7</w:t>
            </w:r>
          </w:p>
        </w:tc>
      </w:tr>
      <w:tr w:rsidR="00BD041A" w:rsidRPr="00B621E1"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w:t>
            </w:r>
          </w:p>
        </w:tc>
      </w:tr>
      <w:tr w:rsidR="00BD041A" w:rsidRPr="00B621E1"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9.5</w:t>
            </w:r>
          </w:p>
        </w:tc>
      </w:tr>
      <w:tr w:rsidR="00BD041A" w:rsidRPr="00B621E1" w14:paraId="7439B143" w14:textId="77777777" w:rsidTr="0073266D">
        <w:trPr>
          <w:trHeight w:val="315"/>
        </w:trPr>
        <w:tc>
          <w:tcPr>
            <w:tcW w:w="2980" w:type="pct"/>
            <w:tcMar>
              <w:top w:w="0" w:type="dxa"/>
              <w:left w:w="100" w:type="dxa"/>
              <w:bottom w:w="0" w:type="dxa"/>
              <w:right w:w="100" w:type="dxa"/>
            </w:tcMar>
            <w:vAlign w:val="center"/>
          </w:tcPr>
          <w:p w14:paraId="7439B14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Two or More Races</w:t>
            </w:r>
          </w:p>
        </w:tc>
        <w:tc>
          <w:tcPr>
            <w:tcW w:w="1010" w:type="pct"/>
            <w:tcMar>
              <w:top w:w="0" w:type="dxa"/>
              <w:left w:w="100" w:type="dxa"/>
              <w:bottom w:w="0" w:type="dxa"/>
              <w:right w:w="100" w:type="dxa"/>
            </w:tcMar>
            <w:vAlign w:val="center"/>
          </w:tcPr>
          <w:p w14:paraId="7439B14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3.6</w:t>
            </w:r>
          </w:p>
        </w:tc>
      </w:tr>
      <w:tr w:rsidR="00BD041A" w:rsidRPr="00B621E1" w14:paraId="7439B147" w14:textId="77777777" w:rsidTr="0073266D">
        <w:trPr>
          <w:trHeight w:val="315"/>
        </w:trPr>
        <w:tc>
          <w:tcPr>
            <w:tcW w:w="2980" w:type="pct"/>
            <w:tcMar>
              <w:top w:w="0" w:type="dxa"/>
              <w:left w:w="100" w:type="dxa"/>
              <w:bottom w:w="0" w:type="dxa"/>
              <w:right w:w="100" w:type="dxa"/>
            </w:tcMar>
            <w:vAlign w:val="center"/>
          </w:tcPr>
          <w:p w14:paraId="7439B144" w14:textId="3D595BE1"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White/non-Hispanic</w:t>
            </w:r>
          </w:p>
        </w:tc>
        <w:tc>
          <w:tcPr>
            <w:tcW w:w="1010" w:type="pct"/>
            <w:tcMar>
              <w:top w:w="0" w:type="dxa"/>
              <w:left w:w="100" w:type="dxa"/>
              <w:bottom w:w="0" w:type="dxa"/>
              <w:right w:w="100" w:type="dxa"/>
            </w:tcMar>
            <w:vAlign w:val="center"/>
          </w:tcPr>
          <w:p w14:paraId="7439B14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21.2</w:t>
            </w:r>
          </w:p>
        </w:tc>
      </w:tr>
      <w:tr w:rsidR="00BD041A" w:rsidRPr="00B621E1"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Not Reported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14F" w14:textId="77777777" w:rsidTr="0073266D">
        <w:trPr>
          <w:trHeight w:val="315"/>
        </w:trPr>
        <w:tc>
          <w:tcPr>
            <w:tcW w:w="2980" w:type="pct"/>
            <w:tcMar>
              <w:top w:w="0" w:type="dxa"/>
              <w:left w:w="100" w:type="dxa"/>
              <w:bottom w:w="0" w:type="dxa"/>
              <w:right w:w="100" w:type="dxa"/>
            </w:tcMar>
            <w:vAlign w:val="center"/>
          </w:tcPr>
          <w:p w14:paraId="7439B14C" w14:textId="77777777"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B: Gender</w:t>
            </w:r>
          </w:p>
        </w:tc>
        <w:tc>
          <w:tcPr>
            <w:tcW w:w="1010" w:type="pct"/>
            <w:tcMar>
              <w:top w:w="0" w:type="dxa"/>
              <w:left w:w="100" w:type="dxa"/>
              <w:bottom w:w="0" w:type="dxa"/>
              <w:right w:w="100" w:type="dxa"/>
            </w:tcMar>
            <w:vAlign w:val="center"/>
          </w:tcPr>
          <w:p w14:paraId="7439B14D"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51.6</w:t>
            </w:r>
          </w:p>
        </w:tc>
      </w:tr>
      <w:tr w:rsidR="00BD041A" w:rsidRPr="00B621E1"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48.2</w:t>
            </w:r>
          </w:p>
        </w:tc>
      </w:tr>
      <w:tr w:rsidR="00BD041A" w:rsidRPr="00B621E1"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824E21" w:rsidRDefault="00BD041A" w:rsidP="0073266D">
            <w:pPr>
              <w:widowControl w:val="0"/>
              <w:jc w:val="center"/>
              <w:rPr>
                <w:rFonts w:asciiTheme="majorHAnsi" w:hAnsiTheme="majorHAnsi" w:cstheme="majorHAnsi"/>
                <w:sz w:val="20"/>
                <w:szCs w:val="20"/>
              </w:rPr>
            </w:pPr>
          </w:p>
        </w:tc>
      </w:tr>
    </w:tbl>
    <w:p w14:paraId="7439B160" w14:textId="38E58FAE" w:rsidR="00BD041A" w:rsidRPr="00824E21" w:rsidRDefault="00602BF5" w:rsidP="000E54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xml:space="preserve">. Data accessed through DataQuest (https://dq.cde.ca.gov/dataquest), which is managed by the California Department of Education. </w:t>
      </w:r>
    </w:p>
    <w:p w14:paraId="7439B161" w14:textId="77777777" w:rsidR="00BD041A" w:rsidRPr="00824E21" w:rsidRDefault="00BD041A" w:rsidP="001B2966">
      <w:pPr>
        <w:spacing w:line="360" w:lineRule="auto"/>
        <w:rPr>
          <w:rFonts w:asciiTheme="majorHAnsi" w:hAnsiTheme="majorHAnsi" w:cstheme="majorHAnsi"/>
        </w:rPr>
      </w:pPr>
    </w:p>
    <w:p w14:paraId="7439B163" w14:textId="6F2B6C73" w:rsidR="002D7717" w:rsidRPr="00824E21" w:rsidRDefault="002D7717" w:rsidP="001B2966">
      <w:pPr>
        <w:spacing w:line="360" w:lineRule="auto"/>
        <w:rPr>
          <w:rFonts w:asciiTheme="majorHAnsi" w:hAnsiTheme="majorHAnsi" w:cstheme="majorHAnsi"/>
        </w:rPr>
      </w:pPr>
      <w:bookmarkStart w:id="89" w:name="_uc5tx01em2sp" w:colFirst="0" w:colLast="0"/>
      <w:bookmarkEnd w:id="89"/>
      <w:r>
        <w:rPr>
          <w:rFonts w:asciiTheme="majorHAnsi" w:hAnsiTheme="majorHAnsi" w:cstheme="majorHAnsi"/>
        </w:rPr>
        <w:br w:type="page"/>
      </w:r>
    </w:p>
    <w:p w14:paraId="5D41AA34" w14:textId="0982D1ED" w:rsidR="00DD6BD5" w:rsidRPr="00824E21" w:rsidRDefault="002D7717"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B</w:t>
      </w:r>
    </w:p>
    <w:p w14:paraId="27BBB6AD" w14:textId="77777777" w:rsidR="00DD6BD5" w:rsidRPr="00824E21" w:rsidRDefault="00DD6BD5" w:rsidP="000E543C">
      <w:pPr>
        <w:pStyle w:val="NormalWeb"/>
        <w:spacing w:before="0" w:beforeAutospacing="0" w:after="0" w:afterAutospacing="0" w:line="360" w:lineRule="auto"/>
        <w:rPr>
          <w:rFonts w:asciiTheme="majorHAnsi" w:hAnsiTheme="majorHAnsi" w:cstheme="majorHAnsi"/>
          <w:i/>
          <w:iCs/>
          <w:color w:val="000000"/>
        </w:rPr>
      </w:pPr>
      <w:r>
        <w:rPr>
          <w:rFonts w:asciiTheme="majorHAnsi" w:hAnsiTheme="majorHAnsi" w:cstheme="majorHAnsi"/>
          <w:i/>
          <w:i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123"/>
        <w:gridCol w:w="1116"/>
        <w:gridCol w:w="1121"/>
      </w:tblGrid>
      <w:tr w:rsidR="00DD6BD5" w:rsidRPr="00B621E1"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824E21" w:rsidRDefault="00DD6BD5" w:rsidP="0073266D">
            <w:pPr>
              <w:pStyle w:val="NormalWeb"/>
              <w:spacing w:before="0" w:beforeAutospacing="0" w:after="0" w:afterAutospacing="0"/>
              <w:jc w:val="right"/>
              <w:rPr>
                <w:rFonts w:asciiTheme="majorHAnsi" w:hAnsiTheme="majorHAnsi" w:cstheme="majorHAnsi"/>
                <w:sz w:val="20"/>
                <w:szCs w:val="20"/>
              </w:rPr>
            </w:pPr>
            <w:r>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commentRangeStart w:id="90"/>
            <w:r>
              <w:rPr>
                <w:rFonts w:asciiTheme="majorHAnsi" w:hAnsiTheme="majorHAnsi" w:cstheme="majorHAnsi"/>
                <w:color w:val="000000"/>
                <w:sz w:val="20"/>
                <w:szCs w:val="20"/>
              </w:rPr>
              <w:t>Mean</w:t>
            </w:r>
            <w:commentRangeEnd w:id="90"/>
            <w:r w:rsidRPr="00824E21">
              <w:rPr>
                <w:rStyle w:val="CommentReference"/>
                <w:rFonts w:asciiTheme="majorHAnsi" w:hAnsiTheme="majorHAnsi" w:cstheme="majorHAnsi"/>
                <w:sz w:val="20"/>
                <w:szCs w:val="20"/>
              </w:rPr>
              <w:commentReference w:id="90"/>
            </w:r>
          </w:p>
        </w:tc>
      </w:tr>
      <w:tr w:rsidR="00DD6BD5" w:rsidRPr="00B621E1"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23562F48" w14:textId="77777777" w:rsidTr="0073266D">
        <w:trPr>
          <w:trHeight w:val="255"/>
        </w:trPr>
        <w:tc>
          <w:tcPr>
            <w:tcW w:w="3805" w:type="pct"/>
            <w:tcMar>
              <w:top w:w="0" w:type="dxa"/>
              <w:left w:w="100" w:type="dxa"/>
              <w:bottom w:w="0" w:type="dxa"/>
              <w:right w:w="100" w:type="dxa"/>
            </w:tcMar>
            <w:vAlign w:val="center"/>
            <w:hideMark/>
          </w:tcPr>
          <w:p w14:paraId="54F7F6E3" w14:textId="31349C8F"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academic performance in high school?</w:t>
            </w:r>
          </w:p>
        </w:tc>
        <w:tc>
          <w:tcPr>
            <w:tcW w:w="596" w:type="pct"/>
            <w:tcMar>
              <w:top w:w="0" w:type="dxa"/>
              <w:left w:w="100" w:type="dxa"/>
              <w:bottom w:w="0" w:type="dxa"/>
              <w:right w:w="100" w:type="dxa"/>
            </w:tcMar>
            <w:vAlign w:val="center"/>
            <w:hideMark/>
          </w:tcPr>
          <w:p w14:paraId="47C747D8"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12168D99"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1648E3A7" w14:textId="77777777" w:rsidTr="0073266D">
        <w:trPr>
          <w:trHeight w:val="240"/>
        </w:trPr>
        <w:tc>
          <w:tcPr>
            <w:tcW w:w="3805" w:type="pct"/>
            <w:tcMar>
              <w:top w:w="0" w:type="dxa"/>
              <w:left w:w="100" w:type="dxa"/>
              <w:bottom w:w="0" w:type="dxa"/>
              <w:right w:w="100" w:type="dxa"/>
            </w:tcMar>
            <w:vAlign w:val="center"/>
            <w:hideMark/>
          </w:tcPr>
          <w:p w14:paraId="3C60985A" w14:textId="35DC5E4A"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social experience in high school?</w:t>
            </w:r>
          </w:p>
        </w:tc>
        <w:tc>
          <w:tcPr>
            <w:tcW w:w="596" w:type="pct"/>
            <w:tcMar>
              <w:top w:w="0" w:type="dxa"/>
              <w:left w:w="100" w:type="dxa"/>
              <w:bottom w:w="0" w:type="dxa"/>
              <w:right w:w="100" w:type="dxa"/>
            </w:tcMar>
            <w:vAlign w:val="center"/>
            <w:hideMark/>
          </w:tcPr>
          <w:p w14:paraId="60C17B33"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0642DAF6"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0.1</w:t>
            </w:r>
          </w:p>
        </w:tc>
      </w:tr>
      <w:tr w:rsidR="00DD6BD5" w:rsidRPr="00B621E1" w14:paraId="1418EBFB" w14:textId="77777777" w:rsidTr="0073266D">
        <w:trPr>
          <w:trHeight w:val="240"/>
        </w:trPr>
        <w:tc>
          <w:tcPr>
            <w:tcW w:w="3805" w:type="pct"/>
            <w:tcMar>
              <w:top w:w="0" w:type="dxa"/>
              <w:left w:w="100" w:type="dxa"/>
              <w:bottom w:w="0" w:type="dxa"/>
              <w:right w:w="100" w:type="dxa"/>
            </w:tcMar>
            <w:vAlign w:val="center"/>
            <w:hideMark/>
          </w:tcPr>
          <w:p w14:paraId="0552380B" w14:textId="57D4E646"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that I belong in my high school community.</w:t>
            </w:r>
          </w:p>
        </w:tc>
        <w:tc>
          <w:tcPr>
            <w:tcW w:w="596" w:type="pct"/>
            <w:tcMar>
              <w:top w:w="0" w:type="dxa"/>
              <w:left w:w="100" w:type="dxa"/>
              <w:bottom w:w="0" w:type="dxa"/>
              <w:right w:w="100" w:type="dxa"/>
            </w:tcMar>
            <w:vAlign w:val="center"/>
            <w:hideMark/>
          </w:tcPr>
          <w:p w14:paraId="3E3C9E37"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4DD6C192"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r>
      <w:tr w:rsidR="00DD6BD5" w:rsidRPr="00B621E1"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42CCCC5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1.1</w:t>
            </w:r>
          </w:p>
        </w:tc>
      </w:tr>
      <w:tr w:rsidR="00DD6BD5" w:rsidRPr="00B621E1" w14:paraId="0AED4D21" w14:textId="77777777" w:rsidTr="0073266D">
        <w:trPr>
          <w:trHeight w:val="240"/>
        </w:trPr>
        <w:tc>
          <w:tcPr>
            <w:tcW w:w="3805" w:type="pct"/>
            <w:tcMar>
              <w:top w:w="0" w:type="dxa"/>
              <w:left w:w="100" w:type="dxa"/>
              <w:bottom w:w="0" w:type="dxa"/>
              <w:right w:w="100" w:type="dxa"/>
            </w:tcMar>
            <w:vAlign w:val="center"/>
            <w:hideMark/>
          </w:tcPr>
          <w:p w14:paraId="727559F6" w14:textId="6CBAA0D3"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received good advising </w:t>
            </w:r>
            <w:commentRangeStart w:id="91"/>
            <w:r>
              <w:rPr>
                <w:rFonts w:asciiTheme="majorHAnsi" w:hAnsiTheme="majorHAnsi" w:cstheme="majorHAnsi"/>
                <w:color w:val="000000"/>
                <w:sz w:val="20"/>
                <w:szCs w:val="20"/>
              </w:rPr>
              <w:t>from my high school</w:t>
            </w:r>
            <w:commentRangeEnd w:id="91"/>
            <w:r>
              <w:rPr>
                <w:rStyle w:val="CommentReference"/>
                <w:rFonts w:asciiTheme="majorHAnsi" w:hAnsiTheme="majorHAnsi" w:cstheme="majorHAnsi"/>
                <w:color w:val="000000"/>
                <w:sz w:val="20"/>
                <w:szCs w:val="20"/>
              </w:rPr>
              <w:commentReference w:id="91"/>
            </w:r>
            <w:r>
              <w:rPr>
                <w:rFonts w:asciiTheme="majorHAnsi" w:hAnsiTheme="majorHAnsi" w:cstheme="majorHAnsi"/>
                <w:color w:val="000000"/>
                <w:sz w:val="20"/>
                <w:szCs w:val="20"/>
              </w:rPr>
              <w:t xml:space="preserve"> about my college plans.</w:t>
            </w:r>
          </w:p>
        </w:tc>
        <w:tc>
          <w:tcPr>
            <w:tcW w:w="596" w:type="pct"/>
            <w:tcMar>
              <w:top w:w="0" w:type="dxa"/>
              <w:left w:w="100" w:type="dxa"/>
              <w:bottom w:w="0" w:type="dxa"/>
              <w:right w:w="100" w:type="dxa"/>
            </w:tcMar>
            <w:vAlign w:val="center"/>
            <w:hideMark/>
          </w:tcPr>
          <w:p w14:paraId="1B09316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45C7F854"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238E7660"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3EA6E39E"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w:t>
            </w:r>
          </w:p>
        </w:tc>
      </w:tr>
    </w:tbl>
    <w:p w14:paraId="5FA7F877" w14:textId="77777777" w:rsidR="00DD6BD5" w:rsidRPr="00824E21" w:rsidRDefault="00DD6BD5" w:rsidP="0073266D">
      <w:pPr>
        <w:rPr>
          <w:rFonts w:asciiTheme="majorHAnsi" w:hAnsiTheme="majorHAnsi" w:cstheme="majorHAnsi"/>
          <w:iCs/>
          <w:color w:val="000000"/>
          <w:sz w:val="20"/>
          <w:szCs w:val="20"/>
        </w:r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aforementioned high school experience items. The construct is only created for students who reported non-missing values for all six high school experience items.</w:t>
      </w:r>
    </w:p>
    <w:p w14:paraId="2AAA4480" w14:textId="77777777" w:rsidR="00B342DF" w:rsidRPr="00824E21" w:rsidRDefault="00B342DF" w:rsidP="001B2966">
      <w:pPr>
        <w:spacing w:line="360" w:lineRule="auto"/>
        <w:rPr>
          <w:rFonts w:asciiTheme="majorHAnsi" w:hAnsiTheme="majorHAnsi" w:cstheme="majorHAnsi"/>
        </w:rPr>
        <w:sectPr w:rsidR="00B342DF" w:rsidRPr="00824E21" w:rsidSect="00BD3767">
          <w:pgSz w:w="12240" w:h="15840"/>
          <w:pgMar w:top="1440" w:right="1440" w:bottom="1440" w:left="1440" w:header="720" w:footer="720" w:gutter="0"/>
          <w:cols w:space="720"/>
          <w:docGrid w:linePitch="326"/>
        </w:sectPr>
      </w:pPr>
      <w:bookmarkStart w:id="92" w:name="_386ebkkmc27k" w:colFirst="0" w:colLast="0"/>
      <w:bookmarkEnd w:id="92"/>
    </w:p>
    <w:p w14:paraId="41327123" w14:textId="3BA27F6F" w:rsidR="0029447E"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 xml:space="preserve">Appendix </w:t>
      </w:r>
      <w:commentRangeStart w:id="93"/>
      <w:r>
        <w:rPr>
          <w:rFonts w:asciiTheme="majorHAnsi" w:hAnsiTheme="majorHAnsi" w:cstheme="majorHAnsi"/>
          <w:b/>
          <w:bCs/>
          <w:sz w:val="24"/>
          <w:szCs w:val="24"/>
        </w:rPr>
        <w:t>C</w:t>
      </w:r>
      <w:commentRangeEnd w:id="93"/>
      <w:r>
        <w:rPr>
          <w:rStyle w:val="CommentReference"/>
          <w:rFonts w:asciiTheme="majorHAnsi" w:hAnsiTheme="majorHAnsi" w:cstheme="majorHAnsi"/>
          <w:b/>
          <w:bCs/>
          <w:sz w:val="24"/>
          <w:szCs w:val="24"/>
        </w:rPr>
        <w:commentReference w:id="93"/>
      </w:r>
      <w:r>
        <w:rPr>
          <w:rFonts w:asciiTheme="majorHAnsi" w:hAnsiTheme="majorHAnsi" w:cstheme="majorHAnsi"/>
          <w:b/>
          <w:bCs/>
          <w:sz w:val="24"/>
          <w:szCs w:val="24"/>
        </w:rPr>
        <w:t>: Summary Statistics of Individual High School Experience Items</w:t>
      </w:r>
    </w:p>
    <w:p w14:paraId="75A97A1A" w14:textId="15570B17" w:rsidR="0029447E" w:rsidRPr="00824E21" w:rsidRDefault="00AB4825" w:rsidP="000E543C">
      <w:pPr>
        <w:widowControl w:val="0"/>
        <w:spacing w:line="360" w:lineRule="auto"/>
        <w:rPr>
          <w:rFonts w:asciiTheme="majorHAnsi" w:hAnsiTheme="majorHAnsi" w:cstheme="majorHAnsi"/>
          <w:i/>
          <w:iCs/>
        </w:rPr>
      </w:pPr>
      <w:r>
        <w:rPr>
          <w:rFonts w:asciiTheme="majorHAnsi" w:hAnsiTheme="majorHAnsi" w:cstheme="majorHAnsi"/>
          <w:b/>
          <w:bCs/>
        </w:rPr>
        <w:t>Table C1.</w:t>
      </w:r>
      <w:r>
        <w:rPr>
          <w:rFonts w:asciiTheme="majorHAnsi" w:hAnsiTheme="majorHAnsi" w:cstheme="majorHAnsi"/>
          <w:i/>
          <w:iCs/>
        </w:rPr>
        <w:t xml:space="preserve"> 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B621E1" w14:paraId="60738703" w14:textId="77777777" w:rsidTr="00124A2B">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824E21"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Cisgender Man</w:t>
            </w:r>
          </w:p>
        </w:tc>
        <w:tc>
          <w:tcPr>
            <w:tcW w:w="394" w:type="pct"/>
            <w:tcBorders>
              <w:top w:val="single" w:sz="4" w:space="0" w:color="auto"/>
              <w:left w:val="nil"/>
              <w:bottom w:val="single" w:sz="4" w:space="0" w:color="auto"/>
              <w:right w:val="nil"/>
            </w:tcBorders>
            <w:vAlign w:val="center"/>
          </w:tcPr>
          <w:p w14:paraId="3CBA997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Cisgender Woman</w:t>
            </w:r>
          </w:p>
        </w:tc>
        <w:tc>
          <w:tcPr>
            <w:tcW w:w="477" w:type="pct"/>
            <w:tcBorders>
              <w:top w:val="single" w:sz="4" w:space="0" w:color="auto"/>
              <w:left w:val="nil"/>
              <w:bottom w:val="single" w:sz="4" w:space="0" w:color="auto"/>
              <w:right w:val="nil"/>
            </w:tcBorders>
            <w:vAlign w:val="center"/>
          </w:tcPr>
          <w:p w14:paraId="5D9E078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Transgender Man</w:t>
            </w:r>
          </w:p>
        </w:tc>
        <w:tc>
          <w:tcPr>
            <w:tcW w:w="492" w:type="pct"/>
            <w:tcBorders>
              <w:top w:val="single" w:sz="4" w:space="0" w:color="auto"/>
              <w:left w:val="nil"/>
              <w:bottom w:val="single" w:sz="4" w:space="0" w:color="auto"/>
              <w:right w:val="nil"/>
            </w:tcBorders>
            <w:vAlign w:val="center"/>
          </w:tcPr>
          <w:p w14:paraId="1293A0B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Transgender Woman</w:t>
            </w:r>
          </w:p>
        </w:tc>
        <w:tc>
          <w:tcPr>
            <w:tcW w:w="412" w:type="pct"/>
            <w:tcBorders>
              <w:top w:val="single" w:sz="4" w:space="0" w:color="auto"/>
              <w:left w:val="nil"/>
              <w:bottom w:val="single" w:sz="4" w:space="0" w:color="auto"/>
              <w:right w:val="nil"/>
            </w:tcBorders>
            <w:vAlign w:val="center"/>
          </w:tcPr>
          <w:p w14:paraId="4489115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Gender Diverse/</w:t>
            </w:r>
          </w:p>
          <w:p w14:paraId="0B855D4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282" w:type="pct"/>
            <w:tcBorders>
              <w:top w:val="single" w:sz="4" w:space="0" w:color="auto"/>
              <w:left w:val="nil"/>
              <w:bottom w:val="single" w:sz="4" w:space="0" w:color="auto"/>
              <w:right w:val="nil"/>
            </w:tcBorders>
            <w:vAlign w:val="center"/>
          </w:tcPr>
          <w:p w14:paraId="2371D13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29447E" w:rsidRPr="00B621E1"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3CE70EF3"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6CE34E19" w14:textId="77777777" w:rsidTr="00124A2B">
        <w:trPr>
          <w:trHeight w:val="267"/>
        </w:trPr>
        <w:tc>
          <w:tcPr>
            <w:tcW w:w="1493" w:type="pct"/>
            <w:tcBorders>
              <w:top w:val="nil"/>
              <w:left w:val="nil"/>
              <w:bottom w:val="nil"/>
              <w:right w:val="nil"/>
            </w:tcBorders>
            <w:vAlign w:val="center"/>
          </w:tcPr>
          <w:p w14:paraId="0BC95F43"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0FAC37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394" w:type="pct"/>
            <w:tcBorders>
              <w:top w:val="nil"/>
              <w:left w:val="nil"/>
              <w:bottom w:val="nil"/>
              <w:right w:val="nil"/>
            </w:tcBorders>
            <w:vAlign w:val="center"/>
          </w:tcPr>
          <w:p w14:paraId="1E59D382" w14:textId="5CD933C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7713DD6B" w14:textId="13A4988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0.9</w:t>
            </w:r>
          </w:p>
        </w:tc>
        <w:tc>
          <w:tcPr>
            <w:tcW w:w="492" w:type="pct"/>
            <w:tcBorders>
              <w:top w:val="nil"/>
              <w:left w:val="nil"/>
              <w:bottom w:val="nil"/>
              <w:right w:val="nil"/>
            </w:tcBorders>
            <w:vAlign w:val="center"/>
          </w:tcPr>
          <w:p w14:paraId="50223EBE" w14:textId="2C7BA20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412" w:type="pct"/>
            <w:tcBorders>
              <w:top w:val="nil"/>
              <w:left w:val="nil"/>
              <w:bottom w:val="nil"/>
              <w:right w:val="nil"/>
            </w:tcBorders>
            <w:vAlign w:val="center"/>
          </w:tcPr>
          <w:p w14:paraId="4CCDD604" w14:textId="1E047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29" w:type="pct"/>
            <w:tcBorders>
              <w:top w:val="nil"/>
              <w:left w:val="nil"/>
              <w:bottom w:val="nil"/>
              <w:right w:val="nil"/>
            </w:tcBorders>
            <w:vAlign w:val="center"/>
          </w:tcPr>
          <w:p w14:paraId="0F982CE0" w14:textId="2BAEAD9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5BFE438C" w14:textId="6746FDB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282" w:type="pct"/>
            <w:tcBorders>
              <w:top w:val="nil"/>
              <w:left w:val="nil"/>
              <w:bottom w:val="nil"/>
              <w:right w:val="nil"/>
            </w:tcBorders>
            <w:vAlign w:val="center"/>
          </w:tcPr>
          <w:p w14:paraId="44723836" w14:textId="297FDF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037E0936" w14:textId="77777777" w:rsidTr="00124A2B">
        <w:trPr>
          <w:trHeight w:val="287"/>
        </w:trPr>
        <w:tc>
          <w:tcPr>
            <w:tcW w:w="1493" w:type="pct"/>
            <w:tcBorders>
              <w:top w:val="nil"/>
              <w:left w:val="nil"/>
              <w:bottom w:val="nil"/>
              <w:right w:val="nil"/>
            </w:tcBorders>
            <w:vAlign w:val="center"/>
          </w:tcPr>
          <w:p w14:paraId="67381728"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141</w:t>
            </w:r>
          </w:p>
        </w:tc>
        <w:tc>
          <w:tcPr>
            <w:tcW w:w="282" w:type="pct"/>
            <w:tcBorders>
              <w:top w:val="nil"/>
              <w:left w:val="nil"/>
              <w:bottom w:val="nil"/>
              <w:right w:val="nil"/>
            </w:tcBorders>
            <w:vAlign w:val="center"/>
          </w:tcPr>
          <w:p w14:paraId="48B9304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7,522</w:t>
            </w:r>
          </w:p>
        </w:tc>
      </w:tr>
      <w:tr w:rsidR="0029447E" w:rsidRPr="00B621E1"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824E21" w:rsidRDefault="0029447E" w:rsidP="0073266D">
            <w:pPr>
              <w:rPr>
                <w:rFonts w:asciiTheme="majorHAnsi" w:hAnsiTheme="majorHAnsi" w:cstheme="majorHAnsi"/>
                <w:i/>
                <w:iCs/>
                <w:sz w:val="20"/>
                <w:szCs w:val="20"/>
              </w:rPr>
            </w:pPr>
          </w:p>
        </w:tc>
      </w:tr>
      <w:tr w:rsidR="0029447E" w:rsidRPr="00B621E1" w14:paraId="613515BF" w14:textId="77777777" w:rsidTr="0073266D">
        <w:trPr>
          <w:trHeight w:val="287"/>
        </w:trPr>
        <w:tc>
          <w:tcPr>
            <w:tcW w:w="5000" w:type="pct"/>
            <w:gridSpan w:val="9"/>
            <w:tcBorders>
              <w:top w:val="nil"/>
              <w:left w:val="nil"/>
              <w:bottom w:val="nil"/>
              <w:right w:val="nil"/>
            </w:tcBorders>
            <w:vAlign w:val="center"/>
          </w:tcPr>
          <w:p w14:paraId="7B82BA61" w14:textId="2502C03F"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372D2F32" w14:textId="77777777" w:rsidTr="00124A2B">
        <w:trPr>
          <w:trHeight w:val="267"/>
        </w:trPr>
        <w:tc>
          <w:tcPr>
            <w:tcW w:w="1493" w:type="pct"/>
            <w:tcBorders>
              <w:top w:val="nil"/>
              <w:left w:val="nil"/>
              <w:bottom w:val="nil"/>
              <w:right w:val="nil"/>
            </w:tcBorders>
            <w:vAlign w:val="center"/>
          </w:tcPr>
          <w:p w14:paraId="4C9019A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29BD378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394" w:type="pct"/>
            <w:tcBorders>
              <w:top w:val="nil"/>
              <w:left w:val="nil"/>
              <w:bottom w:val="nil"/>
              <w:right w:val="nil"/>
            </w:tcBorders>
            <w:vAlign w:val="center"/>
          </w:tcPr>
          <w:p w14:paraId="1768A74A" w14:textId="5B08CA2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477" w:type="pct"/>
            <w:tcBorders>
              <w:top w:val="nil"/>
              <w:left w:val="nil"/>
              <w:bottom w:val="nil"/>
              <w:right w:val="nil"/>
            </w:tcBorders>
            <w:vAlign w:val="center"/>
          </w:tcPr>
          <w:p w14:paraId="24E68D1D" w14:textId="7B4021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492" w:type="pct"/>
            <w:tcBorders>
              <w:top w:val="nil"/>
              <w:left w:val="nil"/>
              <w:bottom w:val="nil"/>
              <w:right w:val="nil"/>
            </w:tcBorders>
            <w:vAlign w:val="center"/>
          </w:tcPr>
          <w:p w14:paraId="3BC05319" w14:textId="66492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412" w:type="pct"/>
            <w:tcBorders>
              <w:top w:val="nil"/>
              <w:left w:val="nil"/>
              <w:bottom w:val="nil"/>
              <w:right w:val="nil"/>
            </w:tcBorders>
            <w:vAlign w:val="center"/>
          </w:tcPr>
          <w:p w14:paraId="5C40BD72" w14:textId="2016F3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29" w:type="pct"/>
            <w:tcBorders>
              <w:top w:val="nil"/>
              <w:left w:val="nil"/>
              <w:bottom w:val="nil"/>
              <w:right w:val="nil"/>
            </w:tcBorders>
            <w:vAlign w:val="center"/>
          </w:tcPr>
          <w:p w14:paraId="3AB0B6AD" w14:textId="2B7B83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285CD2C8" w14:textId="3C6CC48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282" w:type="pct"/>
            <w:tcBorders>
              <w:top w:val="nil"/>
              <w:left w:val="nil"/>
              <w:bottom w:val="nil"/>
              <w:right w:val="nil"/>
            </w:tcBorders>
            <w:vAlign w:val="center"/>
          </w:tcPr>
          <w:p w14:paraId="0C0F0486" w14:textId="33BC858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r>
      <w:tr w:rsidR="0029447E" w:rsidRPr="00B621E1" w14:paraId="4057C92E" w14:textId="77777777" w:rsidTr="00124A2B">
        <w:trPr>
          <w:trHeight w:val="287"/>
        </w:trPr>
        <w:tc>
          <w:tcPr>
            <w:tcW w:w="1493" w:type="pct"/>
            <w:tcBorders>
              <w:top w:val="nil"/>
              <w:left w:val="nil"/>
              <w:bottom w:val="nil"/>
              <w:right w:val="nil"/>
            </w:tcBorders>
            <w:vAlign w:val="center"/>
          </w:tcPr>
          <w:p w14:paraId="5B785293"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5B1B45F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7,516</w:t>
            </w:r>
          </w:p>
        </w:tc>
      </w:tr>
      <w:tr w:rsidR="0029447E" w:rsidRPr="00B621E1"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824E21" w:rsidRDefault="0029447E" w:rsidP="0073266D">
            <w:pPr>
              <w:rPr>
                <w:rFonts w:asciiTheme="majorHAnsi" w:hAnsiTheme="majorHAnsi" w:cstheme="majorHAnsi"/>
                <w:i/>
                <w:iCs/>
                <w:sz w:val="20"/>
                <w:szCs w:val="20"/>
              </w:rPr>
            </w:pPr>
          </w:p>
        </w:tc>
      </w:tr>
      <w:tr w:rsidR="0029447E" w:rsidRPr="00B621E1" w14:paraId="68D71BC4" w14:textId="77777777" w:rsidTr="0073266D">
        <w:trPr>
          <w:trHeight w:val="287"/>
        </w:trPr>
        <w:tc>
          <w:tcPr>
            <w:tcW w:w="5000" w:type="pct"/>
            <w:gridSpan w:val="9"/>
            <w:tcBorders>
              <w:top w:val="nil"/>
              <w:left w:val="nil"/>
              <w:bottom w:val="nil"/>
              <w:right w:val="nil"/>
            </w:tcBorders>
            <w:vAlign w:val="center"/>
          </w:tcPr>
          <w:p w14:paraId="56DC9F46" w14:textId="6F8BC65B"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29447E" w:rsidRPr="00B621E1" w14:paraId="785A3E5A" w14:textId="77777777" w:rsidTr="00124A2B">
        <w:trPr>
          <w:trHeight w:val="267"/>
        </w:trPr>
        <w:tc>
          <w:tcPr>
            <w:tcW w:w="1493" w:type="pct"/>
            <w:tcBorders>
              <w:top w:val="nil"/>
              <w:left w:val="nil"/>
              <w:bottom w:val="nil"/>
              <w:right w:val="nil"/>
            </w:tcBorders>
            <w:vAlign w:val="center"/>
          </w:tcPr>
          <w:p w14:paraId="1F51182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54EB1C0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94" w:type="pct"/>
            <w:tcBorders>
              <w:top w:val="nil"/>
              <w:left w:val="nil"/>
              <w:bottom w:val="nil"/>
              <w:right w:val="nil"/>
            </w:tcBorders>
            <w:vAlign w:val="center"/>
          </w:tcPr>
          <w:p w14:paraId="13BBEB02" w14:textId="5A9E6A0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2B335769" w14:textId="0A560DD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92" w:type="pct"/>
            <w:tcBorders>
              <w:top w:val="nil"/>
              <w:left w:val="nil"/>
              <w:bottom w:val="nil"/>
              <w:right w:val="nil"/>
            </w:tcBorders>
            <w:vAlign w:val="center"/>
          </w:tcPr>
          <w:p w14:paraId="6BAD2D03" w14:textId="225EE58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12" w:type="pct"/>
            <w:tcBorders>
              <w:top w:val="nil"/>
              <w:left w:val="nil"/>
              <w:bottom w:val="nil"/>
              <w:right w:val="nil"/>
            </w:tcBorders>
            <w:vAlign w:val="center"/>
          </w:tcPr>
          <w:p w14:paraId="6DA4AC12" w14:textId="2D972FE6"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29" w:type="pct"/>
            <w:tcBorders>
              <w:top w:val="nil"/>
              <w:left w:val="nil"/>
              <w:bottom w:val="nil"/>
              <w:right w:val="nil"/>
            </w:tcBorders>
            <w:vAlign w:val="center"/>
          </w:tcPr>
          <w:p w14:paraId="616A229A" w14:textId="1C15609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FBE55B9" w14:textId="7B26AEF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282" w:type="pct"/>
            <w:tcBorders>
              <w:top w:val="nil"/>
              <w:left w:val="nil"/>
              <w:bottom w:val="nil"/>
              <w:right w:val="nil"/>
            </w:tcBorders>
            <w:vAlign w:val="center"/>
          </w:tcPr>
          <w:p w14:paraId="03EB63A4" w14:textId="1612D8C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5CF7BCCE" w14:textId="77777777" w:rsidTr="00124A2B">
        <w:trPr>
          <w:trHeight w:val="287"/>
        </w:trPr>
        <w:tc>
          <w:tcPr>
            <w:tcW w:w="1493" w:type="pct"/>
            <w:tcBorders>
              <w:top w:val="nil"/>
              <w:left w:val="nil"/>
              <w:bottom w:val="nil"/>
              <w:right w:val="nil"/>
            </w:tcBorders>
            <w:vAlign w:val="center"/>
          </w:tcPr>
          <w:p w14:paraId="3916F03E"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57D68D4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7,503</w:t>
            </w:r>
          </w:p>
        </w:tc>
      </w:tr>
      <w:tr w:rsidR="0029447E" w:rsidRPr="00B621E1"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824E21" w:rsidRDefault="0029447E" w:rsidP="0073266D">
            <w:pPr>
              <w:rPr>
                <w:rFonts w:asciiTheme="majorHAnsi" w:hAnsiTheme="majorHAnsi" w:cstheme="majorHAnsi"/>
                <w:i/>
                <w:iCs/>
                <w:sz w:val="20"/>
                <w:szCs w:val="20"/>
              </w:rPr>
            </w:pPr>
          </w:p>
        </w:tc>
      </w:tr>
      <w:tr w:rsidR="0029447E" w:rsidRPr="00B621E1"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29447E" w:rsidRPr="00B621E1" w14:paraId="1929DE82" w14:textId="77777777" w:rsidTr="00124A2B">
        <w:trPr>
          <w:trHeight w:val="287"/>
        </w:trPr>
        <w:tc>
          <w:tcPr>
            <w:tcW w:w="1493" w:type="pct"/>
            <w:tcBorders>
              <w:top w:val="nil"/>
              <w:left w:val="nil"/>
              <w:bottom w:val="nil"/>
              <w:right w:val="nil"/>
            </w:tcBorders>
            <w:vAlign w:val="center"/>
          </w:tcPr>
          <w:p w14:paraId="6DB27A9D"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6C121F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94" w:type="pct"/>
            <w:tcBorders>
              <w:top w:val="nil"/>
              <w:left w:val="nil"/>
              <w:bottom w:val="nil"/>
              <w:right w:val="nil"/>
            </w:tcBorders>
            <w:vAlign w:val="center"/>
          </w:tcPr>
          <w:p w14:paraId="4EC9A8A2" w14:textId="0E45005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77" w:type="pct"/>
            <w:tcBorders>
              <w:top w:val="nil"/>
              <w:left w:val="nil"/>
              <w:bottom w:val="nil"/>
              <w:right w:val="nil"/>
            </w:tcBorders>
            <w:vAlign w:val="center"/>
          </w:tcPr>
          <w:p w14:paraId="29572EFC" w14:textId="082ABE4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92" w:type="pct"/>
            <w:tcBorders>
              <w:top w:val="nil"/>
              <w:left w:val="nil"/>
              <w:bottom w:val="nil"/>
              <w:right w:val="nil"/>
            </w:tcBorders>
            <w:vAlign w:val="center"/>
          </w:tcPr>
          <w:p w14:paraId="10B2551D" w14:textId="6AD29E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12" w:type="pct"/>
            <w:tcBorders>
              <w:top w:val="nil"/>
              <w:left w:val="nil"/>
              <w:bottom w:val="nil"/>
              <w:right w:val="nil"/>
            </w:tcBorders>
            <w:vAlign w:val="center"/>
          </w:tcPr>
          <w:p w14:paraId="2477EBAA" w14:textId="2D0D219D"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29" w:type="pct"/>
            <w:tcBorders>
              <w:top w:val="nil"/>
              <w:left w:val="nil"/>
              <w:bottom w:val="nil"/>
              <w:right w:val="nil"/>
            </w:tcBorders>
            <w:vAlign w:val="center"/>
          </w:tcPr>
          <w:p w14:paraId="2798A017" w14:textId="6BCF585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92" w:type="pct"/>
            <w:tcBorders>
              <w:top w:val="nil"/>
              <w:left w:val="nil"/>
              <w:bottom w:val="nil"/>
              <w:right w:val="nil"/>
            </w:tcBorders>
            <w:vAlign w:val="center"/>
          </w:tcPr>
          <w:p w14:paraId="25426933" w14:textId="0C7C759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282" w:type="pct"/>
            <w:tcBorders>
              <w:top w:val="nil"/>
              <w:left w:val="nil"/>
              <w:bottom w:val="nil"/>
              <w:right w:val="nil"/>
            </w:tcBorders>
            <w:vAlign w:val="center"/>
          </w:tcPr>
          <w:p w14:paraId="7FCA9101" w14:textId="1DB905D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29447E" w:rsidRPr="00B621E1" w14:paraId="26DA43AF" w14:textId="77777777" w:rsidTr="00124A2B">
        <w:trPr>
          <w:trHeight w:val="267"/>
        </w:trPr>
        <w:tc>
          <w:tcPr>
            <w:tcW w:w="1493" w:type="pct"/>
            <w:tcBorders>
              <w:top w:val="nil"/>
              <w:left w:val="nil"/>
              <w:bottom w:val="nil"/>
              <w:right w:val="nil"/>
            </w:tcBorders>
            <w:vAlign w:val="center"/>
          </w:tcPr>
          <w:p w14:paraId="7649E08A"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65DB3DA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r w:rsidR="0029447E" w:rsidRPr="00B621E1"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824E21" w:rsidRDefault="0029447E" w:rsidP="0073266D">
            <w:pPr>
              <w:rPr>
                <w:rFonts w:asciiTheme="majorHAnsi" w:hAnsiTheme="majorHAnsi" w:cstheme="majorHAnsi"/>
                <w:i/>
                <w:iCs/>
                <w:sz w:val="20"/>
                <w:szCs w:val="20"/>
              </w:rPr>
            </w:pPr>
          </w:p>
        </w:tc>
      </w:tr>
      <w:tr w:rsidR="0029447E" w:rsidRPr="00B621E1" w14:paraId="5BFFE207" w14:textId="77777777" w:rsidTr="0073266D">
        <w:trPr>
          <w:trHeight w:val="267"/>
        </w:trPr>
        <w:tc>
          <w:tcPr>
            <w:tcW w:w="5000" w:type="pct"/>
            <w:gridSpan w:val="9"/>
            <w:tcBorders>
              <w:top w:val="nil"/>
              <w:left w:val="nil"/>
              <w:bottom w:val="nil"/>
              <w:right w:val="nil"/>
            </w:tcBorders>
            <w:vAlign w:val="center"/>
          </w:tcPr>
          <w:p w14:paraId="1AEB9D57" w14:textId="1C944E11"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29447E" w:rsidRPr="00B621E1" w14:paraId="2B9EDD71" w14:textId="77777777" w:rsidTr="00124A2B">
        <w:trPr>
          <w:trHeight w:val="287"/>
        </w:trPr>
        <w:tc>
          <w:tcPr>
            <w:tcW w:w="1493" w:type="pct"/>
            <w:tcBorders>
              <w:top w:val="nil"/>
              <w:left w:val="nil"/>
              <w:bottom w:val="nil"/>
              <w:right w:val="nil"/>
            </w:tcBorders>
            <w:vAlign w:val="center"/>
          </w:tcPr>
          <w:p w14:paraId="028F151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5E21E1F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026C5DA6" w14:textId="54E6D14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12515C7C" w14:textId="60B9A7B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492" w:type="pct"/>
            <w:tcBorders>
              <w:top w:val="nil"/>
              <w:left w:val="nil"/>
              <w:bottom w:val="nil"/>
              <w:right w:val="nil"/>
            </w:tcBorders>
            <w:vAlign w:val="center"/>
          </w:tcPr>
          <w:p w14:paraId="5655B6D9" w14:textId="4D63047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12" w:type="pct"/>
            <w:tcBorders>
              <w:top w:val="nil"/>
              <w:left w:val="nil"/>
              <w:bottom w:val="nil"/>
              <w:right w:val="nil"/>
            </w:tcBorders>
            <w:vAlign w:val="center"/>
          </w:tcPr>
          <w:p w14:paraId="31547D59" w14:textId="6AAF614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115982FF" w14:textId="65330FD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320324F0" w14:textId="72F4B14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3DACDCC9" w14:textId="3041034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r>
      <w:tr w:rsidR="0029447E" w:rsidRPr="00B621E1" w14:paraId="11D09177" w14:textId="77777777" w:rsidTr="00124A2B">
        <w:trPr>
          <w:trHeight w:val="267"/>
        </w:trPr>
        <w:tc>
          <w:tcPr>
            <w:tcW w:w="1493" w:type="pct"/>
            <w:tcBorders>
              <w:top w:val="nil"/>
              <w:left w:val="nil"/>
              <w:bottom w:val="nil"/>
              <w:right w:val="nil"/>
            </w:tcBorders>
            <w:vAlign w:val="center"/>
          </w:tcPr>
          <w:p w14:paraId="08A20A6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6B0AA10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7,506</w:t>
            </w:r>
          </w:p>
        </w:tc>
      </w:tr>
      <w:tr w:rsidR="0029447E" w:rsidRPr="00B621E1"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824E21" w:rsidRDefault="0029447E" w:rsidP="0073266D">
            <w:pPr>
              <w:rPr>
                <w:rFonts w:asciiTheme="majorHAnsi" w:hAnsiTheme="majorHAnsi" w:cstheme="majorHAnsi"/>
                <w:i/>
                <w:iCs/>
                <w:sz w:val="20"/>
                <w:szCs w:val="20"/>
              </w:rPr>
            </w:pPr>
          </w:p>
        </w:tc>
      </w:tr>
      <w:tr w:rsidR="0029447E" w:rsidRPr="00B621E1"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29447E" w:rsidRPr="00B621E1" w14:paraId="23D73688" w14:textId="77777777" w:rsidTr="00124A2B">
        <w:trPr>
          <w:trHeight w:val="287"/>
        </w:trPr>
        <w:tc>
          <w:tcPr>
            <w:tcW w:w="1493" w:type="pct"/>
            <w:tcBorders>
              <w:top w:val="nil"/>
              <w:left w:val="nil"/>
              <w:bottom w:val="nil"/>
              <w:right w:val="nil"/>
            </w:tcBorders>
            <w:vAlign w:val="center"/>
          </w:tcPr>
          <w:p w14:paraId="408AAA3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492672A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545BFE27" w14:textId="6309910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683202B8" w14:textId="010D153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92" w:type="pct"/>
            <w:tcBorders>
              <w:top w:val="nil"/>
              <w:left w:val="nil"/>
              <w:bottom w:val="nil"/>
              <w:right w:val="nil"/>
            </w:tcBorders>
            <w:vAlign w:val="center"/>
          </w:tcPr>
          <w:p w14:paraId="619F43E7" w14:textId="6DF3420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412" w:type="pct"/>
            <w:tcBorders>
              <w:top w:val="nil"/>
              <w:left w:val="nil"/>
              <w:bottom w:val="nil"/>
              <w:right w:val="nil"/>
            </w:tcBorders>
            <w:vAlign w:val="center"/>
          </w:tcPr>
          <w:p w14:paraId="35FCE6CF" w14:textId="283A0EF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422F70A3" w14:textId="565C228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100E419" w14:textId="27A5228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0A3B667B" w14:textId="052A898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3E01842D" w14:textId="77777777" w:rsidTr="00124A2B">
        <w:trPr>
          <w:trHeight w:val="306"/>
        </w:trPr>
        <w:tc>
          <w:tcPr>
            <w:tcW w:w="1493" w:type="pct"/>
            <w:tcBorders>
              <w:top w:val="nil"/>
              <w:left w:val="nil"/>
              <w:bottom w:val="single" w:sz="4" w:space="0" w:color="auto"/>
              <w:right w:val="nil"/>
            </w:tcBorders>
            <w:vAlign w:val="center"/>
          </w:tcPr>
          <w:p w14:paraId="1253BB94"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single" w:sz="4" w:space="0" w:color="auto"/>
              <w:right w:val="nil"/>
            </w:tcBorders>
            <w:vAlign w:val="center"/>
          </w:tcPr>
          <w:p w14:paraId="2C47151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bl>
    <w:p w14:paraId="39A2A03D" w14:textId="6630DCBA" w:rsidR="00B719F1" w:rsidRPr="00824E21" w:rsidRDefault="00B719F1" w:rsidP="001B2966">
      <w:pPr>
        <w:spacing w:line="360" w:lineRule="auto"/>
        <w:rPr>
          <w:rFonts w:asciiTheme="majorHAnsi" w:hAnsiTheme="majorHAnsi" w:cstheme="majorHAnsi"/>
        </w:rPr>
      </w:pPr>
      <w:bookmarkStart w:id="94" w:name="_dneqv6vlxrm4" w:colFirst="0" w:colLast="0"/>
      <w:bookmarkEnd w:id="94"/>
    </w:p>
    <w:p w14:paraId="39C8C4C0" w14:textId="7025CD03" w:rsidR="00B719F1" w:rsidRPr="00824E21" w:rsidRDefault="00B719F1" w:rsidP="00AB4825">
      <w:pPr>
        <w:jc w:val="right"/>
        <w:rPr>
          <w:rFonts w:asciiTheme="majorHAnsi" w:hAnsiTheme="majorHAnsi" w:cstheme="majorHAnsi"/>
        </w:rPr>
      </w:pPr>
      <w:r>
        <w:rPr>
          <w:rFonts w:asciiTheme="majorHAnsi" w:hAnsiTheme="majorHAnsi" w:cstheme="majorHAnsi"/>
        </w:rPr>
        <w:br w:type="page"/>
      </w:r>
    </w:p>
    <w:p w14:paraId="40531FCD" w14:textId="07EA50AF" w:rsidR="00B719F1" w:rsidRPr="00824E21" w:rsidRDefault="00AB4825" w:rsidP="00B719F1">
      <w:pPr>
        <w:widowControl w:val="0"/>
        <w:spacing w:line="360" w:lineRule="auto"/>
        <w:rPr>
          <w:rFonts w:asciiTheme="majorHAnsi" w:hAnsiTheme="majorHAnsi" w:cstheme="majorHAnsi"/>
          <w:i/>
          <w:iCs/>
        </w:rPr>
      </w:pPr>
      <w:r>
        <w:rPr>
          <w:rFonts w:asciiTheme="majorHAnsi" w:hAnsiTheme="majorHAnsi" w:cstheme="majorHAnsi"/>
          <w:b/>
          <w:bCs/>
        </w:rPr>
        <w:lastRenderedPageBreak/>
        <w:t xml:space="preserve">Table C2. </w:t>
      </w:r>
      <w:r>
        <w:rPr>
          <w:rFonts w:asciiTheme="majorHAnsi" w:hAnsiTheme="majorHAnsi" w:cstheme="majorHAnsi"/>
          <w:i/>
          <w:iCs/>
        </w:rPr>
        <w:t>High School Experience Items by Sexual Orientation</w:t>
      </w:r>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6"/>
        <w:gridCol w:w="1439"/>
        <w:gridCol w:w="1439"/>
        <w:gridCol w:w="1439"/>
        <w:gridCol w:w="1439"/>
        <w:gridCol w:w="1439"/>
        <w:gridCol w:w="1439"/>
        <w:gridCol w:w="1411"/>
        <w:gridCol w:w="29"/>
        <w:gridCol w:w="236"/>
      </w:tblGrid>
      <w:tr w:rsidR="00855ABD" w:rsidRPr="00B621E1" w14:paraId="141927D7" w14:textId="77777777" w:rsidTr="00AB4825">
        <w:trPr>
          <w:trHeight w:val="822"/>
        </w:trPr>
        <w:tc>
          <w:tcPr>
            <w:tcW w:w="1055" w:type="pct"/>
            <w:tcBorders>
              <w:top w:val="single" w:sz="4" w:space="0" w:color="auto"/>
              <w:left w:val="nil"/>
              <w:bottom w:val="single" w:sz="4" w:space="0" w:color="auto"/>
              <w:right w:val="nil"/>
            </w:tcBorders>
            <w:vAlign w:val="center"/>
          </w:tcPr>
          <w:p w14:paraId="4FF7BF35" w14:textId="77777777" w:rsidR="00855ABD" w:rsidRPr="00824E21" w:rsidRDefault="00855ABD" w:rsidP="00855ABD">
            <w:pPr>
              <w:jc w:val="center"/>
              <w:rPr>
                <w:rFonts w:asciiTheme="majorHAnsi" w:hAnsiTheme="majorHAnsi" w:cstheme="majorHAnsi"/>
                <w:sz w:val="20"/>
                <w:szCs w:val="20"/>
              </w:rPr>
            </w:pPr>
          </w:p>
        </w:tc>
        <w:tc>
          <w:tcPr>
            <w:tcW w:w="551" w:type="pct"/>
            <w:tcBorders>
              <w:top w:val="single" w:sz="4" w:space="0" w:color="auto"/>
              <w:left w:val="nil"/>
              <w:bottom w:val="single" w:sz="4" w:space="0" w:color="auto"/>
              <w:right w:val="nil"/>
            </w:tcBorders>
            <w:vAlign w:val="center"/>
          </w:tcPr>
          <w:p w14:paraId="6E6F35E2" w14:textId="4D65F252"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Straight/Heterosexual</w:t>
            </w:r>
          </w:p>
        </w:tc>
        <w:tc>
          <w:tcPr>
            <w:tcW w:w="551" w:type="pct"/>
            <w:tcBorders>
              <w:top w:val="single" w:sz="4" w:space="0" w:color="auto"/>
              <w:left w:val="nil"/>
              <w:bottom w:val="single" w:sz="4" w:space="0" w:color="auto"/>
              <w:right w:val="nil"/>
            </w:tcBorders>
            <w:vAlign w:val="center"/>
          </w:tcPr>
          <w:p w14:paraId="3B7312F1" w14:textId="474FD297"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Gay or Lesbian</w:t>
            </w:r>
          </w:p>
        </w:tc>
        <w:tc>
          <w:tcPr>
            <w:tcW w:w="551" w:type="pct"/>
            <w:tcBorders>
              <w:top w:val="single" w:sz="4" w:space="0" w:color="auto"/>
              <w:left w:val="nil"/>
              <w:bottom w:val="single" w:sz="4" w:space="0" w:color="auto"/>
              <w:right w:val="nil"/>
            </w:tcBorders>
            <w:vAlign w:val="center"/>
          </w:tcPr>
          <w:p w14:paraId="48AA7A59" w14:textId="526FCE45"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Bisexual/Pansexual/Omnisexual</w:t>
            </w:r>
          </w:p>
        </w:tc>
        <w:tc>
          <w:tcPr>
            <w:tcW w:w="551" w:type="pct"/>
            <w:tcBorders>
              <w:top w:val="single" w:sz="4" w:space="0" w:color="auto"/>
              <w:left w:val="nil"/>
              <w:bottom w:val="single" w:sz="4" w:space="0" w:color="auto"/>
              <w:right w:val="nil"/>
            </w:tcBorders>
            <w:vAlign w:val="center"/>
          </w:tcPr>
          <w:p w14:paraId="4F247728" w14:textId="5BB47747"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Asexual/Aromantic/Demisexual</w:t>
            </w:r>
          </w:p>
        </w:tc>
        <w:tc>
          <w:tcPr>
            <w:tcW w:w="551" w:type="pct"/>
            <w:tcBorders>
              <w:top w:val="single" w:sz="4" w:space="0" w:color="auto"/>
              <w:left w:val="nil"/>
              <w:bottom w:val="single" w:sz="4" w:space="0" w:color="auto"/>
              <w:right w:val="nil"/>
            </w:tcBorders>
            <w:vAlign w:val="center"/>
          </w:tcPr>
          <w:p w14:paraId="44FC16AB" w14:textId="776E5200"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Other/Queer/Questioning</w:t>
            </w:r>
          </w:p>
        </w:tc>
        <w:tc>
          <w:tcPr>
            <w:tcW w:w="551" w:type="pct"/>
            <w:tcBorders>
              <w:top w:val="single" w:sz="4" w:space="0" w:color="auto"/>
              <w:left w:val="nil"/>
              <w:bottom w:val="single" w:sz="4" w:space="0" w:color="auto"/>
              <w:right w:val="nil"/>
            </w:tcBorders>
            <w:vAlign w:val="center"/>
          </w:tcPr>
          <w:p w14:paraId="5D0818A7" w14:textId="530DA3E9"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551" w:type="pct"/>
            <w:gridSpan w:val="2"/>
            <w:tcBorders>
              <w:top w:val="single" w:sz="4" w:space="0" w:color="auto"/>
              <w:left w:val="nil"/>
              <w:bottom w:val="single" w:sz="4" w:space="0" w:color="auto"/>
              <w:right w:val="nil"/>
            </w:tcBorders>
            <w:vAlign w:val="center"/>
          </w:tcPr>
          <w:p w14:paraId="1AA69D61" w14:textId="755024B8"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Total</w:t>
            </w:r>
          </w:p>
        </w:tc>
        <w:tc>
          <w:tcPr>
            <w:tcW w:w="90" w:type="pct"/>
            <w:tcBorders>
              <w:top w:val="single" w:sz="4" w:space="0" w:color="auto"/>
              <w:left w:val="nil"/>
              <w:bottom w:val="single" w:sz="4" w:space="0" w:color="auto"/>
              <w:right w:val="nil"/>
            </w:tcBorders>
            <w:vAlign w:val="center"/>
          </w:tcPr>
          <w:p w14:paraId="04F05C7F" w14:textId="206BD311" w:rsidR="00855ABD" w:rsidRPr="00824E21" w:rsidRDefault="00855ABD" w:rsidP="00855ABD">
            <w:pPr>
              <w:jc w:val="center"/>
              <w:rPr>
                <w:rFonts w:asciiTheme="majorHAnsi" w:hAnsiTheme="majorHAnsi" w:cstheme="majorHAnsi"/>
                <w:sz w:val="20"/>
                <w:szCs w:val="20"/>
              </w:rPr>
            </w:pPr>
          </w:p>
        </w:tc>
      </w:tr>
      <w:tr w:rsidR="00B719F1" w:rsidRPr="00B621E1" w14:paraId="19C9CDD1" w14:textId="77777777" w:rsidTr="00AB4825">
        <w:trPr>
          <w:gridAfter w:val="2"/>
          <w:wAfter w:w="99" w:type="pct"/>
          <w:trHeight w:val="267"/>
        </w:trPr>
        <w:tc>
          <w:tcPr>
            <w:tcW w:w="4901" w:type="pct"/>
            <w:gridSpan w:val="8"/>
            <w:tcBorders>
              <w:top w:val="single" w:sz="4" w:space="0" w:color="auto"/>
              <w:left w:val="nil"/>
              <w:bottom w:val="nil"/>
              <w:right w:val="nil"/>
            </w:tcBorders>
            <w:vAlign w:val="center"/>
          </w:tcPr>
          <w:p w14:paraId="241A2352"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424055D2" w14:textId="77777777" w:rsidTr="00AB4825">
        <w:trPr>
          <w:trHeight w:val="267"/>
        </w:trPr>
        <w:tc>
          <w:tcPr>
            <w:tcW w:w="1055" w:type="pct"/>
            <w:tcBorders>
              <w:top w:val="nil"/>
              <w:left w:val="nil"/>
              <w:bottom w:val="nil"/>
              <w:right w:val="nil"/>
            </w:tcBorders>
            <w:vAlign w:val="center"/>
          </w:tcPr>
          <w:p w14:paraId="6DE99A46"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5D056FB" w14:textId="6A490B8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4A5B613" w14:textId="2F98E0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3446B70B" w14:textId="2D66A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7E8E70F" w14:textId="6A2BC2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tcBorders>
              <w:top w:val="nil"/>
              <w:left w:val="nil"/>
              <w:bottom w:val="nil"/>
              <w:right w:val="nil"/>
            </w:tcBorders>
            <w:vAlign w:val="center"/>
          </w:tcPr>
          <w:p w14:paraId="5CF4D78E" w14:textId="2225AF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7FE49C3" w14:textId="5681E88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31609C40" w14:textId="794D8B9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625717FE" w14:textId="1508CE3C" w:rsidR="00124A2B" w:rsidRPr="00824E21" w:rsidRDefault="00124A2B" w:rsidP="00124A2B">
            <w:pPr>
              <w:jc w:val="center"/>
              <w:rPr>
                <w:rFonts w:asciiTheme="majorHAnsi" w:hAnsiTheme="majorHAnsi" w:cstheme="majorHAnsi"/>
                <w:sz w:val="20"/>
                <w:szCs w:val="20"/>
              </w:rPr>
            </w:pPr>
          </w:p>
        </w:tc>
      </w:tr>
      <w:tr w:rsidR="00124A2B" w:rsidRPr="00B621E1" w14:paraId="6FA17341" w14:textId="77777777" w:rsidTr="00AB4825">
        <w:trPr>
          <w:trHeight w:val="287"/>
        </w:trPr>
        <w:tc>
          <w:tcPr>
            <w:tcW w:w="1055" w:type="pct"/>
            <w:tcBorders>
              <w:top w:val="nil"/>
              <w:left w:val="nil"/>
              <w:bottom w:val="nil"/>
              <w:right w:val="nil"/>
            </w:tcBorders>
            <w:vAlign w:val="center"/>
          </w:tcPr>
          <w:p w14:paraId="39293E5E"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7E4A7742" w14:textId="063F183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5190</w:t>
            </w:r>
          </w:p>
        </w:tc>
        <w:tc>
          <w:tcPr>
            <w:tcW w:w="551" w:type="pct"/>
            <w:tcBorders>
              <w:top w:val="nil"/>
              <w:left w:val="nil"/>
              <w:bottom w:val="nil"/>
              <w:right w:val="nil"/>
            </w:tcBorders>
            <w:vAlign w:val="center"/>
          </w:tcPr>
          <w:p w14:paraId="09CE1A63" w14:textId="4EC7B20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42D701BC" w14:textId="143F0B4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1139</w:t>
            </w:r>
          </w:p>
        </w:tc>
        <w:tc>
          <w:tcPr>
            <w:tcW w:w="551" w:type="pct"/>
            <w:tcBorders>
              <w:top w:val="nil"/>
              <w:left w:val="nil"/>
              <w:bottom w:val="nil"/>
              <w:right w:val="nil"/>
            </w:tcBorders>
            <w:vAlign w:val="center"/>
          </w:tcPr>
          <w:p w14:paraId="4D6A64DC" w14:textId="06F0A4C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05AC246B" w14:textId="2ADC0F8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37FDBDD7" w14:textId="3BA47DE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509</w:t>
            </w:r>
          </w:p>
        </w:tc>
        <w:tc>
          <w:tcPr>
            <w:tcW w:w="551" w:type="pct"/>
            <w:gridSpan w:val="2"/>
            <w:tcBorders>
              <w:top w:val="nil"/>
              <w:left w:val="nil"/>
              <w:bottom w:val="nil"/>
              <w:right w:val="nil"/>
            </w:tcBorders>
            <w:vAlign w:val="center"/>
          </w:tcPr>
          <w:p w14:paraId="1C68B7F3" w14:textId="0CB278F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7847</w:t>
            </w:r>
          </w:p>
        </w:tc>
        <w:tc>
          <w:tcPr>
            <w:tcW w:w="90" w:type="pct"/>
            <w:tcBorders>
              <w:top w:val="nil"/>
              <w:left w:val="nil"/>
              <w:bottom w:val="nil"/>
              <w:right w:val="nil"/>
            </w:tcBorders>
            <w:vAlign w:val="center"/>
          </w:tcPr>
          <w:p w14:paraId="7865ACC1" w14:textId="7C7F1047" w:rsidR="00124A2B" w:rsidRPr="00824E21" w:rsidRDefault="00124A2B" w:rsidP="00124A2B">
            <w:pPr>
              <w:jc w:val="center"/>
              <w:rPr>
                <w:rFonts w:asciiTheme="majorHAnsi" w:hAnsiTheme="majorHAnsi" w:cstheme="majorHAnsi"/>
                <w:sz w:val="20"/>
                <w:szCs w:val="20"/>
              </w:rPr>
            </w:pPr>
          </w:p>
        </w:tc>
      </w:tr>
      <w:tr w:rsidR="00B719F1" w:rsidRPr="00B621E1" w14:paraId="732D8573" w14:textId="77777777" w:rsidTr="00AB4825">
        <w:trPr>
          <w:gridAfter w:val="2"/>
          <w:wAfter w:w="99" w:type="pct"/>
          <w:trHeight w:val="287"/>
        </w:trPr>
        <w:tc>
          <w:tcPr>
            <w:tcW w:w="4901" w:type="pct"/>
            <w:gridSpan w:val="8"/>
            <w:tcBorders>
              <w:top w:val="nil"/>
              <w:left w:val="nil"/>
              <w:bottom w:val="nil"/>
              <w:right w:val="nil"/>
            </w:tcBorders>
            <w:vAlign w:val="center"/>
          </w:tcPr>
          <w:p w14:paraId="1FCF6A4B" w14:textId="77777777" w:rsidR="00B719F1" w:rsidRPr="00824E21" w:rsidRDefault="00B719F1" w:rsidP="00806A88">
            <w:pPr>
              <w:rPr>
                <w:rFonts w:asciiTheme="majorHAnsi" w:hAnsiTheme="majorHAnsi" w:cstheme="majorHAnsi"/>
                <w:i/>
                <w:iCs/>
                <w:sz w:val="20"/>
                <w:szCs w:val="20"/>
              </w:rPr>
            </w:pPr>
          </w:p>
        </w:tc>
      </w:tr>
      <w:tr w:rsidR="00B719F1" w:rsidRPr="00B621E1" w14:paraId="38009DCB" w14:textId="77777777" w:rsidTr="00AB4825">
        <w:trPr>
          <w:gridAfter w:val="2"/>
          <w:wAfter w:w="99" w:type="pct"/>
          <w:trHeight w:val="287"/>
        </w:trPr>
        <w:tc>
          <w:tcPr>
            <w:tcW w:w="4901" w:type="pct"/>
            <w:gridSpan w:val="8"/>
            <w:tcBorders>
              <w:top w:val="nil"/>
              <w:left w:val="nil"/>
              <w:bottom w:val="nil"/>
              <w:right w:val="nil"/>
            </w:tcBorders>
            <w:vAlign w:val="center"/>
          </w:tcPr>
          <w:p w14:paraId="3465948C"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6EBF79AB" w14:textId="77777777" w:rsidTr="00AB4825">
        <w:trPr>
          <w:trHeight w:val="267"/>
        </w:trPr>
        <w:tc>
          <w:tcPr>
            <w:tcW w:w="1055" w:type="pct"/>
            <w:tcBorders>
              <w:top w:val="nil"/>
              <w:left w:val="nil"/>
              <w:bottom w:val="nil"/>
              <w:right w:val="nil"/>
            </w:tcBorders>
            <w:vAlign w:val="center"/>
          </w:tcPr>
          <w:p w14:paraId="0AB253E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649B8FB" w14:textId="20DD4A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054A5CE3" w14:textId="1F0A7B6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0.0</w:t>
            </w:r>
          </w:p>
        </w:tc>
        <w:tc>
          <w:tcPr>
            <w:tcW w:w="551" w:type="pct"/>
            <w:tcBorders>
              <w:top w:val="nil"/>
              <w:left w:val="nil"/>
              <w:bottom w:val="nil"/>
              <w:right w:val="nil"/>
            </w:tcBorders>
            <w:vAlign w:val="center"/>
          </w:tcPr>
          <w:p w14:paraId="10DA32EE" w14:textId="5B0DD60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DE08C5C" w14:textId="07DAF4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4A756C3B" w14:textId="34BE92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5C5DFDD" w14:textId="448073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gridSpan w:val="2"/>
            <w:tcBorders>
              <w:top w:val="nil"/>
              <w:left w:val="nil"/>
              <w:bottom w:val="nil"/>
              <w:right w:val="nil"/>
            </w:tcBorders>
            <w:vAlign w:val="center"/>
          </w:tcPr>
          <w:p w14:paraId="6329DF40" w14:textId="6C03463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90" w:type="pct"/>
            <w:tcBorders>
              <w:top w:val="nil"/>
              <w:left w:val="nil"/>
              <w:bottom w:val="nil"/>
              <w:right w:val="nil"/>
            </w:tcBorders>
            <w:vAlign w:val="center"/>
          </w:tcPr>
          <w:p w14:paraId="58667C68" w14:textId="3E29A266" w:rsidR="00124A2B" w:rsidRPr="00824E21" w:rsidRDefault="00124A2B" w:rsidP="00124A2B">
            <w:pPr>
              <w:jc w:val="center"/>
              <w:rPr>
                <w:rFonts w:asciiTheme="majorHAnsi" w:hAnsiTheme="majorHAnsi" w:cstheme="majorHAnsi"/>
                <w:sz w:val="20"/>
                <w:szCs w:val="20"/>
              </w:rPr>
            </w:pPr>
          </w:p>
        </w:tc>
      </w:tr>
      <w:tr w:rsidR="00124A2B" w:rsidRPr="00B621E1" w14:paraId="1FB5E1E5" w14:textId="77777777" w:rsidTr="00AB4825">
        <w:trPr>
          <w:trHeight w:val="287"/>
        </w:trPr>
        <w:tc>
          <w:tcPr>
            <w:tcW w:w="1055" w:type="pct"/>
            <w:tcBorders>
              <w:top w:val="nil"/>
              <w:left w:val="nil"/>
              <w:bottom w:val="nil"/>
              <w:right w:val="nil"/>
            </w:tcBorders>
            <w:vAlign w:val="center"/>
          </w:tcPr>
          <w:p w14:paraId="42AB97C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4BEB3E8E" w14:textId="7351F7E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5186</w:t>
            </w:r>
          </w:p>
        </w:tc>
        <w:tc>
          <w:tcPr>
            <w:tcW w:w="551" w:type="pct"/>
            <w:tcBorders>
              <w:top w:val="nil"/>
              <w:left w:val="nil"/>
              <w:bottom w:val="nil"/>
              <w:right w:val="nil"/>
            </w:tcBorders>
            <w:vAlign w:val="center"/>
          </w:tcPr>
          <w:p w14:paraId="1ACBB870" w14:textId="7F3E38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146F54EA" w14:textId="7FA9839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0E195FA4" w14:textId="55A2FD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7E76C6C1" w14:textId="65C4060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2DB3D273" w14:textId="017E6FD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508</w:t>
            </w:r>
          </w:p>
        </w:tc>
        <w:tc>
          <w:tcPr>
            <w:tcW w:w="551" w:type="pct"/>
            <w:gridSpan w:val="2"/>
            <w:tcBorders>
              <w:top w:val="nil"/>
              <w:left w:val="nil"/>
              <w:bottom w:val="nil"/>
              <w:right w:val="nil"/>
            </w:tcBorders>
            <w:vAlign w:val="center"/>
          </w:tcPr>
          <w:p w14:paraId="669D54AD" w14:textId="5A467F9D"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7825</w:t>
            </w:r>
          </w:p>
        </w:tc>
        <w:tc>
          <w:tcPr>
            <w:tcW w:w="90" w:type="pct"/>
            <w:tcBorders>
              <w:top w:val="nil"/>
              <w:left w:val="nil"/>
              <w:bottom w:val="nil"/>
              <w:right w:val="nil"/>
            </w:tcBorders>
            <w:vAlign w:val="center"/>
          </w:tcPr>
          <w:p w14:paraId="3CC654F4" w14:textId="559807F7" w:rsidR="00124A2B" w:rsidRPr="00824E21" w:rsidRDefault="00124A2B" w:rsidP="00124A2B">
            <w:pPr>
              <w:jc w:val="center"/>
              <w:rPr>
                <w:rFonts w:asciiTheme="majorHAnsi" w:hAnsiTheme="majorHAnsi" w:cstheme="majorHAnsi"/>
                <w:sz w:val="20"/>
                <w:szCs w:val="20"/>
              </w:rPr>
            </w:pPr>
          </w:p>
        </w:tc>
      </w:tr>
      <w:tr w:rsidR="00B719F1" w:rsidRPr="00B621E1" w14:paraId="034D1CD2" w14:textId="77777777" w:rsidTr="00AB4825">
        <w:trPr>
          <w:gridAfter w:val="2"/>
          <w:wAfter w:w="99" w:type="pct"/>
          <w:trHeight w:val="287"/>
        </w:trPr>
        <w:tc>
          <w:tcPr>
            <w:tcW w:w="4901" w:type="pct"/>
            <w:gridSpan w:val="8"/>
            <w:tcBorders>
              <w:top w:val="nil"/>
              <w:left w:val="nil"/>
              <w:bottom w:val="nil"/>
              <w:right w:val="nil"/>
            </w:tcBorders>
            <w:vAlign w:val="center"/>
          </w:tcPr>
          <w:p w14:paraId="1FA7CC16" w14:textId="77777777" w:rsidR="00B719F1" w:rsidRPr="00824E21" w:rsidRDefault="00B719F1" w:rsidP="00806A88">
            <w:pPr>
              <w:rPr>
                <w:rFonts w:asciiTheme="majorHAnsi" w:hAnsiTheme="majorHAnsi" w:cstheme="majorHAnsi"/>
                <w:i/>
                <w:iCs/>
                <w:sz w:val="20"/>
                <w:szCs w:val="20"/>
              </w:rPr>
            </w:pPr>
          </w:p>
        </w:tc>
      </w:tr>
      <w:tr w:rsidR="00B719F1" w:rsidRPr="00B621E1" w14:paraId="72222820" w14:textId="77777777" w:rsidTr="00AB4825">
        <w:trPr>
          <w:gridAfter w:val="2"/>
          <w:wAfter w:w="99" w:type="pct"/>
          <w:trHeight w:val="287"/>
        </w:trPr>
        <w:tc>
          <w:tcPr>
            <w:tcW w:w="4901" w:type="pct"/>
            <w:gridSpan w:val="8"/>
            <w:tcBorders>
              <w:top w:val="nil"/>
              <w:left w:val="nil"/>
              <w:bottom w:val="nil"/>
              <w:right w:val="nil"/>
            </w:tcBorders>
            <w:vAlign w:val="center"/>
          </w:tcPr>
          <w:p w14:paraId="405759F0"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124A2B" w:rsidRPr="00B621E1" w14:paraId="0E794081" w14:textId="77777777" w:rsidTr="00AB4825">
        <w:trPr>
          <w:trHeight w:val="267"/>
        </w:trPr>
        <w:tc>
          <w:tcPr>
            <w:tcW w:w="1055" w:type="pct"/>
            <w:tcBorders>
              <w:top w:val="nil"/>
              <w:left w:val="nil"/>
              <w:bottom w:val="nil"/>
              <w:right w:val="nil"/>
            </w:tcBorders>
            <w:vAlign w:val="center"/>
          </w:tcPr>
          <w:p w14:paraId="236A3F9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E16A0AE" w14:textId="6BB2F1E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051F13B9" w14:textId="2A1F67A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44451E3" w14:textId="4DAE4B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C06355A" w14:textId="71D33B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353986E7" w14:textId="6D117C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tcBorders>
              <w:top w:val="nil"/>
              <w:left w:val="nil"/>
              <w:bottom w:val="nil"/>
              <w:right w:val="nil"/>
            </w:tcBorders>
            <w:vAlign w:val="center"/>
          </w:tcPr>
          <w:p w14:paraId="7AF91126" w14:textId="2C386C0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gridSpan w:val="2"/>
            <w:tcBorders>
              <w:top w:val="nil"/>
              <w:left w:val="nil"/>
              <w:bottom w:val="nil"/>
              <w:right w:val="nil"/>
            </w:tcBorders>
            <w:vAlign w:val="center"/>
          </w:tcPr>
          <w:p w14:paraId="4013D8B7" w14:textId="0688C6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546DAC56" w14:textId="435102E6" w:rsidR="00124A2B" w:rsidRPr="00824E21" w:rsidRDefault="00124A2B" w:rsidP="00124A2B">
            <w:pPr>
              <w:jc w:val="center"/>
              <w:rPr>
                <w:rFonts w:asciiTheme="majorHAnsi" w:hAnsiTheme="majorHAnsi" w:cstheme="majorHAnsi"/>
                <w:sz w:val="20"/>
                <w:szCs w:val="20"/>
              </w:rPr>
            </w:pPr>
          </w:p>
        </w:tc>
      </w:tr>
      <w:tr w:rsidR="00124A2B" w:rsidRPr="00B621E1" w14:paraId="747EE66D" w14:textId="77777777" w:rsidTr="00AB4825">
        <w:trPr>
          <w:trHeight w:val="287"/>
        </w:trPr>
        <w:tc>
          <w:tcPr>
            <w:tcW w:w="1055" w:type="pct"/>
            <w:tcBorders>
              <w:top w:val="nil"/>
              <w:left w:val="nil"/>
              <w:bottom w:val="nil"/>
              <w:right w:val="nil"/>
            </w:tcBorders>
            <w:vAlign w:val="center"/>
          </w:tcPr>
          <w:p w14:paraId="5CAC3F7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70CD289" w14:textId="5CE046B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5174</w:t>
            </w:r>
          </w:p>
        </w:tc>
        <w:tc>
          <w:tcPr>
            <w:tcW w:w="551" w:type="pct"/>
            <w:tcBorders>
              <w:top w:val="nil"/>
              <w:left w:val="nil"/>
              <w:bottom w:val="nil"/>
              <w:right w:val="nil"/>
            </w:tcBorders>
            <w:vAlign w:val="center"/>
          </w:tcPr>
          <w:p w14:paraId="21F5C516" w14:textId="5F67D99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6C96A55F" w14:textId="67E5517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6A53192E" w14:textId="38F5F0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0F9FAAA" w14:textId="6B89432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61121662" w14:textId="19C88F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DF1AA83" w14:textId="374FAF9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7711</w:t>
            </w:r>
          </w:p>
        </w:tc>
        <w:tc>
          <w:tcPr>
            <w:tcW w:w="90" w:type="pct"/>
            <w:tcBorders>
              <w:top w:val="nil"/>
              <w:left w:val="nil"/>
              <w:bottom w:val="nil"/>
              <w:right w:val="nil"/>
            </w:tcBorders>
            <w:vAlign w:val="center"/>
          </w:tcPr>
          <w:p w14:paraId="0B270F34" w14:textId="6930F6AA" w:rsidR="00124A2B" w:rsidRPr="00824E21" w:rsidRDefault="00124A2B" w:rsidP="00124A2B">
            <w:pPr>
              <w:jc w:val="center"/>
              <w:rPr>
                <w:rFonts w:asciiTheme="majorHAnsi" w:hAnsiTheme="majorHAnsi" w:cstheme="majorHAnsi"/>
                <w:sz w:val="20"/>
                <w:szCs w:val="20"/>
              </w:rPr>
            </w:pPr>
          </w:p>
        </w:tc>
      </w:tr>
      <w:tr w:rsidR="00B719F1" w:rsidRPr="00B621E1" w14:paraId="0CAC11A5" w14:textId="77777777" w:rsidTr="00AB4825">
        <w:trPr>
          <w:gridAfter w:val="2"/>
          <w:wAfter w:w="99" w:type="pct"/>
          <w:trHeight w:val="287"/>
        </w:trPr>
        <w:tc>
          <w:tcPr>
            <w:tcW w:w="4901" w:type="pct"/>
            <w:gridSpan w:val="8"/>
            <w:tcBorders>
              <w:top w:val="nil"/>
              <w:left w:val="nil"/>
              <w:bottom w:val="nil"/>
              <w:right w:val="nil"/>
            </w:tcBorders>
            <w:vAlign w:val="center"/>
          </w:tcPr>
          <w:p w14:paraId="435AC7B4" w14:textId="77777777" w:rsidR="00B719F1" w:rsidRPr="00824E21" w:rsidRDefault="00B719F1" w:rsidP="00806A88">
            <w:pPr>
              <w:rPr>
                <w:rFonts w:asciiTheme="majorHAnsi" w:hAnsiTheme="majorHAnsi" w:cstheme="majorHAnsi"/>
                <w:i/>
                <w:iCs/>
                <w:sz w:val="20"/>
                <w:szCs w:val="20"/>
              </w:rPr>
            </w:pPr>
          </w:p>
        </w:tc>
      </w:tr>
      <w:tr w:rsidR="00B719F1" w:rsidRPr="00B621E1" w14:paraId="32195A91" w14:textId="77777777" w:rsidTr="00AB4825">
        <w:trPr>
          <w:gridAfter w:val="2"/>
          <w:wAfter w:w="99" w:type="pct"/>
          <w:trHeight w:val="287"/>
        </w:trPr>
        <w:tc>
          <w:tcPr>
            <w:tcW w:w="4901" w:type="pct"/>
            <w:gridSpan w:val="8"/>
            <w:tcBorders>
              <w:top w:val="nil"/>
              <w:left w:val="nil"/>
              <w:bottom w:val="nil"/>
              <w:right w:val="nil"/>
            </w:tcBorders>
            <w:vAlign w:val="center"/>
          </w:tcPr>
          <w:p w14:paraId="402DA4D5"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124A2B" w:rsidRPr="00B621E1" w14:paraId="2E779333" w14:textId="77777777" w:rsidTr="00AB4825">
        <w:trPr>
          <w:trHeight w:val="287"/>
        </w:trPr>
        <w:tc>
          <w:tcPr>
            <w:tcW w:w="1055" w:type="pct"/>
            <w:tcBorders>
              <w:top w:val="nil"/>
              <w:left w:val="nil"/>
              <w:bottom w:val="nil"/>
              <w:right w:val="nil"/>
            </w:tcBorders>
            <w:vAlign w:val="center"/>
          </w:tcPr>
          <w:p w14:paraId="11B448B1"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4C5563E0" w14:textId="785066F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02E55D59" w14:textId="7D2F624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343AD20F" w14:textId="3832A5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4F99622B" w14:textId="4CCCC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4A57D87F" w14:textId="3070C2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271967EA" w14:textId="7D385D0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gridSpan w:val="2"/>
            <w:tcBorders>
              <w:top w:val="nil"/>
              <w:left w:val="nil"/>
              <w:bottom w:val="nil"/>
              <w:right w:val="nil"/>
            </w:tcBorders>
            <w:vAlign w:val="center"/>
          </w:tcPr>
          <w:p w14:paraId="14B44571" w14:textId="6CE0AA1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90" w:type="pct"/>
            <w:tcBorders>
              <w:top w:val="nil"/>
              <w:left w:val="nil"/>
              <w:bottom w:val="nil"/>
              <w:right w:val="nil"/>
            </w:tcBorders>
            <w:vAlign w:val="center"/>
          </w:tcPr>
          <w:p w14:paraId="62D8B3D3" w14:textId="175BE69D" w:rsidR="00124A2B" w:rsidRPr="00824E21" w:rsidRDefault="00124A2B" w:rsidP="00124A2B">
            <w:pPr>
              <w:jc w:val="center"/>
              <w:rPr>
                <w:rFonts w:asciiTheme="majorHAnsi" w:hAnsiTheme="majorHAnsi" w:cstheme="majorHAnsi"/>
                <w:sz w:val="20"/>
                <w:szCs w:val="20"/>
              </w:rPr>
            </w:pPr>
          </w:p>
        </w:tc>
      </w:tr>
      <w:tr w:rsidR="00124A2B" w:rsidRPr="00B621E1" w14:paraId="6ADC7780" w14:textId="77777777" w:rsidTr="00AB4825">
        <w:trPr>
          <w:trHeight w:val="267"/>
        </w:trPr>
        <w:tc>
          <w:tcPr>
            <w:tcW w:w="1055" w:type="pct"/>
            <w:tcBorders>
              <w:top w:val="nil"/>
              <w:left w:val="nil"/>
              <w:bottom w:val="nil"/>
              <w:right w:val="nil"/>
            </w:tcBorders>
            <w:vAlign w:val="center"/>
          </w:tcPr>
          <w:p w14:paraId="3C56D46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6A20760C" w14:textId="20B2EE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5176</w:t>
            </w:r>
          </w:p>
        </w:tc>
        <w:tc>
          <w:tcPr>
            <w:tcW w:w="551" w:type="pct"/>
            <w:tcBorders>
              <w:top w:val="nil"/>
              <w:left w:val="nil"/>
              <w:bottom w:val="nil"/>
              <w:right w:val="nil"/>
            </w:tcBorders>
            <w:vAlign w:val="center"/>
          </w:tcPr>
          <w:p w14:paraId="7A5D8E63" w14:textId="637B57F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722C589C" w14:textId="7FE265D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2A50410C" w14:textId="0ECE04B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63DC443F" w14:textId="7B0F111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14330B64" w14:textId="3EC4D6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548C164" w14:textId="0BBFA6F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7711</w:t>
            </w:r>
          </w:p>
        </w:tc>
        <w:tc>
          <w:tcPr>
            <w:tcW w:w="90" w:type="pct"/>
            <w:tcBorders>
              <w:top w:val="nil"/>
              <w:left w:val="nil"/>
              <w:bottom w:val="nil"/>
              <w:right w:val="nil"/>
            </w:tcBorders>
            <w:vAlign w:val="center"/>
          </w:tcPr>
          <w:p w14:paraId="532FC66F" w14:textId="459153A3" w:rsidR="00124A2B" w:rsidRPr="00824E21" w:rsidRDefault="00124A2B" w:rsidP="00124A2B">
            <w:pPr>
              <w:jc w:val="center"/>
              <w:rPr>
                <w:rFonts w:asciiTheme="majorHAnsi" w:hAnsiTheme="majorHAnsi" w:cstheme="majorHAnsi"/>
                <w:sz w:val="20"/>
                <w:szCs w:val="20"/>
              </w:rPr>
            </w:pPr>
          </w:p>
        </w:tc>
      </w:tr>
      <w:tr w:rsidR="00B719F1" w:rsidRPr="00B621E1" w14:paraId="2B908A64" w14:textId="77777777" w:rsidTr="00AB4825">
        <w:trPr>
          <w:gridAfter w:val="2"/>
          <w:wAfter w:w="99" w:type="pct"/>
          <w:trHeight w:val="267"/>
        </w:trPr>
        <w:tc>
          <w:tcPr>
            <w:tcW w:w="4901" w:type="pct"/>
            <w:gridSpan w:val="8"/>
            <w:tcBorders>
              <w:top w:val="nil"/>
              <w:left w:val="nil"/>
              <w:bottom w:val="nil"/>
              <w:right w:val="nil"/>
            </w:tcBorders>
            <w:vAlign w:val="center"/>
          </w:tcPr>
          <w:p w14:paraId="26E147E9" w14:textId="77777777" w:rsidR="00B719F1" w:rsidRPr="00824E21" w:rsidRDefault="00B719F1" w:rsidP="00806A88">
            <w:pPr>
              <w:rPr>
                <w:rFonts w:asciiTheme="majorHAnsi" w:hAnsiTheme="majorHAnsi" w:cstheme="majorHAnsi"/>
                <w:i/>
                <w:iCs/>
                <w:sz w:val="20"/>
                <w:szCs w:val="20"/>
              </w:rPr>
            </w:pPr>
          </w:p>
        </w:tc>
      </w:tr>
      <w:tr w:rsidR="00B719F1" w:rsidRPr="00B621E1" w14:paraId="7313A0AA" w14:textId="77777777" w:rsidTr="00AB4825">
        <w:trPr>
          <w:gridAfter w:val="2"/>
          <w:wAfter w:w="99" w:type="pct"/>
          <w:trHeight w:val="267"/>
        </w:trPr>
        <w:tc>
          <w:tcPr>
            <w:tcW w:w="4901" w:type="pct"/>
            <w:gridSpan w:val="8"/>
            <w:tcBorders>
              <w:top w:val="nil"/>
              <w:left w:val="nil"/>
              <w:bottom w:val="nil"/>
              <w:right w:val="nil"/>
            </w:tcBorders>
            <w:vAlign w:val="center"/>
          </w:tcPr>
          <w:p w14:paraId="6319E283"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124A2B" w:rsidRPr="00B621E1" w14:paraId="79E925DF" w14:textId="77777777" w:rsidTr="00AB4825">
        <w:trPr>
          <w:trHeight w:val="287"/>
        </w:trPr>
        <w:tc>
          <w:tcPr>
            <w:tcW w:w="1055" w:type="pct"/>
            <w:tcBorders>
              <w:top w:val="nil"/>
              <w:left w:val="nil"/>
              <w:bottom w:val="nil"/>
              <w:right w:val="nil"/>
            </w:tcBorders>
            <w:vAlign w:val="center"/>
          </w:tcPr>
          <w:p w14:paraId="53079B3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65DB21D7" w14:textId="6C2C35E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22AE152A" w14:textId="1486AD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0B6EC0DB" w14:textId="0F2F5DA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32E947CF" w14:textId="00E6CDB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A749728" w14:textId="4F69A3C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25D7B3E6" w14:textId="5BF736B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5F1D3447" w14:textId="72640E7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7E6B6AB2" w14:textId="292745D4" w:rsidR="00124A2B" w:rsidRPr="00824E21" w:rsidRDefault="00124A2B" w:rsidP="00124A2B">
            <w:pPr>
              <w:jc w:val="center"/>
              <w:rPr>
                <w:rFonts w:asciiTheme="majorHAnsi" w:hAnsiTheme="majorHAnsi" w:cstheme="majorHAnsi"/>
                <w:sz w:val="20"/>
                <w:szCs w:val="20"/>
              </w:rPr>
            </w:pPr>
          </w:p>
        </w:tc>
      </w:tr>
      <w:tr w:rsidR="00124A2B" w:rsidRPr="00B621E1" w14:paraId="664B5515" w14:textId="77777777" w:rsidTr="00AB4825">
        <w:trPr>
          <w:trHeight w:val="267"/>
        </w:trPr>
        <w:tc>
          <w:tcPr>
            <w:tcW w:w="1055" w:type="pct"/>
            <w:tcBorders>
              <w:top w:val="nil"/>
              <w:left w:val="nil"/>
              <w:bottom w:val="nil"/>
              <w:right w:val="nil"/>
            </w:tcBorders>
            <w:vAlign w:val="center"/>
          </w:tcPr>
          <w:p w14:paraId="005EDBEB"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2277C3E" w14:textId="567E909D"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5179</w:t>
            </w:r>
          </w:p>
        </w:tc>
        <w:tc>
          <w:tcPr>
            <w:tcW w:w="551" w:type="pct"/>
            <w:tcBorders>
              <w:top w:val="nil"/>
              <w:left w:val="nil"/>
              <w:bottom w:val="nil"/>
              <w:right w:val="nil"/>
            </w:tcBorders>
            <w:vAlign w:val="center"/>
          </w:tcPr>
          <w:p w14:paraId="4FD6475E" w14:textId="26713D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6A7CB823" w14:textId="26E8EFF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4DB1127F" w14:textId="2D3B8E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D1F6EAD" w14:textId="331372D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130</w:t>
            </w:r>
          </w:p>
        </w:tc>
        <w:tc>
          <w:tcPr>
            <w:tcW w:w="551" w:type="pct"/>
            <w:tcBorders>
              <w:top w:val="nil"/>
              <w:left w:val="nil"/>
              <w:bottom w:val="nil"/>
              <w:right w:val="nil"/>
            </w:tcBorders>
            <w:vAlign w:val="center"/>
          </w:tcPr>
          <w:p w14:paraId="59E5A2D6" w14:textId="45CB987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59A4CA3A" w14:textId="313D2BA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7713</w:t>
            </w:r>
          </w:p>
        </w:tc>
        <w:tc>
          <w:tcPr>
            <w:tcW w:w="90" w:type="pct"/>
            <w:tcBorders>
              <w:top w:val="nil"/>
              <w:left w:val="nil"/>
              <w:bottom w:val="nil"/>
              <w:right w:val="nil"/>
            </w:tcBorders>
            <w:vAlign w:val="center"/>
          </w:tcPr>
          <w:p w14:paraId="21EEEEC9" w14:textId="3D404DA8" w:rsidR="00124A2B" w:rsidRPr="00824E21" w:rsidRDefault="00124A2B" w:rsidP="00124A2B">
            <w:pPr>
              <w:jc w:val="center"/>
              <w:rPr>
                <w:rFonts w:asciiTheme="majorHAnsi" w:hAnsiTheme="majorHAnsi" w:cstheme="majorHAnsi"/>
                <w:sz w:val="20"/>
                <w:szCs w:val="20"/>
              </w:rPr>
            </w:pPr>
          </w:p>
        </w:tc>
      </w:tr>
      <w:tr w:rsidR="00B719F1" w:rsidRPr="00B621E1" w14:paraId="2B6CB939" w14:textId="77777777" w:rsidTr="00AB4825">
        <w:trPr>
          <w:gridAfter w:val="2"/>
          <w:wAfter w:w="99" w:type="pct"/>
          <w:trHeight w:val="267"/>
        </w:trPr>
        <w:tc>
          <w:tcPr>
            <w:tcW w:w="4901" w:type="pct"/>
            <w:gridSpan w:val="8"/>
            <w:tcBorders>
              <w:top w:val="nil"/>
              <w:left w:val="nil"/>
              <w:bottom w:val="nil"/>
              <w:right w:val="nil"/>
            </w:tcBorders>
            <w:vAlign w:val="center"/>
          </w:tcPr>
          <w:p w14:paraId="730BEC14" w14:textId="77777777" w:rsidR="00B719F1" w:rsidRPr="00824E21" w:rsidRDefault="00B719F1" w:rsidP="00806A88">
            <w:pPr>
              <w:rPr>
                <w:rFonts w:asciiTheme="majorHAnsi" w:hAnsiTheme="majorHAnsi" w:cstheme="majorHAnsi"/>
                <w:i/>
                <w:iCs/>
                <w:sz w:val="20"/>
                <w:szCs w:val="20"/>
              </w:rPr>
            </w:pPr>
          </w:p>
        </w:tc>
      </w:tr>
      <w:tr w:rsidR="00B719F1" w:rsidRPr="00B621E1" w14:paraId="7EE5CD3D" w14:textId="77777777" w:rsidTr="00AB4825">
        <w:trPr>
          <w:gridAfter w:val="2"/>
          <w:wAfter w:w="99" w:type="pct"/>
          <w:trHeight w:val="267"/>
        </w:trPr>
        <w:tc>
          <w:tcPr>
            <w:tcW w:w="4901" w:type="pct"/>
            <w:gridSpan w:val="8"/>
            <w:tcBorders>
              <w:top w:val="nil"/>
              <w:left w:val="nil"/>
              <w:bottom w:val="nil"/>
              <w:right w:val="nil"/>
            </w:tcBorders>
            <w:vAlign w:val="center"/>
          </w:tcPr>
          <w:p w14:paraId="050A8039"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124A2B" w:rsidRPr="00B621E1" w14:paraId="60FD9104" w14:textId="77777777" w:rsidTr="00AB4825">
        <w:trPr>
          <w:trHeight w:val="287"/>
        </w:trPr>
        <w:tc>
          <w:tcPr>
            <w:tcW w:w="1055" w:type="pct"/>
            <w:tcBorders>
              <w:top w:val="nil"/>
              <w:left w:val="nil"/>
              <w:bottom w:val="nil"/>
              <w:right w:val="nil"/>
            </w:tcBorders>
            <w:vAlign w:val="center"/>
          </w:tcPr>
          <w:p w14:paraId="50FFA8C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AF9B6DF" w14:textId="238951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58E98325" w14:textId="05F03EC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158FF22" w14:textId="6462AE4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E4062EB" w14:textId="5AB62C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271F8141" w14:textId="5C39EF5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7EAE50B5" w14:textId="081F86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gridSpan w:val="2"/>
            <w:tcBorders>
              <w:top w:val="nil"/>
              <w:left w:val="nil"/>
              <w:bottom w:val="nil"/>
              <w:right w:val="nil"/>
            </w:tcBorders>
            <w:vAlign w:val="center"/>
          </w:tcPr>
          <w:p w14:paraId="005B3581" w14:textId="20D9B55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4620522E" w14:textId="2A022E1B" w:rsidR="00124A2B" w:rsidRPr="00824E21" w:rsidRDefault="00124A2B" w:rsidP="00124A2B">
            <w:pPr>
              <w:jc w:val="center"/>
              <w:rPr>
                <w:rFonts w:asciiTheme="majorHAnsi" w:hAnsiTheme="majorHAnsi" w:cstheme="majorHAnsi"/>
                <w:sz w:val="20"/>
                <w:szCs w:val="20"/>
              </w:rPr>
            </w:pPr>
          </w:p>
        </w:tc>
      </w:tr>
      <w:tr w:rsidR="00124A2B" w:rsidRPr="00B621E1" w14:paraId="598E88CB" w14:textId="77777777" w:rsidTr="00AB4825">
        <w:trPr>
          <w:trHeight w:val="306"/>
        </w:trPr>
        <w:tc>
          <w:tcPr>
            <w:tcW w:w="1055" w:type="pct"/>
            <w:tcBorders>
              <w:top w:val="nil"/>
              <w:left w:val="nil"/>
              <w:bottom w:val="single" w:sz="4" w:space="0" w:color="auto"/>
              <w:right w:val="nil"/>
            </w:tcBorders>
            <w:vAlign w:val="center"/>
          </w:tcPr>
          <w:p w14:paraId="7AB13AAA"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single" w:sz="4" w:space="0" w:color="auto"/>
              <w:right w:val="nil"/>
            </w:tcBorders>
            <w:vAlign w:val="center"/>
          </w:tcPr>
          <w:p w14:paraId="7C248164" w14:textId="419268E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5177</w:t>
            </w:r>
          </w:p>
        </w:tc>
        <w:tc>
          <w:tcPr>
            <w:tcW w:w="551" w:type="pct"/>
            <w:tcBorders>
              <w:top w:val="nil"/>
              <w:left w:val="nil"/>
              <w:bottom w:val="single" w:sz="4" w:space="0" w:color="auto"/>
              <w:right w:val="nil"/>
            </w:tcBorders>
            <w:vAlign w:val="center"/>
          </w:tcPr>
          <w:p w14:paraId="1F84E047" w14:textId="5E22489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single" w:sz="4" w:space="0" w:color="auto"/>
              <w:right w:val="nil"/>
            </w:tcBorders>
            <w:vAlign w:val="center"/>
          </w:tcPr>
          <w:p w14:paraId="479CBC83" w14:textId="0DD3EAE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1137</w:t>
            </w:r>
          </w:p>
        </w:tc>
        <w:tc>
          <w:tcPr>
            <w:tcW w:w="551" w:type="pct"/>
            <w:tcBorders>
              <w:top w:val="nil"/>
              <w:left w:val="nil"/>
              <w:bottom w:val="single" w:sz="4" w:space="0" w:color="auto"/>
              <w:right w:val="nil"/>
            </w:tcBorders>
            <w:vAlign w:val="center"/>
          </w:tcPr>
          <w:p w14:paraId="62F8DAAF" w14:textId="78F8463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single" w:sz="4" w:space="0" w:color="auto"/>
              <w:right w:val="nil"/>
            </w:tcBorders>
            <w:vAlign w:val="center"/>
          </w:tcPr>
          <w:p w14:paraId="7FEA5764" w14:textId="305C12C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single" w:sz="4" w:space="0" w:color="auto"/>
              <w:right w:val="nil"/>
            </w:tcBorders>
            <w:vAlign w:val="center"/>
          </w:tcPr>
          <w:p w14:paraId="5C27A624" w14:textId="59FD753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506</w:t>
            </w:r>
          </w:p>
        </w:tc>
        <w:tc>
          <w:tcPr>
            <w:tcW w:w="551" w:type="pct"/>
            <w:gridSpan w:val="2"/>
            <w:tcBorders>
              <w:top w:val="nil"/>
              <w:left w:val="nil"/>
              <w:bottom w:val="single" w:sz="4" w:space="0" w:color="auto"/>
              <w:right w:val="nil"/>
            </w:tcBorders>
            <w:vAlign w:val="center"/>
          </w:tcPr>
          <w:p w14:paraId="781D94DB" w14:textId="23B0385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7709</w:t>
            </w:r>
          </w:p>
        </w:tc>
        <w:tc>
          <w:tcPr>
            <w:tcW w:w="90" w:type="pct"/>
            <w:tcBorders>
              <w:top w:val="nil"/>
              <w:left w:val="nil"/>
              <w:bottom w:val="single" w:sz="4" w:space="0" w:color="auto"/>
              <w:right w:val="nil"/>
            </w:tcBorders>
            <w:vAlign w:val="center"/>
          </w:tcPr>
          <w:p w14:paraId="21E49756" w14:textId="507CC4CA" w:rsidR="00124A2B" w:rsidRPr="00824E21" w:rsidRDefault="00124A2B" w:rsidP="00124A2B">
            <w:pPr>
              <w:jc w:val="center"/>
              <w:rPr>
                <w:rFonts w:asciiTheme="majorHAnsi" w:hAnsiTheme="majorHAnsi" w:cstheme="majorHAnsi"/>
                <w:sz w:val="20"/>
                <w:szCs w:val="20"/>
              </w:rPr>
            </w:pPr>
          </w:p>
        </w:tc>
      </w:tr>
    </w:tbl>
    <w:p w14:paraId="7F14F484" w14:textId="77777777" w:rsidR="00A047E7" w:rsidRPr="00824E21" w:rsidRDefault="00A047E7" w:rsidP="001B2966">
      <w:pPr>
        <w:spacing w:line="360" w:lineRule="auto"/>
        <w:rPr>
          <w:rFonts w:asciiTheme="majorHAnsi" w:hAnsiTheme="majorHAnsi" w:cstheme="majorHAnsi"/>
        </w:rPr>
      </w:pPr>
    </w:p>
    <w:p w14:paraId="1E37B83C" w14:textId="77777777" w:rsidR="00124A2B" w:rsidRPr="00824E21" w:rsidRDefault="00124A2B" w:rsidP="001B2966">
      <w:pPr>
        <w:spacing w:line="360" w:lineRule="auto"/>
        <w:rPr>
          <w:rFonts w:asciiTheme="majorHAnsi" w:hAnsiTheme="majorHAnsi" w:cstheme="majorHAnsi"/>
        </w:rPr>
      </w:pPr>
    </w:p>
    <w:p w14:paraId="49E4288D" w14:textId="77777777" w:rsidR="00124A2B" w:rsidRPr="00824E21" w:rsidRDefault="00124A2B" w:rsidP="001B2966">
      <w:pPr>
        <w:spacing w:line="360" w:lineRule="auto"/>
        <w:rPr>
          <w:rFonts w:asciiTheme="majorHAnsi" w:hAnsiTheme="majorHAnsi" w:cstheme="majorHAnsi"/>
        </w:rPr>
        <w:sectPr w:rsidR="00124A2B" w:rsidRPr="00824E21" w:rsidSect="00B342DF">
          <w:pgSz w:w="15840" w:h="12240" w:orient="landscape"/>
          <w:pgMar w:top="1440" w:right="1440" w:bottom="1440" w:left="1440" w:header="720" w:footer="720" w:gutter="0"/>
          <w:cols w:space="720"/>
          <w:docGrid w:linePitch="326"/>
        </w:sectPr>
      </w:pPr>
    </w:p>
    <w:p w14:paraId="7439B166" w14:textId="585D3903" w:rsidR="00BD041A"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D: Summary Statistics of Individual College Concern Items</w:t>
      </w:r>
    </w:p>
    <w:p w14:paraId="1A1155F4" w14:textId="1275DF1F" w:rsidR="00E97A5A" w:rsidRPr="00824E21" w:rsidRDefault="00F30BC1" w:rsidP="000E543C">
      <w:pPr>
        <w:spacing w:line="360" w:lineRule="auto"/>
        <w:rPr>
          <w:rFonts w:asciiTheme="majorHAnsi" w:hAnsiTheme="majorHAnsi" w:cstheme="majorHAnsi"/>
          <w:i/>
          <w:iCs/>
        </w:rPr>
      </w:pPr>
      <w:r>
        <w:rPr>
          <w:rFonts w:asciiTheme="majorHAnsi" w:hAnsiTheme="majorHAnsi" w:cstheme="majorHAnsi"/>
          <w:b/>
          <w:bCs/>
        </w:rPr>
        <w:t xml:space="preserve">Table D1. </w:t>
      </w:r>
      <w:commentRangeStart w:id="95"/>
      <w:r>
        <w:rPr>
          <w:rFonts w:asciiTheme="majorHAnsi" w:hAnsiTheme="majorHAnsi" w:cstheme="majorHAnsi"/>
          <w:i/>
          <w:iCs/>
        </w:rPr>
        <w:t>College Concern Items by Gender Identity</w:t>
      </w:r>
      <w:commentRangeEnd w:id="95"/>
      <w:r w:rsidRPr="00824E21">
        <w:rPr>
          <w:rStyle w:val="CommentReference"/>
          <w:rFonts w:asciiTheme="majorHAnsi" w:hAnsiTheme="majorHAnsi" w:cstheme="majorHAnsi"/>
          <w:i/>
          <w:iCs/>
          <w:sz w:val="24"/>
          <w:szCs w:val="24"/>
        </w:rPr>
        <w:commentReference w:id="95"/>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B621E1"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824E21" w:rsidRDefault="00E97A5A" w:rsidP="0073266D">
            <w:pPr>
              <w:rPr>
                <w:rFonts w:asciiTheme="majorHAnsi" w:hAnsiTheme="majorHAnsi" w:cstheme="majorHAnsi"/>
                <w:sz w:val="20"/>
                <w:szCs w:val="20"/>
              </w:rPr>
            </w:pPr>
            <w:r>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Cisgender Man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Cisgender Woman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Transgender Man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Transgender Woman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Gender Diverse/</w:t>
            </w:r>
          </w:p>
          <w:p w14:paraId="7889323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E97A5A" w:rsidRPr="00B621E1"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824E21" w:rsidRDefault="00E97A5A" w:rsidP="0073266D">
            <w:pPr>
              <w:ind w:left="-5"/>
              <w:rPr>
                <w:rFonts w:asciiTheme="majorHAnsi" w:hAnsiTheme="majorHAnsi" w:cstheme="majorHAnsi"/>
                <w:sz w:val="20"/>
                <w:szCs w:val="20"/>
              </w:rPr>
            </w:pPr>
            <w:r>
              <w:rPr>
                <w:rFonts w:asciiTheme="majorHAnsi" w:hAnsiTheme="majorHAnsi" w:cstheme="majorHAnsi"/>
                <w:sz w:val="20"/>
                <w:szCs w:val="20"/>
              </w:rPr>
              <w:t>How worried are you about…</w:t>
            </w:r>
          </w:p>
        </w:tc>
      </w:tr>
      <w:tr w:rsidR="00E97A5A" w:rsidRPr="00B621E1"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824E21" w:rsidRDefault="00E97A5A" w:rsidP="0073266D">
            <w:pPr>
              <w:ind w:left="-111"/>
              <w:rPr>
                <w:rFonts w:asciiTheme="majorHAnsi" w:hAnsiTheme="majorHAnsi" w:cstheme="majorHAnsi"/>
                <w:sz w:val="20"/>
                <w:szCs w:val="20"/>
              </w:rPr>
            </w:pPr>
          </w:p>
        </w:tc>
      </w:tr>
      <w:tr w:rsidR="00E97A5A" w:rsidRPr="00B621E1"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824E21" w:rsidRDefault="00E97A5A" w:rsidP="0073266D">
            <w:pPr>
              <w:ind w:left="699"/>
              <w:rPr>
                <w:rFonts w:asciiTheme="majorHAnsi" w:hAnsiTheme="majorHAnsi" w:cstheme="majorHAnsi"/>
                <w:sz w:val="20"/>
                <w:szCs w:val="20"/>
              </w:rPr>
            </w:pPr>
            <w:r>
              <w:rPr>
                <w:rFonts w:asciiTheme="majorHAnsi" w:hAnsiTheme="majorHAnsi" w:cstheme="majorHAnsi"/>
                <w:sz w:val="20"/>
                <w:szCs w:val="20"/>
              </w:rPr>
              <w:t>Affording tuition fees?</w:t>
            </w:r>
          </w:p>
        </w:tc>
      </w:tr>
      <w:tr w:rsidR="0073266D" w:rsidRPr="00B621E1"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42DD974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555" w:type="pct"/>
            <w:tcMar>
              <w:top w:w="0" w:type="dxa"/>
              <w:left w:w="100" w:type="dxa"/>
              <w:bottom w:w="0" w:type="dxa"/>
              <w:right w:w="100" w:type="dxa"/>
            </w:tcMar>
          </w:tcPr>
          <w:p w14:paraId="71E1F317" w14:textId="4A00E1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03" w:type="pct"/>
            <w:tcMar>
              <w:top w:w="0" w:type="dxa"/>
              <w:left w:w="100" w:type="dxa"/>
              <w:bottom w:w="0" w:type="dxa"/>
              <w:right w:w="100" w:type="dxa"/>
            </w:tcMar>
          </w:tcPr>
          <w:p w14:paraId="0437B225" w14:textId="1ECC1E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64" w:type="pct"/>
            <w:tcMar>
              <w:top w:w="0" w:type="dxa"/>
              <w:left w:w="100" w:type="dxa"/>
              <w:bottom w:w="0" w:type="dxa"/>
              <w:right w:w="100" w:type="dxa"/>
            </w:tcMar>
          </w:tcPr>
          <w:p w14:paraId="67B9E16C" w14:textId="17C1685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6109DDF9" w14:textId="71CD23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655" w:type="pct"/>
            <w:tcMar>
              <w:top w:w="0" w:type="dxa"/>
              <w:left w:w="100" w:type="dxa"/>
              <w:bottom w:w="0" w:type="dxa"/>
              <w:right w:w="100" w:type="dxa"/>
            </w:tcMar>
          </w:tcPr>
          <w:p w14:paraId="52958F52" w14:textId="65D9D6C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2.2</w:t>
            </w:r>
          </w:p>
        </w:tc>
        <w:tc>
          <w:tcPr>
            <w:tcW w:w="427" w:type="pct"/>
            <w:tcMar>
              <w:top w:w="0" w:type="dxa"/>
              <w:left w:w="100" w:type="dxa"/>
              <w:bottom w:w="0" w:type="dxa"/>
              <w:right w:w="100" w:type="dxa"/>
            </w:tcMar>
          </w:tcPr>
          <w:p w14:paraId="4EA80BEA" w14:textId="7111623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387" w:type="pct"/>
            <w:tcMar>
              <w:top w:w="0" w:type="dxa"/>
              <w:left w:w="100" w:type="dxa"/>
              <w:bottom w:w="0" w:type="dxa"/>
              <w:right w:w="100" w:type="dxa"/>
            </w:tcMar>
          </w:tcPr>
          <w:p w14:paraId="1FDDE2A8" w14:textId="42F0B9B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r>
      <w:tr w:rsidR="0073266D" w:rsidRPr="00B621E1"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7,496</w:t>
            </w:r>
          </w:p>
        </w:tc>
      </w:tr>
      <w:tr w:rsidR="00E97A5A" w:rsidRPr="00B621E1"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824E21" w:rsidRDefault="00E97A5A" w:rsidP="0073266D">
            <w:pPr>
              <w:ind w:left="720"/>
              <w:rPr>
                <w:rFonts w:asciiTheme="majorHAnsi" w:hAnsiTheme="majorHAnsi" w:cstheme="majorHAnsi"/>
                <w:sz w:val="20"/>
                <w:szCs w:val="20"/>
              </w:rPr>
            </w:pPr>
          </w:p>
        </w:tc>
      </w:tr>
      <w:tr w:rsidR="00E97A5A" w:rsidRPr="00B621E1"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expenses?</w:t>
            </w:r>
          </w:p>
        </w:tc>
      </w:tr>
      <w:tr w:rsidR="0073266D" w:rsidRPr="00B621E1"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2812232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555" w:type="pct"/>
            <w:tcMar>
              <w:top w:w="0" w:type="dxa"/>
              <w:left w:w="100" w:type="dxa"/>
              <w:bottom w:w="0" w:type="dxa"/>
              <w:right w:w="100" w:type="dxa"/>
            </w:tcMar>
          </w:tcPr>
          <w:p w14:paraId="06C2CB91" w14:textId="5ADBA8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03" w:type="pct"/>
            <w:tcMar>
              <w:top w:w="0" w:type="dxa"/>
              <w:left w:w="100" w:type="dxa"/>
              <w:bottom w:w="0" w:type="dxa"/>
              <w:right w:w="100" w:type="dxa"/>
            </w:tcMar>
          </w:tcPr>
          <w:p w14:paraId="7A082FFF" w14:textId="37E6755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7263DED" w14:textId="1F307A6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424" w:type="pct"/>
            <w:tcMar>
              <w:top w:w="0" w:type="dxa"/>
              <w:left w:w="100" w:type="dxa"/>
              <w:bottom w:w="0" w:type="dxa"/>
              <w:right w:w="100" w:type="dxa"/>
            </w:tcMar>
          </w:tcPr>
          <w:p w14:paraId="01228358" w14:textId="21D475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55" w:type="pct"/>
            <w:tcMar>
              <w:top w:w="0" w:type="dxa"/>
              <w:left w:w="100" w:type="dxa"/>
              <w:bottom w:w="0" w:type="dxa"/>
              <w:right w:w="100" w:type="dxa"/>
            </w:tcMar>
          </w:tcPr>
          <w:p w14:paraId="24157D12" w14:textId="6EA0C65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7" w:type="pct"/>
            <w:tcMar>
              <w:top w:w="0" w:type="dxa"/>
              <w:left w:w="100" w:type="dxa"/>
              <w:bottom w:w="0" w:type="dxa"/>
              <w:right w:w="100" w:type="dxa"/>
            </w:tcMar>
          </w:tcPr>
          <w:p w14:paraId="676BD48F" w14:textId="28E60D3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2EC6600F" w14:textId="1C96ACF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r>
      <w:tr w:rsidR="0073266D" w:rsidRPr="00B621E1"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824E21" w:rsidRDefault="00E97A5A" w:rsidP="0073266D">
            <w:pPr>
              <w:ind w:left="720"/>
              <w:rPr>
                <w:rFonts w:asciiTheme="majorHAnsi" w:hAnsiTheme="majorHAnsi" w:cstheme="majorHAnsi"/>
                <w:sz w:val="20"/>
                <w:szCs w:val="20"/>
              </w:rPr>
            </w:pPr>
          </w:p>
        </w:tc>
      </w:tr>
      <w:tr w:rsidR="00E97A5A" w:rsidRPr="00B621E1"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Performing well academically?</w:t>
            </w:r>
          </w:p>
        </w:tc>
      </w:tr>
      <w:tr w:rsidR="0073266D" w:rsidRPr="00B621E1"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5B761E0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0BA7E2BE" w14:textId="5D69CE8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42B24B4B" w14:textId="3F24D36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4CFF65E5" w14:textId="7FC05A8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24" w:type="pct"/>
            <w:tcMar>
              <w:top w:w="0" w:type="dxa"/>
              <w:left w:w="100" w:type="dxa"/>
              <w:bottom w:w="0" w:type="dxa"/>
              <w:right w:w="100" w:type="dxa"/>
            </w:tcMar>
          </w:tcPr>
          <w:p w14:paraId="7CF4E05F" w14:textId="115E528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5950A913" w14:textId="6A91C3B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7" w:type="pct"/>
            <w:tcMar>
              <w:top w:w="0" w:type="dxa"/>
              <w:left w:w="100" w:type="dxa"/>
              <w:bottom w:w="0" w:type="dxa"/>
              <w:right w:w="100" w:type="dxa"/>
            </w:tcMar>
          </w:tcPr>
          <w:p w14:paraId="067334D1" w14:textId="750E0AC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387" w:type="pct"/>
            <w:tcMar>
              <w:top w:w="0" w:type="dxa"/>
              <w:left w:w="100" w:type="dxa"/>
              <w:bottom w:w="0" w:type="dxa"/>
              <w:right w:w="100" w:type="dxa"/>
            </w:tcMar>
          </w:tcPr>
          <w:p w14:paraId="0CBDF385" w14:textId="36C1A46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73266D" w:rsidRPr="00B621E1"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824E21" w:rsidRDefault="00E97A5A" w:rsidP="0073266D">
            <w:pPr>
              <w:ind w:left="720"/>
              <w:rPr>
                <w:rFonts w:asciiTheme="majorHAnsi" w:hAnsiTheme="majorHAnsi" w:cstheme="majorHAnsi"/>
                <w:sz w:val="20"/>
                <w:szCs w:val="20"/>
              </w:rPr>
            </w:pPr>
          </w:p>
        </w:tc>
      </w:tr>
      <w:tr w:rsidR="00E97A5A" w:rsidRPr="00B621E1"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work obligations?</w:t>
            </w:r>
          </w:p>
        </w:tc>
      </w:tr>
      <w:tr w:rsidR="0073266D" w:rsidRPr="00B621E1"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3DCCF1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66BACB1A" w14:textId="7A535BF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270E9F41" w14:textId="6AFCDA6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77004F49" w14:textId="0153144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4" w:type="pct"/>
            <w:tcMar>
              <w:top w:w="0" w:type="dxa"/>
              <w:left w:w="100" w:type="dxa"/>
              <w:bottom w:w="0" w:type="dxa"/>
              <w:right w:w="100" w:type="dxa"/>
            </w:tcMar>
          </w:tcPr>
          <w:p w14:paraId="61EE9915" w14:textId="6B3ED6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55" w:type="pct"/>
            <w:tcMar>
              <w:top w:w="0" w:type="dxa"/>
              <w:left w:w="100" w:type="dxa"/>
              <w:bottom w:w="0" w:type="dxa"/>
              <w:right w:w="100" w:type="dxa"/>
            </w:tcMar>
          </w:tcPr>
          <w:p w14:paraId="19739452" w14:textId="64B497C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2.1</w:t>
            </w:r>
          </w:p>
        </w:tc>
        <w:tc>
          <w:tcPr>
            <w:tcW w:w="427" w:type="pct"/>
            <w:tcMar>
              <w:top w:w="0" w:type="dxa"/>
              <w:left w:w="100" w:type="dxa"/>
              <w:bottom w:w="0" w:type="dxa"/>
              <w:right w:w="100" w:type="dxa"/>
            </w:tcMar>
          </w:tcPr>
          <w:p w14:paraId="020DD187" w14:textId="7F3032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672BE34F" w14:textId="77168CD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r>
      <w:tr w:rsidR="0073266D" w:rsidRPr="00B621E1"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7,484</w:t>
            </w:r>
          </w:p>
        </w:tc>
      </w:tr>
      <w:tr w:rsidR="00E97A5A" w:rsidRPr="00B621E1"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824E21" w:rsidRDefault="00E97A5A" w:rsidP="0073266D">
            <w:pPr>
              <w:ind w:left="720"/>
              <w:rPr>
                <w:rFonts w:asciiTheme="majorHAnsi" w:hAnsiTheme="majorHAnsi" w:cstheme="majorHAnsi"/>
                <w:sz w:val="20"/>
                <w:szCs w:val="20"/>
              </w:rPr>
            </w:pPr>
          </w:p>
        </w:tc>
      </w:tr>
      <w:tr w:rsidR="00E97A5A" w:rsidRPr="00B621E1"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family obligations?</w:t>
            </w:r>
          </w:p>
        </w:tc>
      </w:tr>
      <w:tr w:rsidR="0073266D" w:rsidRPr="00B621E1"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3726FA30"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55" w:type="pct"/>
            <w:tcMar>
              <w:top w:w="0" w:type="dxa"/>
              <w:left w:w="100" w:type="dxa"/>
              <w:bottom w:w="0" w:type="dxa"/>
              <w:right w:w="100" w:type="dxa"/>
            </w:tcMar>
          </w:tcPr>
          <w:p w14:paraId="3001D9E7" w14:textId="6D58DF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603" w:type="pct"/>
            <w:tcMar>
              <w:top w:w="0" w:type="dxa"/>
              <w:left w:w="100" w:type="dxa"/>
              <w:bottom w:w="0" w:type="dxa"/>
              <w:right w:w="100" w:type="dxa"/>
            </w:tcMar>
          </w:tcPr>
          <w:p w14:paraId="52113740" w14:textId="0589BA5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64" w:type="pct"/>
            <w:tcMar>
              <w:top w:w="0" w:type="dxa"/>
              <w:left w:w="100" w:type="dxa"/>
              <w:bottom w:w="0" w:type="dxa"/>
              <w:right w:w="100" w:type="dxa"/>
            </w:tcMar>
          </w:tcPr>
          <w:p w14:paraId="79818543" w14:textId="0FBDF12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4" w:type="pct"/>
            <w:tcMar>
              <w:top w:w="0" w:type="dxa"/>
              <w:left w:w="100" w:type="dxa"/>
              <w:bottom w:w="0" w:type="dxa"/>
              <w:right w:w="100" w:type="dxa"/>
            </w:tcMar>
          </w:tcPr>
          <w:p w14:paraId="78E25492" w14:textId="04D80C7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55" w:type="pct"/>
            <w:tcMar>
              <w:top w:w="0" w:type="dxa"/>
              <w:left w:w="100" w:type="dxa"/>
              <w:bottom w:w="0" w:type="dxa"/>
              <w:right w:w="100" w:type="dxa"/>
            </w:tcMar>
          </w:tcPr>
          <w:p w14:paraId="1DD36133" w14:textId="6F63727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51449441" w14:textId="552B50B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387" w:type="pct"/>
            <w:tcMar>
              <w:top w:w="0" w:type="dxa"/>
              <w:left w:w="100" w:type="dxa"/>
              <w:bottom w:w="0" w:type="dxa"/>
              <w:right w:w="100" w:type="dxa"/>
            </w:tcMar>
          </w:tcPr>
          <w:p w14:paraId="4EF85A54" w14:textId="79C5591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7,482</w:t>
            </w:r>
          </w:p>
        </w:tc>
      </w:tr>
      <w:tr w:rsidR="00E97A5A" w:rsidRPr="00B621E1"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824E21" w:rsidRDefault="00E97A5A" w:rsidP="0073266D">
            <w:pPr>
              <w:rPr>
                <w:rFonts w:asciiTheme="majorHAnsi" w:hAnsiTheme="majorHAnsi" w:cstheme="majorHAnsi"/>
                <w:sz w:val="20"/>
                <w:szCs w:val="20"/>
              </w:rPr>
            </w:pPr>
          </w:p>
        </w:tc>
      </w:tr>
      <w:tr w:rsidR="00E97A5A" w:rsidRPr="00B621E1"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Finding community?</w:t>
            </w:r>
          </w:p>
        </w:tc>
      </w:tr>
      <w:tr w:rsidR="0073266D" w:rsidRPr="00B621E1"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22F8DA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555" w:type="pct"/>
            <w:tcMar>
              <w:top w:w="0" w:type="dxa"/>
              <w:left w:w="100" w:type="dxa"/>
              <w:bottom w:w="0" w:type="dxa"/>
              <w:right w:w="100" w:type="dxa"/>
            </w:tcMar>
          </w:tcPr>
          <w:p w14:paraId="6A453E56" w14:textId="3FED8F9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03" w:type="pct"/>
            <w:tcMar>
              <w:top w:w="0" w:type="dxa"/>
              <w:left w:w="100" w:type="dxa"/>
              <w:bottom w:w="0" w:type="dxa"/>
              <w:right w:w="100" w:type="dxa"/>
            </w:tcMar>
          </w:tcPr>
          <w:p w14:paraId="7D7556DC" w14:textId="17AB178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19922C29" w14:textId="19B3922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24" w:type="pct"/>
            <w:tcMar>
              <w:top w:w="0" w:type="dxa"/>
              <w:left w:w="100" w:type="dxa"/>
              <w:bottom w:w="0" w:type="dxa"/>
              <w:right w:w="100" w:type="dxa"/>
            </w:tcMar>
          </w:tcPr>
          <w:p w14:paraId="17B4EC80" w14:textId="18FACD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12E1A88B" w14:textId="68B4AB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7" w:type="pct"/>
            <w:tcMar>
              <w:top w:w="0" w:type="dxa"/>
              <w:left w:w="100" w:type="dxa"/>
              <w:bottom w:w="0" w:type="dxa"/>
              <w:right w:w="100" w:type="dxa"/>
            </w:tcMar>
          </w:tcPr>
          <w:p w14:paraId="760B9F41" w14:textId="762DAC8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36E97ABF" w14:textId="5140B7B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r>
      <w:tr w:rsidR="0073266D" w:rsidRPr="00B621E1"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7,481</w:t>
            </w:r>
          </w:p>
        </w:tc>
      </w:tr>
      <w:tr w:rsidR="00E97A5A" w:rsidRPr="00B621E1"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824E21" w:rsidRDefault="00E97A5A" w:rsidP="0073266D">
            <w:pPr>
              <w:ind w:left="720"/>
              <w:rPr>
                <w:rFonts w:asciiTheme="majorHAnsi" w:hAnsiTheme="majorHAnsi" w:cstheme="majorHAnsi"/>
                <w:sz w:val="20"/>
                <w:szCs w:val="20"/>
              </w:rPr>
            </w:pPr>
          </w:p>
        </w:tc>
      </w:tr>
      <w:tr w:rsidR="00E97A5A" w:rsidRPr="00B621E1"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away from home?</w:t>
            </w:r>
          </w:p>
        </w:tc>
      </w:tr>
      <w:tr w:rsidR="0073266D" w:rsidRPr="00B621E1"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3AD3FC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69A7491A" w14:textId="71984B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603" w:type="pct"/>
            <w:tcMar>
              <w:top w:w="0" w:type="dxa"/>
              <w:left w:w="100" w:type="dxa"/>
              <w:bottom w:w="0" w:type="dxa"/>
              <w:right w:w="100" w:type="dxa"/>
            </w:tcMar>
          </w:tcPr>
          <w:p w14:paraId="51AC4B7A" w14:textId="7A9752E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664" w:type="pct"/>
            <w:tcMar>
              <w:top w:w="0" w:type="dxa"/>
              <w:left w:w="100" w:type="dxa"/>
              <w:bottom w:w="0" w:type="dxa"/>
              <w:right w:w="100" w:type="dxa"/>
            </w:tcMar>
          </w:tcPr>
          <w:p w14:paraId="59D869C6" w14:textId="1A559EA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424" w:type="pct"/>
            <w:tcMar>
              <w:top w:w="0" w:type="dxa"/>
              <w:left w:w="100" w:type="dxa"/>
              <w:bottom w:w="0" w:type="dxa"/>
              <w:right w:w="100" w:type="dxa"/>
            </w:tcMar>
          </w:tcPr>
          <w:p w14:paraId="5E5EC4B1" w14:textId="61B3271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655" w:type="pct"/>
            <w:tcMar>
              <w:top w:w="0" w:type="dxa"/>
              <w:left w:w="100" w:type="dxa"/>
              <w:bottom w:w="0" w:type="dxa"/>
              <w:right w:w="100" w:type="dxa"/>
            </w:tcMar>
          </w:tcPr>
          <w:p w14:paraId="74ACAC7D" w14:textId="30EF2AF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7" w:type="pct"/>
            <w:tcMar>
              <w:top w:w="0" w:type="dxa"/>
              <w:left w:w="100" w:type="dxa"/>
              <w:bottom w:w="0" w:type="dxa"/>
              <w:right w:w="100" w:type="dxa"/>
            </w:tcMar>
          </w:tcPr>
          <w:p w14:paraId="1F6230B9" w14:textId="62512E5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87" w:type="pct"/>
            <w:tcMar>
              <w:top w:w="0" w:type="dxa"/>
              <w:left w:w="100" w:type="dxa"/>
              <w:bottom w:w="0" w:type="dxa"/>
              <w:right w:w="100" w:type="dxa"/>
            </w:tcMar>
          </w:tcPr>
          <w:p w14:paraId="14F3DFAF" w14:textId="5F6C625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73266D" w:rsidRPr="00B621E1"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5F82CB3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7,488</w:t>
            </w:r>
          </w:p>
        </w:tc>
      </w:tr>
      <w:tr w:rsidR="00E97A5A" w:rsidRPr="00B621E1"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824E21" w:rsidRDefault="00E97A5A" w:rsidP="0073266D">
            <w:pPr>
              <w:rPr>
                <w:rFonts w:asciiTheme="majorHAnsi" w:hAnsiTheme="majorHAnsi" w:cstheme="majorHAnsi"/>
                <w:sz w:val="20"/>
                <w:szCs w:val="20"/>
              </w:rPr>
            </w:pPr>
          </w:p>
        </w:tc>
      </w:tr>
      <w:tr w:rsidR="00E97A5A" w:rsidRPr="00B621E1"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lastRenderedPageBreak/>
              <w:t>Having adequate support for emotional and mental health needs?</w:t>
            </w:r>
          </w:p>
        </w:tc>
      </w:tr>
      <w:tr w:rsidR="0073266D" w:rsidRPr="00B621E1"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664317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251FBF18" w14:textId="7CC9A8E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03" w:type="pct"/>
            <w:tcMar>
              <w:top w:w="0" w:type="dxa"/>
              <w:left w:w="100" w:type="dxa"/>
              <w:bottom w:w="0" w:type="dxa"/>
              <w:right w:w="100" w:type="dxa"/>
            </w:tcMar>
          </w:tcPr>
          <w:p w14:paraId="4DF2D52F" w14:textId="5F623CB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77E94144" w14:textId="56C0811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4A79BBB3" w14:textId="3224265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3B228E61" w14:textId="2FDED3A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7" w:type="pct"/>
            <w:tcMar>
              <w:top w:w="0" w:type="dxa"/>
              <w:left w:w="100" w:type="dxa"/>
              <w:bottom w:w="0" w:type="dxa"/>
              <w:right w:w="100" w:type="dxa"/>
            </w:tcMar>
          </w:tcPr>
          <w:p w14:paraId="37BCFC9A" w14:textId="126AB2E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68335FDB" w14:textId="225DAD0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7,489</w:t>
            </w:r>
          </w:p>
        </w:tc>
      </w:tr>
      <w:tr w:rsidR="00E97A5A" w:rsidRPr="00B621E1"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824E21" w:rsidRDefault="00E97A5A" w:rsidP="0073266D">
            <w:pPr>
              <w:rPr>
                <w:rFonts w:asciiTheme="majorHAnsi" w:hAnsiTheme="majorHAnsi" w:cstheme="majorHAnsi"/>
                <w:sz w:val="20"/>
                <w:szCs w:val="20"/>
              </w:rPr>
            </w:pPr>
          </w:p>
        </w:tc>
      </w:tr>
      <w:tr w:rsidR="00E97A5A" w:rsidRPr="00B621E1"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gender?</w:t>
            </w:r>
          </w:p>
        </w:tc>
      </w:tr>
      <w:tr w:rsidR="0073266D" w:rsidRPr="00B621E1"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EC36AA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55" w:type="pct"/>
            <w:tcMar>
              <w:top w:w="0" w:type="dxa"/>
              <w:left w:w="100" w:type="dxa"/>
              <w:bottom w:w="0" w:type="dxa"/>
              <w:right w:w="100" w:type="dxa"/>
            </w:tcMar>
          </w:tcPr>
          <w:p w14:paraId="2A3B6269" w14:textId="29DED68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603" w:type="pct"/>
            <w:tcMar>
              <w:top w:w="0" w:type="dxa"/>
              <w:left w:w="100" w:type="dxa"/>
              <w:bottom w:w="0" w:type="dxa"/>
              <w:right w:w="100" w:type="dxa"/>
            </w:tcMar>
          </w:tcPr>
          <w:p w14:paraId="433B1682" w14:textId="64D958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2.9</w:t>
            </w:r>
          </w:p>
        </w:tc>
        <w:tc>
          <w:tcPr>
            <w:tcW w:w="664" w:type="pct"/>
            <w:tcMar>
              <w:top w:w="0" w:type="dxa"/>
              <w:left w:w="100" w:type="dxa"/>
              <w:bottom w:w="0" w:type="dxa"/>
              <w:right w:w="100" w:type="dxa"/>
            </w:tcMar>
          </w:tcPr>
          <w:p w14:paraId="4CDB5430" w14:textId="0127130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4" w:type="pct"/>
            <w:tcMar>
              <w:top w:w="0" w:type="dxa"/>
              <w:left w:w="100" w:type="dxa"/>
              <w:bottom w:w="0" w:type="dxa"/>
              <w:right w:w="100" w:type="dxa"/>
            </w:tcMar>
          </w:tcPr>
          <w:p w14:paraId="1539A2E9" w14:textId="5312E74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5F2B8694" w14:textId="173ED3C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7" w:type="pct"/>
            <w:tcMar>
              <w:top w:w="0" w:type="dxa"/>
              <w:left w:w="100" w:type="dxa"/>
              <w:bottom w:w="0" w:type="dxa"/>
              <w:right w:w="100" w:type="dxa"/>
            </w:tcMar>
          </w:tcPr>
          <w:p w14:paraId="23D6D5FA" w14:textId="604E4CF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3DB951E" w14:textId="36EB358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r>
      <w:tr w:rsidR="0073266D" w:rsidRPr="00B621E1"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7,480</w:t>
            </w:r>
          </w:p>
        </w:tc>
      </w:tr>
      <w:tr w:rsidR="00E97A5A" w:rsidRPr="00B621E1"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824E21" w:rsidRDefault="00E97A5A" w:rsidP="0073266D">
            <w:pPr>
              <w:rPr>
                <w:rFonts w:asciiTheme="majorHAnsi" w:hAnsiTheme="majorHAnsi" w:cstheme="majorHAnsi"/>
                <w:sz w:val="20"/>
                <w:szCs w:val="20"/>
              </w:rPr>
            </w:pPr>
          </w:p>
        </w:tc>
      </w:tr>
      <w:tr w:rsidR="00E97A5A" w:rsidRPr="00B621E1"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sexual orientation?</w:t>
            </w:r>
          </w:p>
        </w:tc>
      </w:tr>
      <w:tr w:rsidR="0073266D" w:rsidRPr="00B621E1"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8719D2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6BD94B65" w14:textId="39A635C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0A2E4700" w14:textId="386A33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C666E4B" w14:textId="5D4349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4" w:type="pct"/>
            <w:tcMar>
              <w:top w:w="0" w:type="dxa"/>
              <w:left w:w="100" w:type="dxa"/>
              <w:bottom w:w="0" w:type="dxa"/>
              <w:right w:w="100" w:type="dxa"/>
            </w:tcMar>
          </w:tcPr>
          <w:p w14:paraId="70A1FBED" w14:textId="796FD40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55" w:type="pct"/>
            <w:tcMar>
              <w:top w:w="0" w:type="dxa"/>
              <w:left w:w="100" w:type="dxa"/>
              <w:bottom w:w="0" w:type="dxa"/>
              <w:right w:w="100" w:type="dxa"/>
            </w:tcMar>
          </w:tcPr>
          <w:p w14:paraId="114A9448" w14:textId="52254B7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75275842" w14:textId="7BCCB59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171CE79" w14:textId="775E9BB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r>
      <w:tr w:rsidR="0073266D" w:rsidRPr="00B621E1"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7,469</w:t>
            </w:r>
          </w:p>
        </w:tc>
      </w:tr>
      <w:tr w:rsidR="00E97A5A" w:rsidRPr="00B621E1"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824E21" w:rsidRDefault="00E97A5A" w:rsidP="0073266D">
            <w:pPr>
              <w:rPr>
                <w:rFonts w:asciiTheme="majorHAnsi" w:hAnsiTheme="majorHAnsi" w:cstheme="majorHAnsi"/>
                <w:sz w:val="20"/>
                <w:szCs w:val="20"/>
              </w:rPr>
            </w:pPr>
          </w:p>
        </w:tc>
      </w:tr>
      <w:tr w:rsidR="00E97A5A" w:rsidRPr="00B621E1"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race?</w:t>
            </w:r>
          </w:p>
        </w:tc>
      </w:tr>
      <w:tr w:rsidR="0073266D" w:rsidRPr="00B621E1"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0388E17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55" w:type="pct"/>
            <w:tcMar>
              <w:top w:w="0" w:type="dxa"/>
              <w:left w:w="100" w:type="dxa"/>
              <w:bottom w:w="0" w:type="dxa"/>
              <w:right w:w="100" w:type="dxa"/>
            </w:tcMar>
          </w:tcPr>
          <w:p w14:paraId="04AA6459" w14:textId="353DB92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03" w:type="pct"/>
            <w:tcMar>
              <w:top w:w="0" w:type="dxa"/>
              <w:left w:w="100" w:type="dxa"/>
              <w:bottom w:w="0" w:type="dxa"/>
              <w:right w:w="100" w:type="dxa"/>
            </w:tcMar>
          </w:tcPr>
          <w:p w14:paraId="17D85378" w14:textId="1BF4750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64" w:type="pct"/>
            <w:tcMar>
              <w:top w:w="0" w:type="dxa"/>
              <w:left w:w="100" w:type="dxa"/>
              <w:bottom w:w="0" w:type="dxa"/>
              <w:right w:w="100" w:type="dxa"/>
            </w:tcMar>
          </w:tcPr>
          <w:p w14:paraId="6106F1B7" w14:textId="0C3AEE1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4" w:type="pct"/>
            <w:tcMar>
              <w:top w:w="0" w:type="dxa"/>
              <w:left w:w="100" w:type="dxa"/>
              <w:bottom w:w="0" w:type="dxa"/>
              <w:right w:w="100" w:type="dxa"/>
            </w:tcMar>
          </w:tcPr>
          <w:p w14:paraId="6273F27D" w14:textId="4BCD43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655" w:type="pct"/>
            <w:tcMar>
              <w:top w:w="0" w:type="dxa"/>
              <w:left w:w="100" w:type="dxa"/>
              <w:bottom w:w="0" w:type="dxa"/>
              <w:right w:w="100" w:type="dxa"/>
            </w:tcMar>
          </w:tcPr>
          <w:p w14:paraId="152A8CAA" w14:textId="1CACCA3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27" w:type="pct"/>
            <w:tcMar>
              <w:top w:w="0" w:type="dxa"/>
              <w:left w:w="100" w:type="dxa"/>
              <w:bottom w:w="0" w:type="dxa"/>
              <w:right w:w="100" w:type="dxa"/>
            </w:tcMar>
          </w:tcPr>
          <w:p w14:paraId="1C6314C6" w14:textId="2BD71D1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87" w:type="pct"/>
            <w:tcMar>
              <w:top w:w="0" w:type="dxa"/>
              <w:left w:w="100" w:type="dxa"/>
              <w:bottom w:w="0" w:type="dxa"/>
              <w:right w:w="100" w:type="dxa"/>
            </w:tcMar>
          </w:tcPr>
          <w:p w14:paraId="2020C08E" w14:textId="7683C52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r>
      <w:tr w:rsidR="0073266D" w:rsidRPr="00B621E1"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7,490</w:t>
            </w:r>
          </w:p>
        </w:tc>
      </w:tr>
      <w:tr w:rsidR="00E97A5A" w:rsidRPr="00B621E1"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824E21" w:rsidRDefault="00E97A5A" w:rsidP="0073266D">
            <w:pPr>
              <w:rPr>
                <w:rFonts w:asciiTheme="majorHAnsi" w:hAnsiTheme="majorHAnsi" w:cstheme="majorHAnsi"/>
                <w:sz w:val="20"/>
                <w:szCs w:val="20"/>
              </w:rPr>
            </w:pPr>
          </w:p>
        </w:tc>
      </w:tr>
      <w:tr w:rsidR="00E97A5A" w:rsidRPr="00B621E1"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religion?</w:t>
            </w:r>
          </w:p>
        </w:tc>
      </w:tr>
      <w:tr w:rsidR="0073266D" w:rsidRPr="00B621E1"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382F8C8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1A8D4715" w14:textId="132E568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38ECAF92" w14:textId="73BA6A2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64" w:type="pct"/>
            <w:tcMar>
              <w:top w:w="0" w:type="dxa"/>
              <w:left w:w="100" w:type="dxa"/>
              <w:bottom w:w="0" w:type="dxa"/>
              <w:right w:w="100" w:type="dxa"/>
            </w:tcMar>
          </w:tcPr>
          <w:p w14:paraId="6B183DB1" w14:textId="518871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24" w:type="pct"/>
            <w:tcMar>
              <w:top w:w="0" w:type="dxa"/>
              <w:left w:w="100" w:type="dxa"/>
              <w:bottom w:w="0" w:type="dxa"/>
              <w:right w:w="100" w:type="dxa"/>
            </w:tcMar>
          </w:tcPr>
          <w:p w14:paraId="1C039E59" w14:textId="7A791E6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55" w:type="pct"/>
            <w:tcMar>
              <w:top w:w="0" w:type="dxa"/>
              <w:left w:w="100" w:type="dxa"/>
              <w:bottom w:w="0" w:type="dxa"/>
              <w:right w:w="100" w:type="dxa"/>
            </w:tcMar>
          </w:tcPr>
          <w:p w14:paraId="51DE7726" w14:textId="138FB8F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7" w:type="pct"/>
            <w:tcMar>
              <w:top w:w="0" w:type="dxa"/>
              <w:left w:w="100" w:type="dxa"/>
              <w:bottom w:w="0" w:type="dxa"/>
              <w:right w:w="100" w:type="dxa"/>
            </w:tcMar>
          </w:tcPr>
          <w:p w14:paraId="5E8DDD32" w14:textId="0BB6F4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387" w:type="pct"/>
            <w:tcMar>
              <w:top w:w="0" w:type="dxa"/>
              <w:left w:w="100" w:type="dxa"/>
              <w:bottom w:w="0" w:type="dxa"/>
              <w:right w:w="100" w:type="dxa"/>
            </w:tcMar>
          </w:tcPr>
          <w:p w14:paraId="036BB2B1" w14:textId="04DC40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r>
      <w:tr w:rsidR="0073266D" w:rsidRPr="00B621E1"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7,486</w:t>
            </w:r>
          </w:p>
        </w:tc>
      </w:tr>
    </w:tbl>
    <w:p w14:paraId="177B2097" w14:textId="77777777" w:rsidR="001112D6" w:rsidRPr="00824E21" w:rsidRDefault="00E97A5A" w:rsidP="001B2966">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702E1EF2" w14:textId="77777777" w:rsidR="00B159D3" w:rsidRPr="00824E21" w:rsidRDefault="00B159D3" w:rsidP="001B2966">
      <w:pPr>
        <w:spacing w:line="360" w:lineRule="auto"/>
        <w:rPr>
          <w:rFonts w:asciiTheme="majorHAnsi" w:hAnsiTheme="majorHAnsi" w:cstheme="majorHAnsi"/>
          <w:color w:val="000000"/>
          <w:sz w:val="20"/>
          <w:szCs w:val="20"/>
        </w:rPr>
      </w:pPr>
    </w:p>
    <w:p w14:paraId="6A83BB54" w14:textId="77777777" w:rsidR="00B159D3" w:rsidRPr="00824E21" w:rsidRDefault="00B159D3" w:rsidP="001B2966">
      <w:pPr>
        <w:spacing w:line="360" w:lineRule="auto"/>
        <w:rPr>
          <w:rFonts w:asciiTheme="majorHAnsi" w:hAnsiTheme="majorHAnsi" w:cstheme="majorHAnsi"/>
          <w:color w:val="000000"/>
          <w:sz w:val="20"/>
          <w:szCs w:val="20"/>
        </w:rPr>
      </w:pPr>
    </w:p>
    <w:p w14:paraId="0178A57D" w14:textId="77777777" w:rsidR="00B159D3" w:rsidRPr="00824E21" w:rsidRDefault="00B159D3" w:rsidP="001B2966">
      <w:pPr>
        <w:spacing w:line="360" w:lineRule="auto"/>
        <w:rPr>
          <w:rFonts w:asciiTheme="majorHAnsi" w:hAnsiTheme="majorHAnsi" w:cstheme="majorHAnsi"/>
          <w:color w:val="000000"/>
          <w:sz w:val="20"/>
          <w:szCs w:val="20"/>
        </w:rPr>
      </w:pPr>
    </w:p>
    <w:p w14:paraId="203913B3" w14:textId="77777777" w:rsidR="00B159D3" w:rsidRPr="00824E21" w:rsidRDefault="00B159D3">
      <w:pP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br w:type="page"/>
      </w:r>
    </w:p>
    <w:p w14:paraId="747685DD" w14:textId="0BA4CFA8" w:rsidR="00B159D3" w:rsidRPr="00AB4825" w:rsidRDefault="00F30BC1" w:rsidP="00B159D3">
      <w:pPr>
        <w:spacing w:line="360" w:lineRule="auto"/>
        <w:rPr>
          <w:rFonts w:asciiTheme="majorHAnsi" w:hAnsiTheme="majorHAnsi" w:cstheme="majorHAnsi"/>
          <w:i/>
          <w:iCs/>
          <w:color w:val="000000"/>
          <w:lang w:val="en-US"/>
        </w:rPr>
      </w:pPr>
      <w:r>
        <w:rPr>
          <w:rFonts w:asciiTheme="majorHAnsi" w:hAnsiTheme="majorHAnsi" w:cstheme="majorHAnsi"/>
          <w:b/>
          <w:bCs/>
          <w:color w:val="000000"/>
          <w:lang w:val="en-US"/>
        </w:rPr>
        <w:lastRenderedPageBreak/>
        <w:t>Table D2</w:t>
      </w:r>
      <w:r>
        <w:rPr>
          <w:rFonts w:asciiTheme="majorHAnsi" w:hAnsiTheme="majorHAnsi" w:cstheme="majorHAnsi"/>
          <w:i/>
          <w:iCs/>
          <w:color w:val="000000"/>
          <w:lang w:val="en-US"/>
        </w:rPr>
        <w:t>. College Concern Items by Sexual Orientation</w:t>
      </w:r>
    </w:p>
    <w:tbl>
      <w:tblPr>
        <w:tblW w:w="5000" w:type="pct"/>
        <w:tblLayout w:type="fixed"/>
        <w:tblLook w:val="0000" w:firstRow="0" w:lastRow="0" w:firstColumn="0" w:lastColumn="0" w:noHBand="0" w:noVBand="0"/>
      </w:tblPr>
      <w:tblGrid>
        <w:gridCol w:w="1974"/>
        <w:gridCol w:w="1266"/>
        <w:gridCol w:w="1620"/>
        <w:gridCol w:w="1620"/>
        <w:gridCol w:w="1620"/>
        <w:gridCol w:w="1620"/>
        <w:gridCol w:w="1620"/>
        <w:gridCol w:w="1620"/>
      </w:tblGrid>
      <w:tr w:rsidR="00B159D3" w:rsidRPr="00824E21" w14:paraId="407B749C" w14:textId="77777777" w:rsidTr="00AB4825">
        <w:tc>
          <w:tcPr>
            <w:tcW w:w="761" w:type="pct"/>
            <w:tcBorders>
              <w:top w:val="single" w:sz="4" w:space="0" w:color="auto"/>
            </w:tcBorders>
            <w:tcMar>
              <w:top w:w="100" w:type="nil"/>
              <w:right w:w="100" w:type="nil"/>
            </w:tcMar>
            <w:vAlign w:val="center"/>
          </w:tcPr>
          <w:p w14:paraId="01FA5AA9"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top w:val="single" w:sz="4" w:space="0" w:color="auto"/>
            </w:tcBorders>
            <w:tcMar>
              <w:top w:w="100" w:type="nil"/>
              <w:right w:w="100" w:type="nil"/>
            </w:tcMar>
            <w:vAlign w:val="center"/>
          </w:tcPr>
          <w:p w14:paraId="7C74C4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Straight/Heterosexual</w:t>
            </w:r>
          </w:p>
        </w:tc>
        <w:tc>
          <w:tcPr>
            <w:tcW w:w="625" w:type="pct"/>
            <w:tcBorders>
              <w:top w:val="single" w:sz="4" w:space="0" w:color="auto"/>
            </w:tcBorders>
            <w:tcMar>
              <w:top w:w="100" w:type="nil"/>
              <w:right w:w="100" w:type="nil"/>
            </w:tcMar>
            <w:vAlign w:val="center"/>
          </w:tcPr>
          <w:p w14:paraId="2694414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Gay or Lesbian</w:t>
            </w:r>
          </w:p>
        </w:tc>
        <w:tc>
          <w:tcPr>
            <w:tcW w:w="625" w:type="pct"/>
            <w:tcBorders>
              <w:top w:val="single" w:sz="4" w:space="0" w:color="auto"/>
            </w:tcBorders>
            <w:tcMar>
              <w:top w:w="100" w:type="nil"/>
              <w:right w:w="100" w:type="nil"/>
            </w:tcMar>
            <w:vAlign w:val="center"/>
          </w:tcPr>
          <w:p w14:paraId="2099797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Bisexual/Pansexual/Omnisexual</w:t>
            </w:r>
          </w:p>
        </w:tc>
        <w:tc>
          <w:tcPr>
            <w:tcW w:w="625" w:type="pct"/>
            <w:tcBorders>
              <w:top w:val="single" w:sz="4" w:space="0" w:color="auto"/>
            </w:tcBorders>
            <w:tcMar>
              <w:top w:w="100" w:type="nil"/>
              <w:right w:w="100" w:type="nil"/>
            </w:tcMar>
            <w:vAlign w:val="center"/>
          </w:tcPr>
          <w:p w14:paraId="3AD6A6C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Asexual/Aromantic/Demisexual</w:t>
            </w:r>
          </w:p>
        </w:tc>
        <w:tc>
          <w:tcPr>
            <w:tcW w:w="625" w:type="pct"/>
            <w:tcBorders>
              <w:top w:val="single" w:sz="4" w:space="0" w:color="auto"/>
            </w:tcBorders>
            <w:tcMar>
              <w:top w:w="100" w:type="nil"/>
              <w:right w:w="100" w:type="nil"/>
            </w:tcMar>
            <w:vAlign w:val="center"/>
          </w:tcPr>
          <w:p w14:paraId="57C9B9A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Other/Queer/Questioning</w:t>
            </w:r>
          </w:p>
        </w:tc>
        <w:tc>
          <w:tcPr>
            <w:tcW w:w="625" w:type="pct"/>
            <w:tcBorders>
              <w:top w:val="single" w:sz="4" w:space="0" w:color="auto"/>
            </w:tcBorders>
            <w:tcMar>
              <w:top w:w="100" w:type="nil"/>
              <w:right w:w="100" w:type="nil"/>
            </w:tcMar>
            <w:vAlign w:val="center"/>
          </w:tcPr>
          <w:p w14:paraId="70E3F17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Prefer Not to Say</w:t>
            </w:r>
          </w:p>
        </w:tc>
        <w:tc>
          <w:tcPr>
            <w:tcW w:w="625" w:type="pct"/>
            <w:tcBorders>
              <w:top w:val="single" w:sz="4" w:space="0" w:color="auto"/>
            </w:tcBorders>
            <w:tcMar>
              <w:top w:w="100" w:type="nil"/>
              <w:right w:w="100" w:type="nil"/>
            </w:tcMar>
            <w:vAlign w:val="center"/>
          </w:tcPr>
          <w:p w14:paraId="73B34C1A" w14:textId="77777777" w:rsidR="00B159D3" w:rsidRPr="00824E21" w:rsidRDefault="00B159D3" w:rsidP="00AB4825">
            <w:pPr>
              <w:spacing w:line="360" w:lineRule="auto"/>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Total</w:t>
            </w:r>
          </w:p>
        </w:tc>
      </w:tr>
      <w:tr w:rsidR="00B159D3" w:rsidRPr="00824E21" w14:paraId="7D011DCE" w14:textId="77777777" w:rsidTr="00AB4825">
        <w:tc>
          <w:tcPr>
            <w:tcW w:w="761" w:type="pct"/>
            <w:tcBorders>
              <w:bottom w:val="single" w:sz="4" w:space="0" w:color="auto"/>
            </w:tcBorders>
            <w:tcMar>
              <w:top w:w="100" w:type="nil"/>
              <w:right w:w="100" w:type="nil"/>
            </w:tcMar>
            <w:vAlign w:val="center"/>
          </w:tcPr>
          <w:p w14:paraId="5B35658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2A85CD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6A1A5A7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00CDF3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58DC41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4C3397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2081418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9BCD9E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r>
      <w:tr w:rsidR="00B159D3" w:rsidRPr="00824E21" w14:paraId="422375CC" w14:textId="77777777" w:rsidTr="00AB4825">
        <w:tc>
          <w:tcPr>
            <w:tcW w:w="761" w:type="pct"/>
            <w:tcBorders>
              <w:top w:val="single" w:sz="4" w:space="0" w:color="auto"/>
            </w:tcBorders>
            <w:tcMar>
              <w:top w:w="100" w:type="nil"/>
              <w:right w:w="100" w:type="nil"/>
            </w:tcMar>
            <w:vAlign w:val="center"/>
          </w:tcPr>
          <w:p w14:paraId="2EE157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affording tuition fees</w:t>
            </w:r>
          </w:p>
        </w:tc>
        <w:tc>
          <w:tcPr>
            <w:tcW w:w="488" w:type="pct"/>
            <w:tcBorders>
              <w:top w:val="single" w:sz="4" w:space="0" w:color="auto"/>
            </w:tcBorders>
            <w:tcMar>
              <w:top w:w="100" w:type="nil"/>
              <w:right w:w="100" w:type="nil"/>
            </w:tcMar>
            <w:vAlign w:val="center"/>
          </w:tcPr>
          <w:p w14:paraId="15E016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50BE61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32A0369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475AA9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Borders>
              <w:top w:val="single" w:sz="4" w:space="0" w:color="auto"/>
            </w:tcBorders>
            <w:tcMar>
              <w:top w:w="100" w:type="nil"/>
              <w:right w:w="100" w:type="nil"/>
            </w:tcMar>
            <w:vAlign w:val="center"/>
          </w:tcPr>
          <w:p w14:paraId="7C28561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2.0</w:t>
            </w:r>
          </w:p>
        </w:tc>
        <w:tc>
          <w:tcPr>
            <w:tcW w:w="625" w:type="pct"/>
            <w:tcBorders>
              <w:top w:val="single" w:sz="4" w:space="0" w:color="auto"/>
            </w:tcBorders>
            <w:tcMar>
              <w:top w:w="100" w:type="nil"/>
              <w:right w:w="100" w:type="nil"/>
            </w:tcMar>
            <w:vAlign w:val="center"/>
          </w:tcPr>
          <w:p w14:paraId="327CEEC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7DE12A5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r>
      <w:tr w:rsidR="00B159D3" w:rsidRPr="00824E21" w14:paraId="1BA0CF76" w14:textId="77777777" w:rsidTr="00AB4825">
        <w:tc>
          <w:tcPr>
            <w:tcW w:w="761" w:type="pct"/>
            <w:tcMar>
              <w:top w:w="100" w:type="nil"/>
              <w:right w:w="100" w:type="nil"/>
            </w:tcMar>
            <w:vAlign w:val="center"/>
          </w:tcPr>
          <w:p w14:paraId="656AF38A"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30DEC9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5839650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CE6463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191F8E8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6AACC5B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012AA9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5CB80B9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7957</w:t>
            </w:r>
          </w:p>
        </w:tc>
      </w:tr>
      <w:tr w:rsidR="00B159D3" w:rsidRPr="00824E21" w14:paraId="51CF4BCD" w14:textId="77777777" w:rsidTr="00AB4825">
        <w:tc>
          <w:tcPr>
            <w:tcW w:w="761" w:type="pct"/>
            <w:tcMar>
              <w:top w:w="100" w:type="nil"/>
              <w:right w:w="100" w:type="nil"/>
            </w:tcMar>
            <w:vAlign w:val="center"/>
          </w:tcPr>
          <w:p w14:paraId="0343A4A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living expenses</w:t>
            </w:r>
          </w:p>
        </w:tc>
        <w:tc>
          <w:tcPr>
            <w:tcW w:w="488" w:type="pct"/>
            <w:tcMar>
              <w:top w:w="100" w:type="nil"/>
              <w:right w:w="100" w:type="nil"/>
            </w:tcMar>
            <w:vAlign w:val="center"/>
          </w:tcPr>
          <w:p w14:paraId="550F884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4FEB28A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B83E6B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5E35BB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E5824D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26896B9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0F1A83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r>
      <w:tr w:rsidR="00B159D3" w:rsidRPr="00824E21" w14:paraId="2E07D985" w14:textId="77777777" w:rsidTr="00AB4825">
        <w:tc>
          <w:tcPr>
            <w:tcW w:w="761" w:type="pct"/>
            <w:tcMar>
              <w:top w:w="100" w:type="nil"/>
              <w:right w:w="100" w:type="nil"/>
            </w:tcMar>
            <w:vAlign w:val="center"/>
          </w:tcPr>
          <w:p w14:paraId="189BE10D"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2F156C0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63DE9DF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6E5DE60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34DFB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01B715E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67CF162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E92BA7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7956</w:t>
            </w:r>
          </w:p>
        </w:tc>
      </w:tr>
      <w:tr w:rsidR="00B159D3" w:rsidRPr="00824E21" w14:paraId="1091B19B" w14:textId="77777777" w:rsidTr="00AB4825">
        <w:tc>
          <w:tcPr>
            <w:tcW w:w="761" w:type="pct"/>
            <w:tcMar>
              <w:top w:w="100" w:type="nil"/>
              <w:right w:w="100" w:type="nil"/>
            </w:tcMar>
            <w:vAlign w:val="center"/>
          </w:tcPr>
          <w:p w14:paraId="7E3093F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performing well academically</w:t>
            </w:r>
          </w:p>
        </w:tc>
        <w:tc>
          <w:tcPr>
            <w:tcW w:w="488" w:type="pct"/>
            <w:tcMar>
              <w:top w:w="100" w:type="nil"/>
              <w:right w:w="100" w:type="nil"/>
            </w:tcMar>
            <w:vAlign w:val="center"/>
          </w:tcPr>
          <w:p w14:paraId="28A849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0998C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1A37E45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D3EA3D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1720FDC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7B3658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84A970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r>
      <w:tr w:rsidR="00B159D3" w:rsidRPr="00824E21" w14:paraId="74F7ADB1" w14:textId="77777777" w:rsidTr="00AB4825">
        <w:tc>
          <w:tcPr>
            <w:tcW w:w="761" w:type="pct"/>
            <w:tcMar>
              <w:top w:w="100" w:type="nil"/>
              <w:right w:w="100" w:type="nil"/>
            </w:tcMar>
            <w:vAlign w:val="center"/>
          </w:tcPr>
          <w:p w14:paraId="40573FA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6E31DA4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5171</w:t>
            </w:r>
          </w:p>
        </w:tc>
        <w:tc>
          <w:tcPr>
            <w:tcW w:w="625" w:type="pct"/>
            <w:tcMar>
              <w:top w:w="100" w:type="nil"/>
              <w:right w:w="100" w:type="nil"/>
            </w:tcMar>
            <w:vAlign w:val="center"/>
          </w:tcPr>
          <w:p w14:paraId="098FFC9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3D9C6B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04A8DAC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CDDFA0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4ACCDFE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30B6EEE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7958</w:t>
            </w:r>
          </w:p>
        </w:tc>
      </w:tr>
      <w:tr w:rsidR="00B159D3" w:rsidRPr="00824E21" w14:paraId="43265EED" w14:textId="77777777" w:rsidTr="00AB4825">
        <w:tc>
          <w:tcPr>
            <w:tcW w:w="761" w:type="pct"/>
            <w:tcMar>
              <w:top w:w="100" w:type="nil"/>
              <w:right w:w="100" w:type="nil"/>
            </w:tcMar>
            <w:vAlign w:val="center"/>
          </w:tcPr>
          <w:p w14:paraId="5CCF4BB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balancing work obligations</w:t>
            </w:r>
          </w:p>
        </w:tc>
        <w:tc>
          <w:tcPr>
            <w:tcW w:w="488" w:type="pct"/>
            <w:tcMar>
              <w:top w:w="100" w:type="nil"/>
              <w:right w:w="100" w:type="nil"/>
            </w:tcMar>
            <w:vAlign w:val="center"/>
          </w:tcPr>
          <w:p w14:paraId="1798CBC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CD72E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3BD957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4B1C64C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1B53F38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EB145F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1D63E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r>
      <w:tr w:rsidR="00B159D3" w:rsidRPr="00824E21" w14:paraId="1B900D8B" w14:textId="77777777" w:rsidTr="00AB4825">
        <w:tc>
          <w:tcPr>
            <w:tcW w:w="761" w:type="pct"/>
            <w:tcMar>
              <w:top w:w="100" w:type="nil"/>
              <w:right w:w="100" w:type="nil"/>
            </w:tcMar>
            <w:vAlign w:val="center"/>
          </w:tcPr>
          <w:p w14:paraId="321476E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622365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798C5B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1898CC0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38D7336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32DCE07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5E9C4FC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2DAE877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7943</w:t>
            </w:r>
          </w:p>
        </w:tc>
      </w:tr>
      <w:tr w:rsidR="00B159D3" w:rsidRPr="00824E21" w14:paraId="5F36D72F" w14:textId="77777777" w:rsidTr="00AB4825">
        <w:tc>
          <w:tcPr>
            <w:tcW w:w="761" w:type="pct"/>
            <w:tcMar>
              <w:top w:w="100" w:type="nil"/>
              <w:right w:w="100" w:type="nil"/>
            </w:tcMar>
            <w:vAlign w:val="center"/>
          </w:tcPr>
          <w:p w14:paraId="0064462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balancing family obligations</w:t>
            </w:r>
          </w:p>
        </w:tc>
        <w:tc>
          <w:tcPr>
            <w:tcW w:w="488" w:type="pct"/>
            <w:tcMar>
              <w:top w:w="100" w:type="nil"/>
              <w:right w:w="100" w:type="nil"/>
            </w:tcMar>
            <w:vAlign w:val="center"/>
          </w:tcPr>
          <w:p w14:paraId="21E3B93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3844EFD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47B1B4D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07737C9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74806B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7D98A2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917B5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B159D3" w:rsidRPr="00824E21" w14:paraId="16611224" w14:textId="77777777" w:rsidTr="00AB4825">
        <w:tc>
          <w:tcPr>
            <w:tcW w:w="761" w:type="pct"/>
            <w:tcMar>
              <w:top w:w="100" w:type="nil"/>
              <w:right w:w="100" w:type="nil"/>
            </w:tcMar>
            <w:vAlign w:val="center"/>
          </w:tcPr>
          <w:p w14:paraId="55EA009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0D25648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6E8DF69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573ADCF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83CF52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594F2A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5E2E516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1F4C6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7941</w:t>
            </w:r>
          </w:p>
        </w:tc>
      </w:tr>
      <w:tr w:rsidR="00B159D3" w:rsidRPr="00824E21" w14:paraId="35C2613A" w14:textId="77777777" w:rsidTr="00AB4825">
        <w:tc>
          <w:tcPr>
            <w:tcW w:w="761" w:type="pct"/>
            <w:tcMar>
              <w:top w:w="100" w:type="nil"/>
              <w:right w:w="100" w:type="nil"/>
            </w:tcMar>
            <w:vAlign w:val="center"/>
          </w:tcPr>
          <w:p w14:paraId="2501AD1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lastRenderedPageBreak/>
              <w:t>how worried are you about finding community</w:t>
            </w:r>
          </w:p>
        </w:tc>
        <w:tc>
          <w:tcPr>
            <w:tcW w:w="488" w:type="pct"/>
            <w:tcMar>
              <w:top w:w="100" w:type="nil"/>
              <w:right w:w="100" w:type="nil"/>
            </w:tcMar>
            <w:vAlign w:val="center"/>
          </w:tcPr>
          <w:p w14:paraId="4C5B410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DA56F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A4684F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E67C5A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3E16944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3431DE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0DE933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r>
      <w:tr w:rsidR="00B159D3" w:rsidRPr="00824E21" w14:paraId="1D8D15B9" w14:textId="77777777" w:rsidTr="00AB4825">
        <w:tc>
          <w:tcPr>
            <w:tcW w:w="761" w:type="pct"/>
            <w:tcMar>
              <w:top w:w="100" w:type="nil"/>
              <w:right w:w="100" w:type="nil"/>
            </w:tcMar>
            <w:vAlign w:val="center"/>
          </w:tcPr>
          <w:p w14:paraId="7D18BA0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8A63F3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5CD5021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2BF158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27A909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180</w:t>
            </w:r>
          </w:p>
        </w:tc>
        <w:tc>
          <w:tcPr>
            <w:tcW w:w="625" w:type="pct"/>
            <w:tcMar>
              <w:top w:w="100" w:type="nil"/>
              <w:right w:w="100" w:type="nil"/>
            </w:tcMar>
            <w:vAlign w:val="center"/>
          </w:tcPr>
          <w:p w14:paraId="1AE01A4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25DB8A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008230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7934</w:t>
            </w:r>
          </w:p>
        </w:tc>
      </w:tr>
      <w:tr w:rsidR="00B159D3" w:rsidRPr="00824E21" w14:paraId="46552CC0" w14:textId="77777777" w:rsidTr="00AB4825">
        <w:tc>
          <w:tcPr>
            <w:tcW w:w="761" w:type="pct"/>
            <w:tcMar>
              <w:top w:w="100" w:type="nil"/>
              <w:right w:w="100" w:type="nil"/>
            </w:tcMar>
            <w:vAlign w:val="center"/>
          </w:tcPr>
          <w:p w14:paraId="488709C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living away from home</w:t>
            </w:r>
          </w:p>
        </w:tc>
        <w:tc>
          <w:tcPr>
            <w:tcW w:w="488" w:type="pct"/>
            <w:tcMar>
              <w:top w:w="100" w:type="nil"/>
              <w:right w:w="100" w:type="nil"/>
            </w:tcMar>
            <w:vAlign w:val="center"/>
          </w:tcPr>
          <w:p w14:paraId="7F8F567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8F538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277DBB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B34505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60FA420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7BC3605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11535E4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r>
      <w:tr w:rsidR="00B159D3" w:rsidRPr="00824E21" w14:paraId="6F4818C7" w14:textId="77777777" w:rsidTr="00AB4825">
        <w:tc>
          <w:tcPr>
            <w:tcW w:w="761" w:type="pct"/>
            <w:tcMar>
              <w:top w:w="100" w:type="nil"/>
              <w:right w:w="100" w:type="nil"/>
            </w:tcMar>
            <w:vAlign w:val="center"/>
          </w:tcPr>
          <w:p w14:paraId="4CA2A2D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64E94F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5169</w:t>
            </w:r>
          </w:p>
        </w:tc>
        <w:tc>
          <w:tcPr>
            <w:tcW w:w="625" w:type="pct"/>
            <w:tcMar>
              <w:top w:w="100" w:type="nil"/>
              <w:right w:w="100" w:type="nil"/>
            </w:tcMar>
            <w:vAlign w:val="center"/>
          </w:tcPr>
          <w:p w14:paraId="5FB650D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7047A13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700B0C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408A3DB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126EB8F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CBB0F5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7948</w:t>
            </w:r>
          </w:p>
        </w:tc>
      </w:tr>
      <w:tr w:rsidR="00B159D3" w:rsidRPr="00824E21" w14:paraId="57E1F5E4" w14:textId="77777777" w:rsidTr="00AB4825">
        <w:tc>
          <w:tcPr>
            <w:tcW w:w="761" w:type="pct"/>
            <w:tcMar>
              <w:top w:w="100" w:type="nil"/>
              <w:right w:w="100" w:type="nil"/>
            </w:tcMar>
            <w:vAlign w:val="center"/>
          </w:tcPr>
          <w:p w14:paraId="3BEB6F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having adequate support for emotional and mental health needs</w:t>
            </w:r>
          </w:p>
        </w:tc>
        <w:tc>
          <w:tcPr>
            <w:tcW w:w="488" w:type="pct"/>
            <w:tcMar>
              <w:top w:w="100" w:type="nil"/>
              <w:right w:w="100" w:type="nil"/>
            </w:tcMar>
            <w:vAlign w:val="center"/>
          </w:tcPr>
          <w:p w14:paraId="52222A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03C304D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B9CC8F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78D6ECB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84531A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18DCA0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625" w:type="pct"/>
            <w:tcMar>
              <w:top w:w="100" w:type="nil"/>
              <w:right w:w="100" w:type="nil"/>
            </w:tcMar>
            <w:vAlign w:val="center"/>
          </w:tcPr>
          <w:p w14:paraId="778C2E8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B159D3" w:rsidRPr="00824E21" w14:paraId="5A3ED395" w14:textId="77777777" w:rsidTr="00AB4825">
        <w:tc>
          <w:tcPr>
            <w:tcW w:w="761" w:type="pct"/>
            <w:tcMar>
              <w:top w:w="100" w:type="nil"/>
              <w:right w:w="100" w:type="nil"/>
            </w:tcMar>
            <w:vAlign w:val="center"/>
          </w:tcPr>
          <w:p w14:paraId="12A3079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367FF6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17BF004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157B153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DE99BE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760E93E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84C09F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826F98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7944</w:t>
            </w:r>
          </w:p>
        </w:tc>
      </w:tr>
      <w:tr w:rsidR="00B159D3" w:rsidRPr="00824E21" w14:paraId="5546875A" w14:textId="77777777" w:rsidTr="00AB4825">
        <w:tc>
          <w:tcPr>
            <w:tcW w:w="761" w:type="pct"/>
            <w:tcMar>
              <w:top w:w="100" w:type="nil"/>
              <w:right w:w="100" w:type="nil"/>
            </w:tcMar>
            <w:vAlign w:val="center"/>
          </w:tcPr>
          <w:p w14:paraId="3747CF6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gender</w:t>
            </w:r>
          </w:p>
        </w:tc>
        <w:tc>
          <w:tcPr>
            <w:tcW w:w="488" w:type="pct"/>
            <w:tcMar>
              <w:top w:w="100" w:type="nil"/>
              <w:right w:w="100" w:type="nil"/>
            </w:tcMar>
            <w:vAlign w:val="center"/>
          </w:tcPr>
          <w:p w14:paraId="58ED495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2233FB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3D4EF5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192AB3D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1642E7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1FB8C90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F0531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0.4</w:t>
            </w:r>
          </w:p>
        </w:tc>
      </w:tr>
      <w:tr w:rsidR="00B159D3" w:rsidRPr="00824E21" w14:paraId="2DCFF0C7" w14:textId="77777777" w:rsidTr="00AB4825">
        <w:tc>
          <w:tcPr>
            <w:tcW w:w="761" w:type="pct"/>
            <w:tcMar>
              <w:top w:w="100" w:type="nil"/>
              <w:right w:w="100" w:type="nil"/>
            </w:tcMar>
            <w:vAlign w:val="center"/>
          </w:tcPr>
          <w:p w14:paraId="0DC3769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EA9521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5157</w:t>
            </w:r>
          </w:p>
        </w:tc>
        <w:tc>
          <w:tcPr>
            <w:tcW w:w="625" w:type="pct"/>
            <w:tcMar>
              <w:top w:w="100" w:type="nil"/>
              <w:right w:w="100" w:type="nil"/>
            </w:tcMar>
            <w:vAlign w:val="center"/>
          </w:tcPr>
          <w:p w14:paraId="60BF81B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DE0344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0D41753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33B4D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351ACA0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5FC5440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7886</w:t>
            </w:r>
          </w:p>
        </w:tc>
      </w:tr>
      <w:tr w:rsidR="00B159D3" w:rsidRPr="00824E21" w14:paraId="0ED3B68D" w14:textId="77777777" w:rsidTr="00AB4825">
        <w:tc>
          <w:tcPr>
            <w:tcW w:w="761" w:type="pct"/>
            <w:tcMar>
              <w:top w:w="100" w:type="nil"/>
              <w:right w:w="100" w:type="nil"/>
            </w:tcMar>
            <w:vAlign w:val="center"/>
          </w:tcPr>
          <w:p w14:paraId="1D54BE2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sexual orientation</w:t>
            </w:r>
          </w:p>
        </w:tc>
        <w:tc>
          <w:tcPr>
            <w:tcW w:w="488" w:type="pct"/>
            <w:tcMar>
              <w:top w:w="100" w:type="nil"/>
              <w:right w:w="100" w:type="nil"/>
            </w:tcMar>
            <w:vAlign w:val="center"/>
          </w:tcPr>
          <w:p w14:paraId="571009C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0.1</w:t>
            </w:r>
          </w:p>
        </w:tc>
        <w:tc>
          <w:tcPr>
            <w:tcW w:w="625" w:type="pct"/>
            <w:tcMar>
              <w:top w:w="100" w:type="nil"/>
              <w:right w:w="100" w:type="nil"/>
            </w:tcMar>
            <w:vAlign w:val="center"/>
          </w:tcPr>
          <w:p w14:paraId="1D5309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625" w:type="pct"/>
            <w:tcMar>
              <w:top w:w="100" w:type="nil"/>
              <w:right w:w="100" w:type="nil"/>
            </w:tcMar>
            <w:vAlign w:val="center"/>
          </w:tcPr>
          <w:p w14:paraId="1598C72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211D30D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77E82DE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2135E9C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2C56890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r>
      <w:tr w:rsidR="00B159D3" w:rsidRPr="00824E21" w14:paraId="30DF365D" w14:textId="77777777" w:rsidTr="00AB4825">
        <w:tc>
          <w:tcPr>
            <w:tcW w:w="761" w:type="pct"/>
            <w:tcMar>
              <w:top w:w="100" w:type="nil"/>
              <w:right w:w="100" w:type="nil"/>
            </w:tcMar>
            <w:vAlign w:val="center"/>
          </w:tcPr>
          <w:p w14:paraId="6B0EED00"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6A7188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5147</w:t>
            </w:r>
          </w:p>
        </w:tc>
        <w:tc>
          <w:tcPr>
            <w:tcW w:w="625" w:type="pct"/>
            <w:tcMar>
              <w:top w:w="100" w:type="nil"/>
              <w:right w:w="100" w:type="nil"/>
            </w:tcMar>
            <w:vAlign w:val="center"/>
          </w:tcPr>
          <w:p w14:paraId="4364D2B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0DF501B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1138</w:t>
            </w:r>
          </w:p>
        </w:tc>
        <w:tc>
          <w:tcPr>
            <w:tcW w:w="625" w:type="pct"/>
            <w:tcMar>
              <w:top w:w="100" w:type="nil"/>
              <w:right w:w="100" w:type="nil"/>
            </w:tcMar>
            <w:vAlign w:val="center"/>
          </w:tcPr>
          <w:p w14:paraId="0B4E87C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EBC3BD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76501FF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504</w:t>
            </w:r>
          </w:p>
        </w:tc>
        <w:tc>
          <w:tcPr>
            <w:tcW w:w="625" w:type="pct"/>
            <w:tcMar>
              <w:top w:w="100" w:type="nil"/>
              <w:right w:w="100" w:type="nil"/>
            </w:tcMar>
            <w:vAlign w:val="center"/>
          </w:tcPr>
          <w:p w14:paraId="7AE7FCE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7876</w:t>
            </w:r>
          </w:p>
        </w:tc>
      </w:tr>
      <w:tr w:rsidR="00B159D3" w:rsidRPr="00824E21" w14:paraId="4F4CA994" w14:textId="77777777" w:rsidTr="00AB4825">
        <w:tc>
          <w:tcPr>
            <w:tcW w:w="761" w:type="pct"/>
            <w:tcMar>
              <w:top w:w="100" w:type="nil"/>
              <w:right w:w="100" w:type="nil"/>
            </w:tcMar>
            <w:vAlign w:val="center"/>
          </w:tcPr>
          <w:p w14:paraId="7E356A0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race</w:t>
            </w:r>
          </w:p>
        </w:tc>
        <w:tc>
          <w:tcPr>
            <w:tcW w:w="488" w:type="pct"/>
            <w:tcMar>
              <w:top w:w="100" w:type="nil"/>
              <w:right w:w="100" w:type="nil"/>
            </w:tcMar>
            <w:vAlign w:val="center"/>
          </w:tcPr>
          <w:p w14:paraId="623132A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c>
          <w:tcPr>
            <w:tcW w:w="625" w:type="pct"/>
            <w:tcMar>
              <w:top w:w="100" w:type="nil"/>
              <w:right w:w="100" w:type="nil"/>
            </w:tcMar>
            <w:vAlign w:val="center"/>
          </w:tcPr>
          <w:p w14:paraId="1471460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5897483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3EBA342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086EC12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1BF42BD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141AB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r>
      <w:tr w:rsidR="00B159D3" w:rsidRPr="00824E21" w14:paraId="6B00A8CF" w14:textId="77777777" w:rsidTr="00AB4825">
        <w:tc>
          <w:tcPr>
            <w:tcW w:w="761" w:type="pct"/>
            <w:tcMar>
              <w:top w:w="100" w:type="nil"/>
              <w:right w:w="100" w:type="nil"/>
            </w:tcMar>
            <w:vAlign w:val="center"/>
          </w:tcPr>
          <w:p w14:paraId="4B127D04"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F52D72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5164</w:t>
            </w:r>
          </w:p>
        </w:tc>
        <w:tc>
          <w:tcPr>
            <w:tcW w:w="625" w:type="pct"/>
            <w:tcMar>
              <w:top w:w="100" w:type="nil"/>
              <w:right w:w="100" w:type="nil"/>
            </w:tcMar>
            <w:vAlign w:val="center"/>
          </w:tcPr>
          <w:p w14:paraId="4813A3D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348158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25" w:type="pct"/>
            <w:tcMar>
              <w:top w:w="100" w:type="nil"/>
              <w:right w:w="100" w:type="nil"/>
            </w:tcMar>
            <w:vAlign w:val="center"/>
          </w:tcPr>
          <w:p w14:paraId="612583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7722487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7942F1E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1846B0F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7895</w:t>
            </w:r>
          </w:p>
        </w:tc>
      </w:tr>
      <w:tr w:rsidR="00B159D3" w:rsidRPr="00824E21" w14:paraId="2E157C04" w14:textId="77777777" w:rsidTr="00D720F2">
        <w:tc>
          <w:tcPr>
            <w:tcW w:w="761" w:type="pct"/>
            <w:tcMar>
              <w:top w:w="100" w:type="nil"/>
              <w:right w:w="100" w:type="nil"/>
            </w:tcMar>
            <w:vAlign w:val="center"/>
          </w:tcPr>
          <w:p w14:paraId="1358F1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religion</w:t>
            </w:r>
          </w:p>
        </w:tc>
        <w:tc>
          <w:tcPr>
            <w:tcW w:w="488" w:type="pct"/>
            <w:tcMar>
              <w:top w:w="100" w:type="nil"/>
              <w:right w:w="100" w:type="nil"/>
            </w:tcMar>
            <w:vAlign w:val="center"/>
          </w:tcPr>
          <w:p w14:paraId="562E0A9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3F5900B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547E7A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1331356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61DAFF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868D6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EAC1B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r>
      <w:tr w:rsidR="00B159D3" w:rsidRPr="00824E21" w14:paraId="5EFB1707" w14:textId="77777777" w:rsidTr="00D720F2">
        <w:tc>
          <w:tcPr>
            <w:tcW w:w="761" w:type="pct"/>
            <w:tcBorders>
              <w:bottom w:val="single" w:sz="4" w:space="0" w:color="auto"/>
            </w:tcBorders>
            <w:tcMar>
              <w:top w:w="100" w:type="nil"/>
              <w:right w:w="100" w:type="nil"/>
            </w:tcMar>
            <w:vAlign w:val="center"/>
          </w:tcPr>
          <w:p w14:paraId="094381B2"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7DD32DC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5158</w:t>
            </w:r>
          </w:p>
        </w:tc>
        <w:tc>
          <w:tcPr>
            <w:tcW w:w="625" w:type="pct"/>
            <w:tcBorders>
              <w:bottom w:val="single" w:sz="4" w:space="0" w:color="auto"/>
            </w:tcBorders>
            <w:tcMar>
              <w:top w:w="100" w:type="nil"/>
              <w:right w:w="100" w:type="nil"/>
            </w:tcMar>
            <w:vAlign w:val="center"/>
          </w:tcPr>
          <w:p w14:paraId="29901A4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Borders>
              <w:bottom w:val="single" w:sz="4" w:space="0" w:color="auto"/>
            </w:tcBorders>
            <w:tcMar>
              <w:top w:w="100" w:type="nil"/>
              <w:right w:w="100" w:type="nil"/>
            </w:tcMar>
            <w:vAlign w:val="center"/>
          </w:tcPr>
          <w:p w14:paraId="184C56A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25" w:type="pct"/>
            <w:tcBorders>
              <w:bottom w:val="single" w:sz="4" w:space="0" w:color="auto"/>
            </w:tcBorders>
            <w:tcMar>
              <w:top w:w="100" w:type="nil"/>
              <w:right w:w="100" w:type="nil"/>
            </w:tcMar>
            <w:vAlign w:val="center"/>
          </w:tcPr>
          <w:p w14:paraId="43A4339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Borders>
              <w:bottom w:val="single" w:sz="4" w:space="0" w:color="auto"/>
            </w:tcBorders>
            <w:tcMar>
              <w:top w:w="100" w:type="nil"/>
              <w:right w:w="100" w:type="nil"/>
            </w:tcMar>
            <w:vAlign w:val="center"/>
          </w:tcPr>
          <w:p w14:paraId="0D5CA85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Borders>
              <w:bottom w:val="single" w:sz="4" w:space="0" w:color="auto"/>
            </w:tcBorders>
            <w:tcMar>
              <w:top w:w="100" w:type="nil"/>
              <w:right w:w="100" w:type="nil"/>
            </w:tcMar>
            <w:vAlign w:val="center"/>
          </w:tcPr>
          <w:p w14:paraId="36B2BBB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Borders>
              <w:bottom w:val="single" w:sz="4" w:space="0" w:color="auto"/>
            </w:tcBorders>
            <w:tcMar>
              <w:top w:w="100" w:type="nil"/>
              <w:right w:w="100" w:type="nil"/>
            </w:tcMar>
            <w:vAlign w:val="center"/>
          </w:tcPr>
          <w:p w14:paraId="01D8387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7891</w:t>
            </w:r>
          </w:p>
        </w:tc>
      </w:tr>
    </w:tbl>
    <w:p w14:paraId="3A19E765" w14:textId="77777777" w:rsidR="00B159D3" w:rsidRPr="00824E21" w:rsidRDefault="00B159D3" w:rsidP="00B159D3">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4846F497" w14:textId="0E9A9E5B" w:rsidR="00B159D3" w:rsidRPr="00824E21" w:rsidRDefault="00B159D3" w:rsidP="001B2966">
      <w:pPr>
        <w:spacing w:line="360" w:lineRule="auto"/>
        <w:rPr>
          <w:rFonts w:asciiTheme="majorHAnsi" w:hAnsiTheme="majorHAnsi" w:cstheme="majorHAnsi"/>
          <w:color w:val="000000"/>
          <w:sz w:val="20"/>
          <w:szCs w:val="20"/>
        </w:rPr>
        <w:sectPr w:rsidR="00B159D3" w:rsidRPr="00824E21" w:rsidSect="00B342DF">
          <w:pgSz w:w="15840" w:h="12240" w:orient="landscape"/>
          <w:pgMar w:top="1440" w:right="1440" w:bottom="1440" w:left="1440" w:header="720" w:footer="720" w:gutter="0"/>
          <w:cols w:space="720"/>
          <w:docGrid w:linePitch="326"/>
        </w:sectPr>
      </w:pPr>
    </w:p>
    <w:p w14:paraId="402016B2" w14:textId="3201B844" w:rsidR="001112D6" w:rsidRPr="00824E21" w:rsidRDefault="001112D6"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E</w:t>
      </w:r>
    </w:p>
    <w:p w14:paraId="785FD5D5" w14:textId="295F0D9E" w:rsidR="001112D6" w:rsidRPr="00824E21" w:rsidRDefault="006C73E7" w:rsidP="009C5B1D">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i/>
          <w:iCs/>
          <w:color w:val="000000"/>
          <w:lang w:val="en"/>
        </w:rPr>
        <w:t>Demographic Characteristics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w:t>
      </w:r>
      <w:r>
        <w:rPr>
          <w:rFonts w:asciiTheme="majorHAnsi" w:hAnsiTheme="majorHAnsi" w:cstheme="majorHAnsi"/>
          <w:i/>
          <w:iCs/>
        </w:rPr>
        <w:t xml:space="preserve">Qualitative Response </w:t>
      </w:r>
      <w:r>
        <w:rPr>
          <w:rFonts w:asciiTheme="majorHAnsi" w:hAnsiTheme="majorHAnsi" w:cstheme="majorHAnsi"/>
          <w:i/>
          <w:iCs/>
          <w:color w:val="000000"/>
          <w:lang w:val="en"/>
        </w:rPr>
        <w:t xml:space="preserve">Participants (N = 346), </w:t>
      </w:r>
      <w:commentRangeStart w:id="96"/>
      <w:r>
        <w:rPr>
          <w:rFonts w:asciiTheme="majorHAnsi" w:hAnsiTheme="majorHAnsi" w:cstheme="majorHAnsi"/>
          <w:i/>
          <w:iCs/>
          <w:color w:val="000000"/>
          <w:lang w:val="en"/>
        </w:rPr>
        <w:t>2023</w:t>
      </w:r>
      <w:commentRangeEnd w:id="96"/>
      <w:r w:rsidRPr="00824E21">
        <w:rPr>
          <w:rStyle w:val="CommentReference"/>
          <w:rFonts w:asciiTheme="majorHAnsi" w:hAnsiTheme="majorHAnsi" w:cstheme="majorHAnsi"/>
          <w:b/>
          <w:bCs/>
          <w:color w:val="000000"/>
          <w:sz w:val="24"/>
          <w:szCs w:val="24"/>
        </w:rPr>
        <w:commentReference w:id="96"/>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B621E1"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824E21"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14884C5D" w:rsidR="001112D6" w:rsidRPr="00824E21" w:rsidRDefault="001210E5" w:rsidP="0073266D">
            <w:pPr>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color w:val="000000"/>
                <w:sz w:val="20"/>
                <w:szCs w:val="20"/>
              </w:rPr>
              <w:t>Percent</w:t>
            </w:r>
          </w:p>
        </w:tc>
      </w:tr>
      <w:tr w:rsidR="001112D6" w:rsidRPr="00B621E1"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824E21"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824E21" w:rsidRDefault="001112D6" w:rsidP="0073266D">
            <w:pPr>
              <w:rPr>
                <w:rFonts w:asciiTheme="majorHAnsi" w:hAnsiTheme="majorHAnsi" w:cstheme="majorHAnsi"/>
                <w:sz w:val="20"/>
                <w:szCs w:val="20"/>
              </w:rPr>
            </w:pPr>
          </w:p>
        </w:tc>
      </w:tr>
      <w:tr w:rsidR="001112D6" w:rsidRPr="00B621E1" w14:paraId="0232BB93" w14:textId="77777777" w:rsidTr="0073266D">
        <w:tc>
          <w:tcPr>
            <w:tcW w:w="3709" w:type="pct"/>
            <w:tcMar>
              <w:top w:w="0" w:type="dxa"/>
              <w:left w:w="115" w:type="dxa"/>
              <w:bottom w:w="0" w:type="dxa"/>
              <w:right w:w="115" w:type="dxa"/>
            </w:tcMar>
            <w:vAlign w:val="center"/>
            <w:hideMark/>
          </w:tcPr>
          <w:p w14:paraId="00D9CDE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44F7352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14.5</w:t>
            </w:r>
          </w:p>
        </w:tc>
      </w:tr>
      <w:tr w:rsidR="001112D6" w:rsidRPr="00B621E1" w14:paraId="3F5A074D" w14:textId="77777777" w:rsidTr="0073266D">
        <w:tc>
          <w:tcPr>
            <w:tcW w:w="3709" w:type="pct"/>
            <w:tcMar>
              <w:top w:w="0" w:type="dxa"/>
              <w:left w:w="115" w:type="dxa"/>
              <w:bottom w:w="0" w:type="dxa"/>
              <w:right w:w="115" w:type="dxa"/>
            </w:tcMar>
            <w:vAlign w:val="center"/>
            <w:hideMark/>
          </w:tcPr>
          <w:p w14:paraId="6F529BC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5ABE944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4.9</w:t>
            </w:r>
          </w:p>
        </w:tc>
      </w:tr>
      <w:tr w:rsidR="001112D6" w:rsidRPr="00B621E1" w14:paraId="625D87C3" w14:textId="77777777" w:rsidTr="0073266D">
        <w:tc>
          <w:tcPr>
            <w:tcW w:w="3709" w:type="pct"/>
            <w:tcMar>
              <w:top w:w="0" w:type="dxa"/>
              <w:left w:w="115" w:type="dxa"/>
              <w:bottom w:w="0" w:type="dxa"/>
              <w:right w:w="115" w:type="dxa"/>
            </w:tcMar>
            <w:vAlign w:val="center"/>
            <w:hideMark/>
          </w:tcPr>
          <w:p w14:paraId="7BD6EF8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5C4C08D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62.1</w:t>
            </w:r>
          </w:p>
        </w:tc>
      </w:tr>
      <w:tr w:rsidR="001112D6" w:rsidRPr="00B621E1" w14:paraId="03818D13" w14:textId="77777777" w:rsidTr="0073266D">
        <w:tc>
          <w:tcPr>
            <w:tcW w:w="3709" w:type="pct"/>
            <w:tcMar>
              <w:top w:w="0" w:type="dxa"/>
              <w:left w:w="115" w:type="dxa"/>
              <w:bottom w:w="0" w:type="dxa"/>
              <w:right w:w="115" w:type="dxa"/>
            </w:tcMar>
            <w:vAlign w:val="center"/>
            <w:hideMark/>
          </w:tcPr>
          <w:p w14:paraId="392E401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6BFCFDA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18.5</w:t>
            </w:r>
          </w:p>
        </w:tc>
      </w:tr>
      <w:tr w:rsidR="001112D6" w:rsidRPr="00B621E1"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824E21" w:rsidRDefault="001112D6" w:rsidP="0073266D">
            <w:pPr>
              <w:jc w:val="center"/>
              <w:rPr>
                <w:rFonts w:asciiTheme="majorHAnsi" w:hAnsiTheme="majorHAnsi" w:cstheme="majorHAnsi"/>
                <w:sz w:val="20"/>
                <w:szCs w:val="20"/>
              </w:rPr>
            </w:pPr>
          </w:p>
        </w:tc>
      </w:tr>
      <w:tr w:rsidR="001112D6" w:rsidRPr="00B621E1" w14:paraId="2ADB47D5" w14:textId="77777777" w:rsidTr="0073266D">
        <w:tc>
          <w:tcPr>
            <w:tcW w:w="3709" w:type="pct"/>
            <w:tcMar>
              <w:top w:w="0" w:type="dxa"/>
              <w:left w:w="115" w:type="dxa"/>
              <w:bottom w:w="0" w:type="dxa"/>
              <w:right w:w="115" w:type="dxa"/>
            </w:tcMar>
            <w:vAlign w:val="center"/>
            <w:hideMark/>
          </w:tcPr>
          <w:p w14:paraId="2054E3C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639B8A5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3.5</w:t>
            </w:r>
          </w:p>
        </w:tc>
      </w:tr>
      <w:tr w:rsidR="001112D6" w:rsidRPr="00B621E1" w14:paraId="22026DDB" w14:textId="77777777" w:rsidTr="0073266D">
        <w:tc>
          <w:tcPr>
            <w:tcW w:w="3709" w:type="pct"/>
            <w:tcMar>
              <w:top w:w="0" w:type="dxa"/>
              <w:left w:w="115" w:type="dxa"/>
              <w:bottom w:w="0" w:type="dxa"/>
              <w:right w:w="115" w:type="dxa"/>
            </w:tcMar>
            <w:vAlign w:val="center"/>
            <w:hideMark/>
          </w:tcPr>
          <w:p w14:paraId="395F7E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61171EE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19.9</w:t>
            </w:r>
          </w:p>
        </w:tc>
      </w:tr>
      <w:tr w:rsidR="001112D6" w:rsidRPr="00B621E1" w14:paraId="652340C3" w14:textId="77777777" w:rsidTr="0073266D">
        <w:tc>
          <w:tcPr>
            <w:tcW w:w="3709" w:type="pct"/>
            <w:tcMar>
              <w:top w:w="0" w:type="dxa"/>
              <w:left w:w="115" w:type="dxa"/>
              <w:bottom w:w="0" w:type="dxa"/>
              <w:right w:w="115" w:type="dxa"/>
            </w:tcMar>
            <w:vAlign w:val="center"/>
            <w:hideMark/>
          </w:tcPr>
          <w:p w14:paraId="523D3E2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4F0A0C1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47.9</w:t>
            </w:r>
          </w:p>
        </w:tc>
      </w:tr>
      <w:tr w:rsidR="001112D6" w:rsidRPr="00B621E1" w14:paraId="33FD3328" w14:textId="77777777" w:rsidTr="0073266D">
        <w:tc>
          <w:tcPr>
            <w:tcW w:w="3709" w:type="pct"/>
            <w:tcMar>
              <w:top w:w="0" w:type="dxa"/>
              <w:left w:w="115" w:type="dxa"/>
              <w:bottom w:w="0" w:type="dxa"/>
              <w:right w:w="115" w:type="dxa"/>
            </w:tcMar>
            <w:vAlign w:val="center"/>
            <w:hideMark/>
          </w:tcPr>
          <w:p w14:paraId="14785C5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4F7FA03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11.9</w:t>
            </w:r>
          </w:p>
        </w:tc>
      </w:tr>
      <w:tr w:rsidR="001112D6" w:rsidRPr="00B621E1" w14:paraId="3138CAC3" w14:textId="77777777" w:rsidTr="0073266D">
        <w:tc>
          <w:tcPr>
            <w:tcW w:w="3709" w:type="pct"/>
            <w:tcMar>
              <w:top w:w="0" w:type="dxa"/>
              <w:left w:w="115" w:type="dxa"/>
              <w:bottom w:w="0" w:type="dxa"/>
              <w:right w:w="115" w:type="dxa"/>
            </w:tcMar>
            <w:vAlign w:val="center"/>
            <w:hideMark/>
          </w:tcPr>
          <w:p w14:paraId="13A0575B"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0C2EA83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11.0</w:t>
            </w:r>
          </w:p>
        </w:tc>
      </w:tr>
      <w:tr w:rsidR="001112D6" w:rsidRPr="00B621E1"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4F893C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5.8</w:t>
            </w:r>
          </w:p>
        </w:tc>
      </w:tr>
      <w:tr w:rsidR="001112D6" w:rsidRPr="00B621E1"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824E21" w:rsidRDefault="001112D6" w:rsidP="0073266D">
            <w:pPr>
              <w:jc w:val="center"/>
              <w:rPr>
                <w:rFonts w:asciiTheme="majorHAnsi" w:hAnsiTheme="majorHAnsi" w:cstheme="majorHAnsi"/>
                <w:sz w:val="20"/>
                <w:szCs w:val="20"/>
              </w:rPr>
            </w:pPr>
          </w:p>
        </w:tc>
      </w:tr>
      <w:tr w:rsidR="001112D6" w:rsidRPr="00B621E1" w14:paraId="75F1B98C" w14:textId="77777777" w:rsidTr="0073266D">
        <w:tc>
          <w:tcPr>
            <w:tcW w:w="3709" w:type="pct"/>
            <w:tcMar>
              <w:top w:w="0" w:type="dxa"/>
              <w:left w:w="115" w:type="dxa"/>
              <w:bottom w:w="0" w:type="dxa"/>
              <w:right w:w="115" w:type="dxa"/>
            </w:tcMar>
            <w:vAlign w:val="center"/>
            <w:hideMark/>
          </w:tcPr>
          <w:p w14:paraId="6DE6163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F4B44C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r>
      <w:tr w:rsidR="001112D6" w:rsidRPr="00B621E1" w14:paraId="16C15D08" w14:textId="77777777" w:rsidTr="0073266D">
        <w:tc>
          <w:tcPr>
            <w:tcW w:w="3709" w:type="pct"/>
            <w:tcMar>
              <w:top w:w="0" w:type="dxa"/>
              <w:left w:w="115" w:type="dxa"/>
              <w:bottom w:w="0" w:type="dxa"/>
              <w:right w:w="115" w:type="dxa"/>
            </w:tcMar>
            <w:vAlign w:val="center"/>
            <w:hideMark/>
          </w:tcPr>
          <w:p w14:paraId="55681B1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0599E182"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7.8</w:t>
            </w:r>
          </w:p>
        </w:tc>
      </w:tr>
      <w:tr w:rsidR="001112D6" w:rsidRPr="00B621E1" w14:paraId="7C40AC67" w14:textId="77777777" w:rsidTr="0073266D">
        <w:tc>
          <w:tcPr>
            <w:tcW w:w="3709" w:type="pct"/>
            <w:tcMar>
              <w:top w:w="0" w:type="dxa"/>
              <w:left w:w="115" w:type="dxa"/>
              <w:bottom w:w="0" w:type="dxa"/>
              <w:right w:w="115" w:type="dxa"/>
            </w:tcMar>
            <w:vAlign w:val="center"/>
            <w:hideMark/>
          </w:tcPr>
          <w:p w14:paraId="131ABCA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B6CE4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41.3</w:t>
            </w:r>
          </w:p>
        </w:tc>
      </w:tr>
      <w:tr w:rsidR="001112D6" w:rsidRPr="00B621E1" w14:paraId="70165DD5" w14:textId="77777777" w:rsidTr="0073266D">
        <w:tc>
          <w:tcPr>
            <w:tcW w:w="3709" w:type="pct"/>
            <w:tcMar>
              <w:top w:w="0" w:type="dxa"/>
              <w:left w:w="115" w:type="dxa"/>
              <w:bottom w:w="0" w:type="dxa"/>
              <w:right w:w="115" w:type="dxa"/>
            </w:tcMar>
            <w:vAlign w:val="center"/>
            <w:hideMark/>
          </w:tcPr>
          <w:p w14:paraId="5822D404"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1B8CF639"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1112D6" w:rsidRPr="00B621E1" w14:paraId="45B9CBAC" w14:textId="77777777" w:rsidTr="0073266D">
        <w:tc>
          <w:tcPr>
            <w:tcW w:w="3709" w:type="pct"/>
            <w:tcMar>
              <w:top w:w="0" w:type="dxa"/>
              <w:left w:w="115" w:type="dxa"/>
              <w:bottom w:w="0" w:type="dxa"/>
              <w:right w:w="115" w:type="dxa"/>
            </w:tcMar>
            <w:vAlign w:val="center"/>
            <w:hideMark/>
          </w:tcPr>
          <w:p w14:paraId="251AA34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09CE9F7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5.2</w:t>
            </w:r>
          </w:p>
        </w:tc>
      </w:tr>
      <w:tr w:rsidR="001112D6" w:rsidRPr="00B621E1" w14:paraId="0F35EF65" w14:textId="77777777" w:rsidTr="0073266D">
        <w:tc>
          <w:tcPr>
            <w:tcW w:w="3709" w:type="pct"/>
            <w:tcMar>
              <w:top w:w="0" w:type="dxa"/>
              <w:left w:w="115" w:type="dxa"/>
              <w:bottom w:w="0" w:type="dxa"/>
              <w:right w:w="115" w:type="dxa"/>
            </w:tcMar>
            <w:vAlign w:val="center"/>
            <w:hideMark/>
          </w:tcPr>
          <w:p w14:paraId="03C7591C"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56C9030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12.4</w:t>
            </w:r>
          </w:p>
        </w:tc>
      </w:tr>
      <w:tr w:rsidR="001112D6" w:rsidRPr="00B621E1" w14:paraId="516CDBCD" w14:textId="77777777" w:rsidTr="0073266D">
        <w:tc>
          <w:tcPr>
            <w:tcW w:w="3709" w:type="pct"/>
            <w:tcMar>
              <w:top w:w="0" w:type="dxa"/>
              <w:left w:w="115" w:type="dxa"/>
              <w:bottom w:w="0" w:type="dxa"/>
              <w:right w:w="115" w:type="dxa"/>
            </w:tcMar>
            <w:vAlign w:val="center"/>
            <w:hideMark/>
          </w:tcPr>
          <w:p w14:paraId="232DB2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88713F6"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1112D6" w:rsidRPr="00B621E1"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7B65ABC2"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White/non-Hispanic</w:t>
            </w:r>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115C970"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27.1</w:t>
            </w:r>
          </w:p>
        </w:tc>
      </w:tr>
      <w:tr w:rsidR="001112D6" w:rsidRPr="00B621E1"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824E21" w:rsidRDefault="001112D6" w:rsidP="0073266D">
            <w:pPr>
              <w:jc w:val="center"/>
              <w:rPr>
                <w:rFonts w:asciiTheme="majorHAnsi" w:hAnsiTheme="majorHAnsi" w:cstheme="majorHAnsi"/>
                <w:sz w:val="20"/>
                <w:szCs w:val="20"/>
              </w:rPr>
            </w:pPr>
          </w:p>
        </w:tc>
      </w:tr>
      <w:tr w:rsidR="001112D6" w:rsidRPr="00B621E1" w14:paraId="2F9524ED" w14:textId="77777777" w:rsidTr="0073266D">
        <w:tc>
          <w:tcPr>
            <w:tcW w:w="3709" w:type="pct"/>
            <w:tcMar>
              <w:top w:w="0" w:type="dxa"/>
              <w:left w:w="115" w:type="dxa"/>
              <w:bottom w:w="0" w:type="dxa"/>
              <w:right w:w="115" w:type="dxa"/>
            </w:tcMar>
            <w:vAlign w:val="center"/>
            <w:hideMark/>
          </w:tcPr>
          <w:p w14:paraId="516ECFA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6BDDBE4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12.1</w:t>
            </w:r>
          </w:p>
        </w:tc>
      </w:tr>
      <w:tr w:rsidR="001112D6" w:rsidRPr="00B621E1" w14:paraId="676DB961" w14:textId="77777777" w:rsidTr="0073266D">
        <w:tc>
          <w:tcPr>
            <w:tcW w:w="3709" w:type="pct"/>
            <w:tcMar>
              <w:top w:w="0" w:type="dxa"/>
              <w:left w:w="115" w:type="dxa"/>
              <w:bottom w:w="0" w:type="dxa"/>
              <w:right w:w="115" w:type="dxa"/>
            </w:tcMar>
            <w:vAlign w:val="center"/>
            <w:hideMark/>
          </w:tcPr>
          <w:p w14:paraId="07B6679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34DA907A"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18.2</w:t>
            </w:r>
          </w:p>
        </w:tc>
      </w:tr>
      <w:tr w:rsidR="001112D6" w:rsidRPr="00B621E1" w14:paraId="414115F2" w14:textId="77777777" w:rsidTr="0073266D">
        <w:tc>
          <w:tcPr>
            <w:tcW w:w="3709" w:type="pct"/>
            <w:tcMar>
              <w:top w:w="0" w:type="dxa"/>
              <w:left w:w="115" w:type="dxa"/>
              <w:bottom w:w="0" w:type="dxa"/>
              <w:right w:w="115" w:type="dxa"/>
            </w:tcMar>
            <w:vAlign w:val="center"/>
            <w:hideMark/>
          </w:tcPr>
          <w:p w14:paraId="776DAA9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3FE55F94"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17.1</w:t>
            </w:r>
          </w:p>
        </w:tc>
      </w:tr>
      <w:tr w:rsidR="001112D6" w:rsidRPr="00B621E1" w14:paraId="6A61EDF5" w14:textId="77777777" w:rsidTr="0073266D">
        <w:tc>
          <w:tcPr>
            <w:tcW w:w="3709" w:type="pct"/>
            <w:tcMar>
              <w:top w:w="0" w:type="dxa"/>
              <w:left w:w="115" w:type="dxa"/>
              <w:bottom w:w="0" w:type="dxa"/>
              <w:right w:w="115" w:type="dxa"/>
            </w:tcMar>
            <w:vAlign w:val="center"/>
            <w:hideMark/>
          </w:tcPr>
          <w:p w14:paraId="78F3B90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5D9080A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7.2</w:t>
            </w:r>
          </w:p>
        </w:tc>
      </w:tr>
      <w:tr w:rsidR="001112D6" w:rsidRPr="00B621E1" w14:paraId="7EA50C14" w14:textId="77777777" w:rsidTr="0073266D">
        <w:tc>
          <w:tcPr>
            <w:tcW w:w="3709" w:type="pct"/>
            <w:tcMar>
              <w:top w:w="0" w:type="dxa"/>
              <w:left w:w="115" w:type="dxa"/>
              <w:bottom w:w="0" w:type="dxa"/>
              <w:right w:w="115" w:type="dxa"/>
            </w:tcMar>
            <w:vAlign w:val="center"/>
            <w:hideMark/>
          </w:tcPr>
          <w:p w14:paraId="49F2C138"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Bachelor's degree</w:t>
            </w:r>
          </w:p>
        </w:tc>
        <w:tc>
          <w:tcPr>
            <w:tcW w:w="555" w:type="pct"/>
            <w:tcMar>
              <w:top w:w="0" w:type="dxa"/>
              <w:left w:w="115" w:type="dxa"/>
              <w:bottom w:w="0" w:type="dxa"/>
              <w:right w:w="115" w:type="dxa"/>
            </w:tcMar>
            <w:vAlign w:val="center"/>
            <w:hideMark/>
          </w:tcPr>
          <w:p w14:paraId="00EB6CC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0BA3DF2F"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16.5</w:t>
            </w:r>
          </w:p>
        </w:tc>
      </w:tr>
      <w:tr w:rsidR="001112D6" w:rsidRPr="00B621E1" w14:paraId="44F87328" w14:textId="77777777" w:rsidTr="0073266D">
        <w:tc>
          <w:tcPr>
            <w:tcW w:w="3709" w:type="pct"/>
            <w:tcMar>
              <w:top w:w="0" w:type="dxa"/>
              <w:left w:w="115" w:type="dxa"/>
              <w:bottom w:w="0" w:type="dxa"/>
              <w:right w:w="115" w:type="dxa"/>
            </w:tcMar>
            <w:vAlign w:val="center"/>
            <w:hideMark/>
          </w:tcPr>
          <w:p w14:paraId="1CCD66A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28B5CC1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24.9</w:t>
            </w:r>
          </w:p>
        </w:tc>
      </w:tr>
      <w:tr w:rsidR="001112D6" w:rsidRPr="00B621E1"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Don’t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61645D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4.0</w:t>
            </w:r>
          </w:p>
        </w:tc>
      </w:tr>
      <w:tr w:rsidR="001112D6" w:rsidRPr="00B621E1"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bl>
    <w:p w14:paraId="7F70461E" w14:textId="77777777" w:rsidR="001112D6" w:rsidRPr="00824E21" w:rsidRDefault="001112D6" w:rsidP="001B2966">
      <w:pPr>
        <w:spacing w:line="360" w:lineRule="auto"/>
        <w:rPr>
          <w:rFonts w:asciiTheme="majorHAnsi" w:hAnsiTheme="majorHAnsi" w:cstheme="majorHAnsi"/>
        </w:rPr>
      </w:pPr>
    </w:p>
    <w:p w14:paraId="39F70490" w14:textId="539796FB" w:rsidR="00230D0C" w:rsidRPr="00824E21" w:rsidRDefault="00230D0C">
      <w:pPr>
        <w:rPr>
          <w:rFonts w:asciiTheme="majorHAnsi" w:hAnsiTheme="majorHAnsi" w:cstheme="majorHAnsi"/>
        </w:rPr>
      </w:pPr>
      <w:r>
        <w:rPr>
          <w:rFonts w:asciiTheme="majorHAnsi" w:hAnsiTheme="majorHAnsi" w:cstheme="majorHAnsi"/>
        </w:rPr>
        <w:br w:type="page"/>
      </w:r>
    </w:p>
    <w:p w14:paraId="798803A1" w14:textId="33E3FC5B" w:rsidR="00E97A5A" w:rsidRPr="00824E21" w:rsidRDefault="00230D0C" w:rsidP="0015476A">
      <w:pPr>
        <w:spacing w:line="360" w:lineRule="auto"/>
        <w:jc w:val="center"/>
        <w:rPr>
          <w:rFonts w:asciiTheme="majorHAnsi" w:hAnsiTheme="majorHAnsi" w:cstheme="majorHAnsi"/>
          <w:b/>
          <w:bCs/>
        </w:rPr>
      </w:pPr>
      <w:r>
        <w:rPr>
          <w:rFonts w:asciiTheme="majorHAnsi" w:hAnsiTheme="majorHAnsi" w:cstheme="majorHAnsi"/>
          <w:b/>
          <w:bCs/>
        </w:rPr>
        <w:lastRenderedPageBreak/>
        <w:t>Appendix F: High School Experience by Sexual Orientation Robustness</w:t>
      </w:r>
    </w:p>
    <w:p w14:paraId="5A033E06" w14:textId="792ACC68" w:rsidR="00BB074D" w:rsidRPr="00824E21" w:rsidRDefault="008B44F7" w:rsidP="00342026">
      <w:pPr>
        <w:spacing w:line="360" w:lineRule="auto"/>
        <w:rPr>
          <w:rFonts w:asciiTheme="majorHAnsi" w:hAnsiTheme="majorHAnsi" w:cstheme="majorHAnsi"/>
          <w:b/>
          <w:bCs/>
        </w:rPr>
      </w:pPr>
      <w:r>
        <w:rPr>
          <w:rFonts w:asciiTheme="majorHAnsi" w:hAnsiTheme="majorHAnsi" w:cstheme="majorHAnsi"/>
          <w:b/>
          <w:bCs/>
        </w:rPr>
        <w:t>Figure F1</w:t>
      </w:r>
    </w:p>
    <w:p w14:paraId="43C57894" w14:textId="7BD33091" w:rsidR="00BB074D" w:rsidRPr="00D720F2" w:rsidRDefault="00BB074D" w:rsidP="00342026">
      <w:pPr>
        <w:spacing w:line="360" w:lineRule="auto"/>
        <w:rPr>
          <w:rFonts w:asciiTheme="majorHAnsi" w:hAnsiTheme="majorHAnsi" w:cstheme="majorHAnsi"/>
        </w:rPr>
      </w:pPr>
      <w:r>
        <w:rPr>
          <w:rFonts w:asciiTheme="majorHAnsi" w:hAnsiTheme="majorHAnsi" w:cstheme="majorHAnsi"/>
          <w:i/>
          <w:iCs/>
        </w:rPr>
        <w:t>Regression of High School Experience Index on Sexual Orientation</w:t>
      </w:r>
    </w:p>
    <w:p w14:paraId="256FB4A3" w14:textId="4BE24D8A" w:rsidR="00342026" w:rsidRPr="00824E21" w:rsidRDefault="00342026" w:rsidP="00342026">
      <w:pPr>
        <w:spacing w:line="360" w:lineRule="auto"/>
        <w:rPr>
          <w:rFonts w:asciiTheme="majorHAnsi" w:hAnsiTheme="majorHAnsi" w:cstheme="majorHAnsi"/>
          <w:b/>
          <w:bCs/>
        </w:rPr>
      </w:pPr>
      <w:r>
        <w:rPr>
          <w:rFonts w:asciiTheme="majorHAnsi" w:hAnsiTheme="majorHAnsi" w:cstheme="majorHAnsi"/>
          <w:b/>
          <w:bCs/>
          <w:noProof/>
        </w:rPr>
        <w:drawing>
          <wp:inline distT="0" distB="0" distL="0" distR="0" wp14:anchorId="6C235EF2" wp14:editId="5383EF50">
            <wp:extent cx="5033099" cy="3657600"/>
            <wp:effectExtent l="0" t="0" r="0" b="0"/>
            <wp:docPr id="1293435364" name="Picture 4"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364" name="Picture 4" descr="A graph with numbers and lines  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0F8BCF" w14:textId="78A61A70" w:rsidR="00342026" w:rsidRPr="00824E21" w:rsidRDefault="00342026" w:rsidP="0034202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For the model controlling for demographics (race/ethnicity and parental level of education) and sex assigned at birth, n = 7,412. The lines indicate 95 percent confidence intervals while the sample frequency and mean index of each sexual orientation are reported in parentheses. The vertical line at 0 represents the coefficient for the reference group (straight/heterosexual).</w:t>
      </w:r>
    </w:p>
    <w:p w14:paraId="25DEF869" w14:textId="77777777" w:rsidR="00342026" w:rsidRPr="00D720F2" w:rsidRDefault="00342026" w:rsidP="00342026">
      <w:pPr>
        <w:spacing w:line="360" w:lineRule="auto"/>
        <w:rPr>
          <w:rFonts w:asciiTheme="majorHAnsi" w:hAnsiTheme="majorHAnsi" w:cstheme="majorHAnsi"/>
          <w:b/>
          <w:bCs/>
        </w:rPr>
      </w:pPr>
    </w:p>
    <w:p w14:paraId="25A808ED" w14:textId="77777777" w:rsidR="00DA5179" w:rsidRPr="00824E21" w:rsidRDefault="00DA5179">
      <w:pPr>
        <w:rPr>
          <w:rFonts w:asciiTheme="majorHAnsi" w:hAnsiTheme="majorHAnsi" w:cstheme="majorHAnsi"/>
          <w:b/>
          <w:bCs/>
        </w:rPr>
      </w:pPr>
      <w:r>
        <w:rPr>
          <w:rFonts w:asciiTheme="majorHAnsi" w:hAnsiTheme="majorHAnsi" w:cstheme="majorHAnsi"/>
          <w:b/>
          <w:bCs/>
        </w:rPr>
        <w:br w:type="page"/>
      </w:r>
    </w:p>
    <w:p w14:paraId="3111336A" w14:textId="0EBD3D50" w:rsidR="00DA5179" w:rsidRPr="00824E21" w:rsidRDefault="00DA5179"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G: College Worries by Sexual Orientation Robustness</w:t>
      </w:r>
    </w:p>
    <w:p w14:paraId="3F53BFFA" w14:textId="0EAE657D" w:rsidR="00230D0C" w:rsidRPr="00D720F2" w:rsidRDefault="009820F8" w:rsidP="001B2966">
      <w:pPr>
        <w:spacing w:line="360" w:lineRule="auto"/>
        <w:rPr>
          <w:rFonts w:asciiTheme="majorHAnsi" w:hAnsiTheme="majorHAnsi" w:cstheme="majorHAnsi"/>
          <w:b/>
          <w:bCs/>
        </w:rPr>
      </w:pPr>
      <w:r>
        <w:rPr>
          <w:rFonts w:asciiTheme="majorHAnsi" w:hAnsiTheme="majorHAnsi" w:cstheme="majorHAnsi"/>
          <w:b/>
          <w:bCs/>
        </w:rPr>
        <w:t>Figure G1</w:t>
      </w:r>
    </w:p>
    <w:p w14:paraId="213A942C" w14:textId="73970B7D" w:rsidR="009820F8" w:rsidRPr="00824E21" w:rsidRDefault="009820F8" w:rsidP="001B2966">
      <w:pPr>
        <w:spacing w:line="360" w:lineRule="auto"/>
        <w:rPr>
          <w:rFonts w:asciiTheme="majorHAnsi" w:hAnsiTheme="majorHAnsi" w:cstheme="majorHAnsi"/>
        </w:rPr>
      </w:pPr>
      <w:r>
        <w:rPr>
          <w:rFonts w:asciiTheme="majorHAnsi" w:hAnsiTheme="majorHAnsi" w:cstheme="majorHAnsi"/>
          <w:i/>
          <w:iCs/>
        </w:rPr>
        <w:t>Regression of Composite Index for General College Worries on Sexual Orientation</w:t>
      </w:r>
    </w:p>
    <w:p w14:paraId="4122C637"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0A89EDDA" wp14:editId="2E3C1F27">
            <wp:extent cx="5033099" cy="3657600"/>
            <wp:effectExtent l="0" t="0" r="0" b="0"/>
            <wp:docPr id="2031207440" name="Picture 1"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7440" name="Picture 1" descr="A graph with numbers and lines  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735C3A46" w14:textId="459C7D05" w:rsidR="0080255B" w:rsidRPr="00824E21" w:rsidRDefault="0080255B" w:rsidP="0080255B">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4F7A90B4" w14:textId="77777777" w:rsidR="00230D0C" w:rsidRPr="00824E21" w:rsidRDefault="00230D0C" w:rsidP="001B2966">
      <w:pPr>
        <w:spacing w:line="360" w:lineRule="auto"/>
        <w:rPr>
          <w:rFonts w:asciiTheme="majorHAnsi" w:hAnsiTheme="majorHAnsi" w:cstheme="majorHAnsi"/>
        </w:rPr>
      </w:pPr>
    </w:p>
    <w:p w14:paraId="4A2F5B31" w14:textId="77777777" w:rsidR="00C340FD" w:rsidRPr="00824E21" w:rsidRDefault="00C340FD" w:rsidP="00C340FD">
      <w:pPr>
        <w:spacing w:line="360" w:lineRule="auto"/>
        <w:rPr>
          <w:rFonts w:asciiTheme="majorHAnsi" w:hAnsiTheme="majorHAnsi" w:cstheme="majorHAnsi"/>
          <w:b/>
          <w:bCs/>
        </w:rPr>
      </w:pPr>
    </w:p>
    <w:p w14:paraId="637BBBD1" w14:textId="77777777" w:rsidR="00C340FD" w:rsidRPr="00824E21" w:rsidRDefault="00C340FD" w:rsidP="00C340FD">
      <w:pPr>
        <w:spacing w:line="360" w:lineRule="auto"/>
        <w:rPr>
          <w:rFonts w:asciiTheme="majorHAnsi" w:hAnsiTheme="majorHAnsi" w:cstheme="majorHAnsi"/>
          <w:b/>
          <w:bCs/>
        </w:rPr>
      </w:pPr>
    </w:p>
    <w:p w14:paraId="084D2382" w14:textId="77777777" w:rsidR="00C340FD" w:rsidRPr="00824E21" w:rsidRDefault="00C340FD" w:rsidP="00C340FD">
      <w:pPr>
        <w:spacing w:line="360" w:lineRule="auto"/>
        <w:rPr>
          <w:rFonts w:asciiTheme="majorHAnsi" w:hAnsiTheme="majorHAnsi" w:cstheme="majorHAnsi"/>
          <w:b/>
          <w:bCs/>
        </w:rPr>
      </w:pPr>
    </w:p>
    <w:p w14:paraId="330AFD32" w14:textId="77777777" w:rsidR="00C340FD" w:rsidRPr="00824E21" w:rsidRDefault="00C340FD" w:rsidP="00C340FD">
      <w:pPr>
        <w:spacing w:line="360" w:lineRule="auto"/>
        <w:rPr>
          <w:rFonts w:asciiTheme="majorHAnsi" w:hAnsiTheme="majorHAnsi" w:cstheme="majorHAnsi"/>
          <w:b/>
          <w:bCs/>
        </w:rPr>
      </w:pPr>
    </w:p>
    <w:p w14:paraId="66B47A05" w14:textId="77777777" w:rsidR="00C340FD" w:rsidRPr="00824E21" w:rsidRDefault="00C340FD" w:rsidP="00C340FD">
      <w:pPr>
        <w:spacing w:line="360" w:lineRule="auto"/>
        <w:rPr>
          <w:rFonts w:asciiTheme="majorHAnsi" w:hAnsiTheme="majorHAnsi" w:cstheme="majorHAnsi"/>
          <w:b/>
          <w:bCs/>
        </w:rPr>
      </w:pPr>
    </w:p>
    <w:p w14:paraId="61D7C9F2" w14:textId="77777777" w:rsidR="00C340FD" w:rsidRPr="00824E21" w:rsidRDefault="00C340FD" w:rsidP="00C340FD">
      <w:pPr>
        <w:spacing w:line="360" w:lineRule="auto"/>
        <w:rPr>
          <w:rFonts w:asciiTheme="majorHAnsi" w:hAnsiTheme="majorHAnsi" w:cstheme="majorHAnsi"/>
          <w:b/>
          <w:bCs/>
        </w:rPr>
      </w:pPr>
    </w:p>
    <w:p w14:paraId="1B868EEE" w14:textId="77777777" w:rsidR="00C340FD" w:rsidRPr="00824E21" w:rsidRDefault="00C340FD" w:rsidP="00C340FD">
      <w:pPr>
        <w:spacing w:line="360" w:lineRule="auto"/>
        <w:rPr>
          <w:rFonts w:asciiTheme="majorHAnsi" w:hAnsiTheme="majorHAnsi" w:cstheme="majorHAnsi"/>
          <w:b/>
          <w:bCs/>
        </w:rPr>
      </w:pPr>
    </w:p>
    <w:p w14:paraId="2719FF29" w14:textId="77777777" w:rsidR="00C340FD" w:rsidRPr="00824E21" w:rsidRDefault="00C340FD" w:rsidP="00C340FD">
      <w:pPr>
        <w:spacing w:line="360" w:lineRule="auto"/>
        <w:rPr>
          <w:rFonts w:asciiTheme="majorHAnsi" w:hAnsiTheme="majorHAnsi" w:cstheme="majorHAnsi"/>
          <w:b/>
          <w:bCs/>
        </w:rPr>
      </w:pPr>
    </w:p>
    <w:p w14:paraId="141174CD" w14:textId="77777777" w:rsidR="00C340FD" w:rsidRPr="00824E21" w:rsidRDefault="00C340FD" w:rsidP="00C340FD">
      <w:pPr>
        <w:spacing w:line="360" w:lineRule="auto"/>
        <w:rPr>
          <w:rFonts w:asciiTheme="majorHAnsi" w:hAnsiTheme="majorHAnsi" w:cstheme="majorHAnsi"/>
          <w:b/>
          <w:bCs/>
        </w:rPr>
      </w:pPr>
    </w:p>
    <w:p w14:paraId="449FFC25" w14:textId="2CA28CD6" w:rsidR="00C340FD" w:rsidRPr="00824E21" w:rsidRDefault="00C340FD" w:rsidP="00C340FD">
      <w:pPr>
        <w:spacing w:line="360" w:lineRule="auto"/>
        <w:rPr>
          <w:rFonts w:asciiTheme="majorHAnsi" w:hAnsiTheme="majorHAnsi" w:cstheme="majorHAnsi"/>
          <w:b/>
          <w:bCs/>
        </w:rPr>
      </w:pPr>
      <w:r>
        <w:rPr>
          <w:rFonts w:asciiTheme="majorHAnsi" w:hAnsiTheme="majorHAnsi" w:cstheme="majorHAnsi"/>
          <w:b/>
          <w:bCs/>
        </w:rPr>
        <w:lastRenderedPageBreak/>
        <w:t>Figure G2</w:t>
      </w:r>
    </w:p>
    <w:p w14:paraId="4898E571" w14:textId="4B9F8155" w:rsidR="00C340FD" w:rsidRPr="00824E21" w:rsidRDefault="00C340FD" w:rsidP="00C340FD">
      <w:pPr>
        <w:spacing w:line="360" w:lineRule="auto"/>
        <w:rPr>
          <w:rFonts w:asciiTheme="majorHAnsi" w:hAnsiTheme="majorHAnsi" w:cstheme="majorHAnsi"/>
        </w:rPr>
      </w:pPr>
      <w:r>
        <w:rPr>
          <w:rFonts w:asciiTheme="majorHAnsi" w:hAnsiTheme="majorHAnsi" w:cstheme="majorHAnsi"/>
          <w:i/>
          <w:iCs/>
        </w:rPr>
        <w:t>Regression of Composite Index for College Worries about Discrimination on Sexual Orientation</w:t>
      </w:r>
    </w:p>
    <w:p w14:paraId="3A65CA76"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62405AD2" wp14:editId="0ECB745F">
            <wp:extent cx="5033099" cy="3657600"/>
            <wp:effectExtent l="0" t="0" r="0" b="0"/>
            <wp:docPr id="973227445" name="Picture 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7445" name="Picture 2" descr="A graph with numbers and lines  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DD8CBE" w14:textId="77777777" w:rsidR="00052592" w:rsidRPr="00824E21" w:rsidRDefault="00052592" w:rsidP="00052592">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341232F3" w14:textId="77777777" w:rsidR="00052592" w:rsidRPr="00824E21" w:rsidRDefault="00052592" w:rsidP="001B2966">
      <w:pPr>
        <w:spacing w:line="360" w:lineRule="auto"/>
        <w:rPr>
          <w:rFonts w:asciiTheme="majorHAnsi" w:hAnsiTheme="majorHAnsi" w:cstheme="majorHAnsi"/>
        </w:rPr>
      </w:pPr>
    </w:p>
    <w:p w14:paraId="22990C6C" w14:textId="77777777" w:rsidR="00052592" w:rsidRPr="00824E21" w:rsidRDefault="00052592">
      <w:pPr>
        <w:rPr>
          <w:rFonts w:asciiTheme="majorHAnsi" w:hAnsiTheme="majorHAnsi" w:cstheme="majorHAnsi"/>
          <w:b/>
          <w:bCs/>
        </w:rPr>
      </w:pPr>
      <w:r>
        <w:rPr>
          <w:rFonts w:asciiTheme="majorHAnsi" w:hAnsiTheme="majorHAnsi" w:cstheme="majorHAnsi"/>
          <w:b/>
          <w:bCs/>
        </w:rPr>
        <w:br w:type="page"/>
      </w:r>
    </w:p>
    <w:p w14:paraId="7B39BE7D" w14:textId="3F66577B" w:rsidR="00052592" w:rsidRPr="00824E21" w:rsidRDefault="00052592" w:rsidP="00052592">
      <w:pPr>
        <w:spacing w:line="360" w:lineRule="auto"/>
        <w:rPr>
          <w:rFonts w:asciiTheme="majorHAnsi" w:hAnsiTheme="majorHAnsi" w:cstheme="majorHAnsi"/>
          <w:b/>
          <w:bCs/>
        </w:rPr>
      </w:pPr>
      <w:r>
        <w:rPr>
          <w:rFonts w:asciiTheme="majorHAnsi" w:hAnsiTheme="majorHAnsi" w:cstheme="majorHAnsi"/>
          <w:b/>
          <w:bCs/>
        </w:rPr>
        <w:lastRenderedPageBreak/>
        <w:t>Figure G3</w:t>
      </w:r>
    </w:p>
    <w:p w14:paraId="714DC249" w14:textId="1326364E" w:rsidR="00052592" w:rsidRPr="00824E21" w:rsidRDefault="00052592" w:rsidP="00052592">
      <w:pPr>
        <w:spacing w:line="360" w:lineRule="auto"/>
        <w:rPr>
          <w:rFonts w:asciiTheme="majorHAnsi" w:hAnsiTheme="majorHAnsi" w:cstheme="majorHAnsi"/>
        </w:rPr>
      </w:pPr>
      <w:r>
        <w:rPr>
          <w:rFonts w:asciiTheme="majorHAnsi" w:hAnsiTheme="majorHAnsi" w:cstheme="majorHAnsi"/>
          <w:i/>
          <w:iCs/>
        </w:rPr>
        <w:t>Regression of Composite Index for College Worries about Financial Burdens on Sexual Orientation</w:t>
      </w:r>
    </w:p>
    <w:p w14:paraId="654CFC44" w14:textId="6137F2AD"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7F8F5A01" wp14:editId="56BC3F0B">
            <wp:extent cx="5033099" cy="3657600"/>
            <wp:effectExtent l="0" t="0" r="0" b="0"/>
            <wp:docPr id="368879184" name="Picture 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9184" name="Picture 3" descr="A graph with numbers and lines  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FC5EF32" w14:textId="77777777" w:rsidR="005C1AB6" w:rsidRPr="00824E21" w:rsidRDefault="005C1AB6" w:rsidP="005C1AB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6C316550" w14:textId="6F33F275" w:rsidR="00020A7C" w:rsidRDefault="00020A7C">
      <w:pPr>
        <w:rPr>
          <w:rFonts w:asciiTheme="majorHAnsi" w:hAnsiTheme="majorHAnsi" w:cstheme="majorHAnsi"/>
        </w:rPr>
      </w:pPr>
      <w:r>
        <w:rPr>
          <w:rFonts w:asciiTheme="majorHAnsi" w:hAnsiTheme="majorHAnsi" w:cstheme="majorHAnsi"/>
        </w:rPr>
        <w:br w:type="page"/>
      </w:r>
    </w:p>
    <w:p w14:paraId="011C21B5" w14:textId="1400B372" w:rsidR="005C1AB6" w:rsidRPr="00D720F2" w:rsidRDefault="00020A7C"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H: Predicted Probabilities of Degree Aspirations</w:t>
      </w:r>
    </w:p>
    <w:p w14:paraId="57B67C30" w14:textId="77777777" w:rsidR="00020A7C" w:rsidRDefault="00020A7C" w:rsidP="001B2966">
      <w:pPr>
        <w:spacing w:line="360" w:lineRule="auto"/>
        <w:rPr>
          <w:rFonts w:asciiTheme="majorHAnsi" w:hAnsiTheme="majorHAnsi" w:cstheme="majorHAnsi"/>
        </w:rPr>
      </w:pPr>
    </w:p>
    <w:p w14:paraId="44660131" w14:textId="4F7CA883" w:rsidR="00A00541" w:rsidRPr="001B2966" w:rsidRDefault="00A00541" w:rsidP="00A00541">
      <w:pPr>
        <w:spacing w:line="360" w:lineRule="auto"/>
        <w:rPr>
          <w:rFonts w:asciiTheme="majorHAnsi" w:hAnsiTheme="majorHAnsi" w:cstheme="majorHAnsi"/>
          <w:b/>
          <w:bCs/>
        </w:rPr>
      </w:pPr>
      <w:r>
        <w:rPr>
          <w:rFonts w:asciiTheme="majorHAnsi" w:hAnsiTheme="majorHAnsi" w:cstheme="majorHAnsi"/>
          <w:b/>
          <w:bCs/>
        </w:rPr>
        <w:t>Figure H1</w:t>
      </w:r>
    </w:p>
    <w:p w14:paraId="28E25DCC" w14:textId="66DA2D38" w:rsidR="00A00541" w:rsidRDefault="00A00541" w:rsidP="00A00541">
      <w:pPr>
        <w:spacing w:line="360" w:lineRule="auto"/>
        <w:rPr>
          <w:rFonts w:asciiTheme="majorHAnsi" w:hAnsiTheme="majorHAnsi" w:cstheme="majorHAnsi"/>
          <w:i/>
          <w:iCs/>
        </w:rPr>
      </w:pPr>
      <w:r>
        <w:rPr>
          <w:rFonts w:asciiTheme="majorHAnsi" w:hAnsiTheme="majorHAnsi" w:cstheme="majorHAnsi"/>
          <w:i/>
          <w:iCs/>
        </w:rPr>
        <w:t>Predicted Probability of Degree Aspirations by Gender Identity, Evaluated at Sample Means</w:t>
      </w:r>
    </w:p>
    <w:p w14:paraId="2008517C" w14:textId="3FED2070" w:rsidR="00A00541" w:rsidRDefault="00A00541" w:rsidP="00FC4653">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070232B8" wp14:editId="6A16854F">
            <wp:extent cx="5763492" cy="3840480"/>
            <wp:effectExtent l="0" t="0" r="2540" b="0"/>
            <wp:docPr id="225026159" name="Picture 10"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6159" name="Picture 10" descr="A graph of a number of people  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3492" cy="3840480"/>
                    </a:xfrm>
                    <a:prstGeom prst="rect">
                      <a:avLst/>
                    </a:prstGeom>
                  </pic:spPr>
                </pic:pic>
              </a:graphicData>
            </a:graphic>
          </wp:inline>
        </w:drawing>
      </w:r>
    </w:p>
    <w:p w14:paraId="6A196E37" w14:textId="77777777"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w:t>
      </w:r>
    </w:p>
    <w:p w14:paraId="3E89DB71" w14:textId="0AB683F6" w:rsidR="00FC4653" w:rsidRDefault="00FC4653">
      <w:pPr>
        <w:rPr>
          <w:rFonts w:asciiTheme="majorHAnsi" w:hAnsiTheme="majorHAnsi" w:cstheme="majorHAnsi"/>
          <w:i/>
          <w:iCs/>
        </w:rPr>
      </w:pPr>
      <w:r>
        <w:rPr>
          <w:rFonts w:asciiTheme="majorHAnsi" w:hAnsiTheme="majorHAnsi" w:cstheme="majorHAnsi"/>
          <w:i/>
          <w:iCs/>
        </w:rPr>
        <w:br w:type="page"/>
      </w:r>
    </w:p>
    <w:p w14:paraId="09A44EE0" w14:textId="0ADC7D1A" w:rsidR="00FC4653" w:rsidRPr="001B2966" w:rsidRDefault="00FC4653" w:rsidP="00FC4653">
      <w:pPr>
        <w:spacing w:line="360" w:lineRule="auto"/>
        <w:rPr>
          <w:rFonts w:asciiTheme="majorHAnsi" w:hAnsiTheme="majorHAnsi" w:cstheme="majorHAnsi"/>
          <w:b/>
          <w:bCs/>
        </w:rPr>
      </w:pPr>
      <w:r>
        <w:rPr>
          <w:rFonts w:asciiTheme="majorHAnsi" w:hAnsiTheme="majorHAnsi" w:cstheme="majorHAnsi"/>
          <w:b/>
          <w:bCs/>
        </w:rPr>
        <w:lastRenderedPageBreak/>
        <w:t>Figure H2</w:t>
      </w:r>
    </w:p>
    <w:p w14:paraId="2223D54F" w14:textId="7A291FAA" w:rsidR="00D26BAA" w:rsidRDefault="003018AE" w:rsidP="00FC4653">
      <w:pPr>
        <w:spacing w:line="360" w:lineRule="auto"/>
        <w:rPr>
          <w:rFonts w:asciiTheme="majorHAnsi" w:hAnsiTheme="majorHAnsi" w:cstheme="majorHAnsi"/>
          <w:i/>
          <w:iCs/>
        </w:rPr>
      </w:pPr>
      <w:r>
        <w:rPr>
          <w:rFonts w:asciiTheme="majorHAnsi" w:hAnsiTheme="majorHAnsi" w:cstheme="majorHAnsi"/>
          <w:i/>
          <w:iCs/>
        </w:rPr>
        <w:t>Adjusted Predicted Probability of Degree Aspirations by Sexual Orientation, Evaluated at Sample Means</w:t>
      </w:r>
    </w:p>
    <w:p w14:paraId="1481E55F" w14:textId="1DEA2805" w:rsidR="00D26BAA" w:rsidRDefault="00D26BAA" w:rsidP="00D720F2">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3B0E1392" wp14:editId="152E4360">
            <wp:extent cx="5763491" cy="3840480"/>
            <wp:effectExtent l="0" t="0" r="2540" b="0"/>
            <wp:docPr id="275221566" name="Picture 11"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566" name="Picture 11" descr="A graph of a number of people  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061C4B24" w14:textId="0262D9EE"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w:t>
      </w:r>
    </w:p>
    <w:p w14:paraId="2540D5B1" w14:textId="77777777" w:rsidR="00D26BAA" w:rsidRDefault="00D26BAA" w:rsidP="00A00541">
      <w:pPr>
        <w:spacing w:line="360" w:lineRule="auto"/>
        <w:rPr>
          <w:rFonts w:asciiTheme="majorHAnsi" w:hAnsiTheme="majorHAnsi" w:cstheme="majorHAnsi"/>
        </w:rPr>
      </w:pPr>
    </w:p>
    <w:p w14:paraId="71F73AF5" w14:textId="77777777" w:rsidR="00D26BAA" w:rsidRDefault="00D26BAA">
      <w:pPr>
        <w:rPr>
          <w:rFonts w:asciiTheme="majorHAnsi" w:hAnsiTheme="majorHAnsi" w:cstheme="majorHAnsi"/>
          <w:b/>
          <w:bCs/>
        </w:rPr>
      </w:pPr>
      <w:r>
        <w:rPr>
          <w:rFonts w:asciiTheme="majorHAnsi" w:hAnsiTheme="majorHAnsi" w:cstheme="majorHAnsi"/>
          <w:b/>
          <w:bCs/>
        </w:rPr>
        <w:br w:type="page"/>
      </w:r>
    </w:p>
    <w:p w14:paraId="1C6380F7" w14:textId="354CAAB9" w:rsidR="00D26BAA" w:rsidRPr="001B2966" w:rsidRDefault="00D26BAA" w:rsidP="00D26BAA">
      <w:pPr>
        <w:spacing w:line="360" w:lineRule="auto"/>
        <w:rPr>
          <w:rFonts w:asciiTheme="majorHAnsi" w:hAnsiTheme="majorHAnsi" w:cstheme="majorHAnsi"/>
          <w:b/>
          <w:bCs/>
        </w:rPr>
      </w:pPr>
      <w:r>
        <w:rPr>
          <w:rFonts w:asciiTheme="majorHAnsi" w:hAnsiTheme="majorHAnsi" w:cstheme="majorHAnsi"/>
          <w:b/>
          <w:bCs/>
        </w:rPr>
        <w:lastRenderedPageBreak/>
        <w:t>Figure H3</w:t>
      </w:r>
    </w:p>
    <w:p w14:paraId="587D91C2" w14:textId="6896CDA7" w:rsidR="00D26BAA" w:rsidRDefault="00EB3E9C" w:rsidP="00D26BAA">
      <w:pPr>
        <w:spacing w:line="360" w:lineRule="auto"/>
        <w:rPr>
          <w:rFonts w:asciiTheme="majorHAnsi" w:hAnsiTheme="majorHAnsi" w:cstheme="majorHAnsi"/>
          <w:i/>
          <w:iCs/>
        </w:rPr>
      </w:pPr>
      <w:r>
        <w:rPr>
          <w:rFonts w:asciiTheme="majorHAnsi" w:hAnsiTheme="majorHAnsi" w:cstheme="majorHAnsi"/>
          <w:i/>
          <w:iCs/>
        </w:rPr>
        <w:t>Adjusted Predicted Probability of Degree Aspirations by Sexual Orientation, Evaluated at Sample Means, Controlling for Assigned Sex at Birth</w:t>
      </w:r>
    </w:p>
    <w:p w14:paraId="0B614305" w14:textId="78E28623" w:rsidR="00020A7C" w:rsidRDefault="00020A7C" w:rsidP="00D720F2">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461AC7FA" wp14:editId="53C66F9D">
            <wp:extent cx="5763491" cy="3840480"/>
            <wp:effectExtent l="0" t="0" r="2540" b="0"/>
            <wp:docPr id="2033411400" name="Picture 12"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1400" name="Picture 12" descr="A graph of a number of people  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7FA87364" w14:textId="00DD051B" w:rsidR="00A219C7" w:rsidRDefault="00A219C7" w:rsidP="00A00541">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 and assigned sex at birth.</w:t>
      </w:r>
    </w:p>
    <w:p w14:paraId="46652050" w14:textId="5EB8FFA0" w:rsidR="00352836" w:rsidRDefault="00352836">
      <w:pPr>
        <w:rPr>
          <w:rFonts w:asciiTheme="majorHAnsi" w:hAnsiTheme="majorHAnsi" w:cstheme="majorHAnsi"/>
          <w:sz w:val="20"/>
          <w:szCs w:val="20"/>
        </w:rPr>
      </w:pPr>
      <w:r>
        <w:rPr>
          <w:rFonts w:asciiTheme="majorHAnsi" w:hAnsiTheme="majorHAnsi" w:cstheme="majorHAnsi"/>
          <w:sz w:val="20"/>
          <w:szCs w:val="20"/>
        </w:rPr>
        <w:br w:type="page"/>
      </w:r>
    </w:p>
    <w:p w14:paraId="7A339754" w14:textId="7A7E7179" w:rsidR="00352836" w:rsidRPr="00352836" w:rsidRDefault="00352836" w:rsidP="00352836">
      <w:pPr>
        <w:spacing w:line="360" w:lineRule="auto"/>
        <w:jc w:val="center"/>
        <w:rPr>
          <w:rFonts w:asciiTheme="majorHAnsi" w:hAnsiTheme="majorHAnsi" w:cstheme="majorHAnsi"/>
          <w:b/>
          <w:bCs/>
        </w:rPr>
      </w:pPr>
      <w:r>
        <w:rPr>
          <w:rFonts w:asciiTheme="majorHAnsi" w:hAnsiTheme="majorHAnsi" w:cstheme="majorHAnsi"/>
          <w:b/>
          <w:bCs/>
        </w:rPr>
        <w:lastRenderedPageBreak/>
        <w:t>Appendix I: Bullying as Mediator for High School Experience</w:t>
      </w:r>
    </w:p>
    <w:p w14:paraId="7FE317B5" w14:textId="77777777" w:rsidR="00352836" w:rsidRDefault="00352836" w:rsidP="00A00541">
      <w:pPr>
        <w:spacing w:line="360" w:lineRule="auto"/>
        <w:rPr>
          <w:rFonts w:asciiTheme="majorHAnsi" w:hAnsiTheme="majorHAnsi" w:cstheme="majorHAnsi"/>
          <w:sz w:val="20"/>
          <w:szCs w:val="20"/>
        </w:rPr>
      </w:pPr>
    </w:p>
    <w:p w14:paraId="6F807260" w14:textId="24190FDD" w:rsidR="005D0E46" w:rsidRPr="00B621E1" w:rsidRDefault="005D0E46" w:rsidP="005D0E46">
      <w:pPr>
        <w:spacing w:line="360" w:lineRule="auto"/>
        <w:rPr>
          <w:rFonts w:asciiTheme="majorHAnsi" w:hAnsiTheme="majorHAnsi" w:cstheme="majorHAnsi"/>
          <w:b/>
          <w:bCs/>
        </w:rPr>
      </w:pPr>
      <w:r>
        <w:rPr>
          <w:rFonts w:asciiTheme="majorHAnsi" w:hAnsiTheme="majorHAnsi" w:cstheme="majorHAnsi"/>
          <w:b/>
          <w:bCs/>
        </w:rPr>
        <w:t>Figure I1</w:t>
      </w:r>
    </w:p>
    <w:p w14:paraId="4945A3F2" w14:textId="54150653" w:rsidR="00352836" w:rsidRPr="001A3945" w:rsidRDefault="005D0E46" w:rsidP="00A00541">
      <w:pPr>
        <w:spacing w:line="360" w:lineRule="auto"/>
        <w:rPr>
          <w:rFonts w:asciiTheme="majorHAnsi" w:hAnsiTheme="majorHAnsi" w:cstheme="majorHAnsi"/>
          <w:i/>
          <w:iCs/>
        </w:rPr>
      </w:pPr>
      <w:r>
        <w:rPr>
          <w:rFonts w:asciiTheme="majorHAnsi" w:hAnsiTheme="majorHAnsi" w:cstheme="majorHAnsi"/>
          <w:i/>
          <w:iCs/>
        </w:rPr>
        <w:t>Regression of High School Experience Index on Gender Identity, Controlling for Bullying</w:t>
      </w:r>
    </w:p>
    <w:p w14:paraId="2550F5A7" w14:textId="2DECCEDA" w:rsidR="00352836" w:rsidRDefault="00352836" w:rsidP="001A3945">
      <w:pPr>
        <w:spacing w:line="360" w:lineRule="auto"/>
        <w:jc w:val="center"/>
        <w:rPr>
          <w:rFonts w:asciiTheme="majorHAnsi" w:hAnsiTheme="majorHAnsi" w:cstheme="majorHAnsi"/>
          <w:sz w:val="20"/>
          <w:szCs w:val="20"/>
        </w:rPr>
      </w:pPr>
      <w:r>
        <w:rPr>
          <w:rFonts w:asciiTheme="majorHAnsi" w:hAnsiTheme="majorHAnsi" w:cstheme="majorHAnsi"/>
          <w:noProof/>
        </w:rPr>
        <w:drawing>
          <wp:inline distT="0" distB="0" distL="0" distR="0" wp14:anchorId="70C84A19" wp14:editId="751F8EF5">
            <wp:extent cx="5033099" cy="3657600"/>
            <wp:effectExtent l="0" t="0" r="0" b="0"/>
            <wp:docPr id="88520214" name="Picture 3"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214" name="Picture 3" descr="A graph with different colored lines  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4BABD21" w14:textId="0DF7830A" w:rsidR="00352836" w:rsidRPr="0058735A" w:rsidRDefault="007F189C" w:rsidP="001A3945">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For the unconditional model, n = 7,483. For the model controlling for demographics (race/ethnicity and parental level of education), n = 7,464. For the model controlling for demographics and frequency of bullying, n = 7,456. The lines indicate 95 percent confidence intervals while the sample frequency and mean index of each gender identity are reported in parentheses. The vertical line at 0 represents the coefficient for the reference group (cisgender man).</w:t>
      </w:r>
    </w:p>
    <w:p w14:paraId="7C9EF2AA" w14:textId="77777777" w:rsidR="00352836" w:rsidRDefault="00352836" w:rsidP="00A00541">
      <w:pPr>
        <w:spacing w:line="360" w:lineRule="auto"/>
        <w:rPr>
          <w:rFonts w:asciiTheme="majorHAnsi" w:hAnsiTheme="majorHAnsi" w:cstheme="majorHAnsi"/>
          <w:sz w:val="20"/>
          <w:szCs w:val="20"/>
        </w:rPr>
      </w:pPr>
    </w:p>
    <w:p w14:paraId="52D4553D" w14:textId="77777777" w:rsidR="006B4158" w:rsidRDefault="006B4158">
      <w:pPr>
        <w:rPr>
          <w:rFonts w:asciiTheme="majorHAnsi" w:hAnsiTheme="majorHAnsi" w:cstheme="majorHAnsi"/>
          <w:b/>
          <w:bCs/>
        </w:rPr>
      </w:pPr>
      <w:r>
        <w:rPr>
          <w:rFonts w:asciiTheme="majorHAnsi" w:hAnsiTheme="majorHAnsi" w:cstheme="majorHAnsi"/>
          <w:b/>
          <w:bCs/>
        </w:rPr>
        <w:br w:type="page"/>
      </w:r>
    </w:p>
    <w:p w14:paraId="5754ACBB" w14:textId="3C2A17A5" w:rsidR="006B4158" w:rsidRPr="00B621E1" w:rsidRDefault="006B4158" w:rsidP="006B4158">
      <w:pPr>
        <w:spacing w:line="360" w:lineRule="auto"/>
        <w:rPr>
          <w:rFonts w:asciiTheme="majorHAnsi" w:hAnsiTheme="majorHAnsi" w:cstheme="majorHAnsi"/>
          <w:b/>
          <w:bCs/>
        </w:rPr>
      </w:pPr>
      <w:r>
        <w:rPr>
          <w:rFonts w:asciiTheme="majorHAnsi" w:hAnsiTheme="majorHAnsi" w:cstheme="majorHAnsi"/>
          <w:b/>
          <w:bCs/>
        </w:rPr>
        <w:lastRenderedPageBreak/>
        <w:t>Figure I2</w:t>
      </w:r>
    </w:p>
    <w:p w14:paraId="6488BC0B" w14:textId="3C24954B" w:rsidR="006B4158" w:rsidRPr="001A3945" w:rsidRDefault="006B4158" w:rsidP="00A00541">
      <w:pPr>
        <w:spacing w:line="360" w:lineRule="auto"/>
        <w:rPr>
          <w:rFonts w:asciiTheme="majorHAnsi" w:hAnsiTheme="majorHAnsi" w:cstheme="majorHAnsi"/>
          <w:i/>
          <w:iCs/>
        </w:rPr>
      </w:pPr>
      <w:r>
        <w:rPr>
          <w:rFonts w:asciiTheme="majorHAnsi" w:hAnsiTheme="majorHAnsi" w:cstheme="majorHAnsi"/>
          <w:i/>
          <w:iCs/>
        </w:rPr>
        <w:t>Regression of High School Experience Index on Sexual Orientation, Controlling for Bullying</w:t>
      </w:r>
    </w:p>
    <w:p w14:paraId="5312ABC0" w14:textId="77777777" w:rsidR="00221C6C" w:rsidRDefault="00352836" w:rsidP="00221C6C">
      <w:pPr>
        <w:spacing w:line="360" w:lineRule="auto"/>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38DB0488" wp14:editId="1A66CEFD">
            <wp:extent cx="5033099" cy="3657600"/>
            <wp:effectExtent l="0" t="0" r="0" b="0"/>
            <wp:docPr id="1116610179" name="Picture 5"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0179" name="Picture 5" descr="A graph with numbers and lines  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8B3BFAB" w14:textId="30A207D1" w:rsidR="002777E5" w:rsidRDefault="002777E5" w:rsidP="004172C6">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7,442. For the model controlling for demographics (race/ethnicity and parental level of education), n = 7,422. For the model controlling for demographics and frequency of bullying, n = 7,414. For the model additionally controlling for assigned sex at birth, n = 7,404. The lines indicate 95 percent confidence intervals while the sample frequency and mean index of each sexual orientation are reported in parentheses. The vertical line at 0 represents the coefficient for the reference group (straight/heterosexual).</w:t>
      </w:r>
    </w:p>
    <w:p w14:paraId="470AB053" w14:textId="77777777" w:rsidR="00272EB8" w:rsidRDefault="00272EB8" w:rsidP="004172C6">
      <w:pPr>
        <w:rPr>
          <w:rFonts w:asciiTheme="majorHAnsi" w:hAnsiTheme="majorHAnsi" w:cstheme="majorHAnsi"/>
          <w:sz w:val="20"/>
          <w:szCs w:val="20"/>
        </w:rPr>
      </w:pPr>
    </w:p>
    <w:p w14:paraId="3041AECD" w14:textId="77777777" w:rsidR="00272EB8" w:rsidRDefault="00272EB8" w:rsidP="004172C6">
      <w:pPr>
        <w:rPr>
          <w:rFonts w:asciiTheme="majorHAnsi" w:hAnsiTheme="majorHAnsi" w:cstheme="majorHAnsi"/>
          <w:sz w:val="20"/>
          <w:szCs w:val="20"/>
        </w:rPr>
      </w:pPr>
    </w:p>
    <w:p w14:paraId="2890DF3F" w14:textId="36E244CD" w:rsidR="00272EB8" w:rsidRDefault="00272EB8">
      <w:pPr>
        <w:rPr>
          <w:rFonts w:asciiTheme="majorHAnsi" w:hAnsiTheme="majorHAnsi" w:cstheme="majorHAnsi"/>
          <w:sz w:val="20"/>
          <w:szCs w:val="20"/>
        </w:rPr>
      </w:pPr>
      <w:r>
        <w:rPr>
          <w:rFonts w:asciiTheme="majorHAnsi" w:hAnsiTheme="majorHAnsi" w:cstheme="majorHAnsi"/>
          <w:sz w:val="20"/>
          <w:szCs w:val="20"/>
        </w:rPr>
        <w:br w:type="page"/>
      </w:r>
    </w:p>
    <w:p w14:paraId="21763874" w14:textId="5A65E853" w:rsidR="00272EB8" w:rsidRDefault="00272EB8" w:rsidP="00272EB8">
      <w:pPr>
        <w:jc w:val="center"/>
        <w:rPr>
          <w:rFonts w:asciiTheme="majorHAnsi" w:hAnsiTheme="majorHAnsi" w:cstheme="majorHAnsi"/>
          <w:b/>
          <w:bCs/>
        </w:rPr>
      </w:pPr>
      <w:r>
        <w:rPr>
          <w:rFonts w:asciiTheme="majorHAnsi" w:hAnsiTheme="majorHAnsi" w:cstheme="majorHAnsi"/>
          <w:b/>
          <w:bCs/>
        </w:rPr>
        <w:lastRenderedPageBreak/>
        <w:t>Appendix J: Bullying as Mediator for College Worries</w:t>
      </w:r>
    </w:p>
    <w:p w14:paraId="5C86B4DF" w14:textId="77777777" w:rsidR="0009553C" w:rsidRDefault="0009553C" w:rsidP="0009553C">
      <w:pPr>
        <w:rPr>
          <w:rFonts w:asciiTheme="majorHAnsi" w:hAnsiTheme="majorHAnsi" w:cstheme="majorHAnsi"/>
          <w:b/>
          <w:bCs/>
        </w:rPr>
      </w:pPr>
    </w:p>
    <w:p w14:paraId="63844626" w14:textId="07EE63D3" w:rsidR="00DD1600" w:rsidRDefault="00DD1600" w:rsidP="0009553C">
      <w:pPr>
        <w:rPr>
          <w:rFonts w:asciiTheme="majorHAnsi" w:hAnsiTheme="majorHAnsi" w:cstheme="majorHAnsi"/>
          <w:b/>
          <w:bCs/>
        </w:rPr>
      </w:pPr>
      <w:r>
        <w:rPr>
          <w:rFonts w:asciiTheme="majorHAnsi" w:hAnsiTheme="majorHAnsi" w:cstheme="majorHAnsi"/>
          <w:b/>
          <w:bCs/>
        </w:rPr>
        <w:t>Figure J1</w:t>
      </w:r>
    </w:p>
    <w:p w14:paraId="77EF1860" w14:textId="178158B5" w:rsidR="00DD1600" w:rsidRPr="001A3945" w:rsidRDefault="00DD1600" w:rsidP="001A3945">
      <w:pPr>
        <w:spacing w:line="360" w:lineRule="auto"/>
        <w:rPr>
          <w:rFonts w:asciiTheme="majorHAnsi" w:hAnsiTheme="majorHAnsi" w:cstheme="majorHAnsi"/>
          <w:i/>
          <w:iCs/>
        </w:rPr>
      </w:pPr>
      <w:r>
        <w:rPr>
          <w:rFonts w:asciiTheme="majorHAnsi" w:hAnsiTheme="majorHAnsi" w:cstheme="majorHAnsi"/>
          <w:i/>
          <w:iCs/>
        </w:rPr>
        <w:t>Regression of Composite Index of General College Worries on Gender Identity, Controlling for Bullying</w:t>
      </w:r>
    </w:p>
    <w:p w14:paraId="59A95EAB" w14:textId="77777777" w:rsidR="0009553C" w:rsidRDefault="0009553C" w:rsidP="001A3945">
      <w:pPr>
        <w:jc w:val="center"/>
        <w:rPr>
          <w:rFonts w:asciiTheme="majorHAnsi" w:hAnsiTheme="majorHAnsi" w:cstheme="majorHAnsi"/>
        </w:rPr>
      </w:pPr>
      <w:r>
        <w:rPr>
          <w:rFonts w:asciiTheme="majorHAnsi" w:hAnsiTheme="majorHAnsi" w:cstheme="majorHAnsi"/>
          <w:noProof/>
        </w:rPr>
        <w:drawing>
          <wp:inline distT="0" distB="0" distL="0" distR="0" wp14:anchorId="2F22D7CD" wp14:editId="03637AB3">
            <wp:extent cx="5033099" cy="3657600"/>
            <wp:effectExtent l="0" t="0" r="0" b="0"/>
            <wp:docPr id="2003429602" name="Picture 8"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9602" name="Picture 8" descr="A graph with different colored lines  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0BB156B" w14:textId="7EA71B98" w:rsidR="0009553C" w:rsidRPr="001A3945" w:rsidRDefault="0009553C" w:rsidP="000955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42319EA4" w14:textId="77777777" w:rsidR="0009553C" w:rsidRDefault="0009553C" w:rsidP="0009553C">
      <w:pPr>
        <w:rPr>
          <w:rFonts w:asciiTheme="majorHAnsi" w:hAnsiTheme="majorHAnsi" w:cstheme="majorHAnsi"/>
        </w:rPr>
      </w:pPr>
    </w:p>
    <w:p w14:paraId="18A47B8D" w14:textId="77777777" w:rsidR="009C6697" w:rsidRDefault="009C6697">
      <w:pPr>
        <w:rPr>
          <w:rFonts w:asciiTheme="majorHAnsi" w:hAnsiTheme="majorHAnsi" w:cstheme="majorHAnsi"/>
          <w:b/>
          <w:bCs/>
        </w:rPr>
      </w:pPr>
      <w:r>
        <w:rPr>
          <w:rFonts w:asciiTheme="majorHAnsi" w:hAnsiTheme="majorHAnsi" w:cstheme="majorHAnsi"/>
          <w:b/>
          <w:bCs/>
        </w:rPr>
        <w:br w:type="page"/>
      </w:r>
    </w:p>
    <w:p w14:paraId="09DD3182" w14:textId="5A463B4A" w:rsidR="009C6697" w:rsidRDefault="009C6697" w:rsidP="009C6697">
      <w:pPr>
        <w:rPr>
          <w:rFonts w:asciiTheme="majorHAnsi" w:hAnsiTheme="majorHAnsi" w:cstheme="majorHAnsi"/>
          <w:b/>
          <w:bCs/>
        </w:rPr>
      </w:pPr>
      <w:r>
        <w:rPr>
          <w:rFonts w:asciiTheme="majorHAnsi" w:hAnsiTheme="majorHAnsi" w:cstheme="majorHAnsi"/>
          <w:b/>
          <w:bCs/>
        </w:rPr>
        <w:lastRenderedPageBreak/>
        <w:t>Figure J2</w:t>
      </w:r>
    </w:p>
    <w:p w14:paraId="3872D078" w14:textId="6C636B51" w:rsidR="009C6697" w:rsidRPr="001A3945" w:rsidRDefault="009C6697" w:rsidP="001A3945">
      <w:pPr>
        <w:spacing w:line="360" w:lineRule="auto"/>
        <w:rPr>
          <w:rFonts w:asciiTheme="majorHAnsi" w:hAnsiTheme="majorHAnsi" w:cstheme="majorHAnsi"/>
          <w:i/>
          <w:iCs/>
        </w:rPr>
      </w:pPr>
      <w:r>
        <w:rPr>
          <w:rFonts w:asciiTheme="majorHAnsi" w:hAnsiTheme="majorHAnsi" w:cstheme="majorHAnsi"/>
          <w:i/>
          <w:iCs/>
        </w:rPr>
        <w:t>Regression of Composite Index of General College Worries on Sexual Orientation, Controlling for Bullying</w:t>
      </w:r>
    </w:p>
    <w:p w14:paraId="5522724A" w14:textId="5A34D8ED" w:rsidR="0009553C" w:rsidRDefault="0009553C" w:rsidP="007460BD">
      <w:pPr>
        <w:jc w:val="center"/>
        <w:rPr>
          <w:rFonts w:asciiTheme="majorHAnsi" w:hAnsiTheme="majorHAnsi" w:cstheme="majorHAnsi"/>
        </w:rPr>
      </w:pPr>
      <w:r>
        <w:rPr>
          <w:rFonts w:asciiTheme="majorHAnsi" w:hAnsiTheme="majorHAnsi" w:cstheme="majorHAnsi"/>
          <w:noProof/>
        </w:rPr>
        <w:drawing>
          <wp:inline distT="0" distB="0" distL="0" distR="0" wp14:anchorId="005D68E7" wp14:editId="0C4D0FCA">
            <wp:extent cx="5033099" cy="3657600"/>
            <wp:effectExtent l="0" t="0" r="0" b="0"/>
            <wp:docPr id="922130535" name="Picture 9" descr="A graph with different colored lines and numb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0535" name="Picture 9" descr="A graph with different colored lines and numbers  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B2E4396" w14:textId="277B6D89" w:rsidR="007460BD" w:rsidRDefault="007460BD" w:rsidP="007460B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6BF82D93" w14:textId="51726A3B" w:rsidR="00A9670E" w:rsidRDefault="00A9670E">
      <w:pPr>
        <w:rPr>
          <w:rFonts w:asciiTheme="majorHAnsi" w:hAnsiTheme="majorHAnsi" w:cstheme="majorHAnsi"/>
          <w:sz w:val="20"/>
          <w:szCs w:val="20"/>
        </w:rPr>
      </w:pPr>
      <w:r>
        <w:rPr>
          <w:rFonts w:asciiTheme="majorHAnsi" w:hAnsiTheme="majorHAnsi" w:cstheme="majorHAnsi"/>
          <w:sz w:val="20"/>
          <w:szCs w:val="20"/>
        </w:rPr>
        <w:br w:type="page"/>
      </w:r>
    </w:p>
    <w:p w14:paraId="543AA7A8" w14:textId="604A85D9" w:rsidR="00A9670E" w:rsidRDefault="00A9670E" w:rsidP="00A9670E">
      <w:pPr>
        <w:rPr>
          <w:rFonts w:asciiTheme="majorHAnsi" w:hAnsiTheme="majorHAnsi" w:cstheme="majorHAnsi"/>
          <w:b/>
          <w:bCs/>
        </w:rPr>
      </w:pPr>
      <w:r>
        <w:rPr>
          <w:rFonts w:asciiTheme="majorHAnsi" w:hAnsiTheme="majorHAnsi" w:cstheme="majorHAnsi"/>
          <w:b/>
          <w:bCs/>
        </w:rPr>
        <w:lastRenderedPageBreak/>
        <w:t>Figure J3</w:t>
      </w:r>
    </w:p>
    <w:p w14:paraId="693EC008" w14:textId="07D00325" w:rsidR="00A9670E" w:rsidRPr="00806A88" w:rsidRDefault="00A9670E" w:rsidP="00A9670E">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Discrimination on Gender Identity, Controlling for Bullying</w:t>
      </w:r>
    </w:p>
    <w:p w14:paraId="2D623D3D" w14:textId="597A8304" w:rsidR="00A9670E" w:rsidRDefault="0079748E" w:rsidP="0079748E">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4C0120B2" wp14:editId="5C037930">
            <wp:extent cx="5033099" cy="3657600"/>
            <wp:effectExtent l="0" t="0" r="0" b="0"/>
            <wp:docPr id="1686209624" name="Picture 10"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9624" name="Picture 10" descr="A graph with numbers and lines  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276B444" w14:textId="6B7AA140" w:rsidR="000A1171" w:rsidRDefault="000A1171" w:rsidP="000A1171">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6FE03404" w14:textId="4F909C21" w:rsidR="000A1171" w:rsidRDefault="000A1171">
      <w:pPr>
        <w:rPr>
          <w:rFonts w:asciiTheme="majorHAnsi" w:hAnsiTheme="majorHAnsi" w:cstheme="majorHAnsi"/>
          <w:sz w:val="20"/>
          <w:szCs w:val="20"/>
        </w:rPr>
      </w:pPr>
      <w:r>
        <w:rPr>
          <w:rFonts w:asciiTheme="majorHAnsi" w:hAnsiTheme="majorHAnsi" w:cstheme="majorHAnsi"/>
          <w:sz w:val="20"/>
          <w:szCs w:val="20"/>
        </w:rPr>
        <w:br w:type="page"/>
      </w:r>
    </w:p>
    <w:p w14:paraId="4D80A31E" w14:textId="2958FC19" w:rsidR="000A1171" w:rsidRDefault="000A1171" w:rsidP="000A1171">
      <w:pPr>
        <w:rPr>
          <w:rFonts w:asciiTheme="majorHAnsi" w:hAnsiTheme="majorHAnsi" w:cstheme="majorHAnsi"/>
          <w:b/>
          <w:bCs/>
        </w:rPr>
      </w:pPr>
      <w:r>
        <w:rPr>
          <w:rFonts w:asciiTheme="majorHAnsi" w:hAnsiTheme="majorHAnsi" w:cstheme="majorHAnsi"/>
          <w:b/>
          <w:bCs/>
        </w:rPr>
        <w:lastRenderedPageBreak/>
        <w:t>Figure J4</w:t>
      </w:r>
    </w:p>
    <w:p w14:paraId="5AFE9DE6" w14:textId="21A999FB" w:rsidR="000A1171" w:rsidRPr="00806A88" w:rsidRDefault="000A1171" w:rsidP="000A1171">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Discrimination on Sexual Orientation, Controlling for Bullying</w:t>
      </w:r>
    </w:p>
    <w:p w14:paraId="79C274AD" w14:textId="4311B343" w:rsidR="000A1171" w:rsidRDefault="007C0890" w:rsidP="007C0890">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1916EE41" wp14:editId="6394BC2A">
            <wp:extent cx="5033099" cy="3657600"/>
            <wp:effectExtent l="0" t="0" r="0" b="0"/>
            <wp:docPr id="1220255459" name="Picture 11" descr="A graph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5459" name="Picture 11" descr="A graph with text on it  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56AAEA" w14:textId="1DD706BA" w:rsidR="003A0903" w:rsidRDefault="00B568DE" w:rsidP="00B568DE">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5D29D31B" w14:textId="77777777" w:rsidR="003A0903" w:rsidRDefault="003A0903">
      <w:pPr>
        <w:rPr>
          <w:rFonts w:asciiTheme="majorHAnsi" w:hAnsiTheme="majorHAnsi" w:cstheme="majorHAnsi"/>
          <w:sz w:val="20"/>
          <w:szCs w:val="20"/>
        </w:rPr>
      </w:pPr>
      <w:r>
        <w:rPr>
          <w:rFonts w:asciiTheme="majorHAnsi" w:hAnsiTheme="majorHAnsi" w:cstheme="majorHAnsi"/>
          <w:sz w:val="20"/>
          <w:szCs w:val="20"/>
        </w:rPr>
        <w:br w:type="page"/>
      </w:r>
    </w:p>
    <w:p w14:paraId="2D5586DF" w14:textId="54FB2600" w:rsidR="004A614C" w:rsidRDefault="004A614C" w:rsidP="004A614C">
      <w:pPr>
        <w:rPr>
          <w:rFonts w:asciiTheme="majorHAnsi" w:hAnsiTheme="majorHAnsi" w:cstheme="majorHAnsi"/>
          <w:b/>
          <w:bCs/>
        </w:rPr>
      </w:pPr>
      <w:r>
        <w:rPr>
          <w:rFonts w:asciiTheme="majorHAnsi" w:hAnsiTheme="majorHAnsi" w:cstheme="majorHAnsi"/>
          <w:b/>
          <w:bCs/>
        </w:rPr>
        <w:lastRenderedPageBreak/>
        <w:t>Figure J5</w:t>
      </w:r>
    </w:p>
    <w:p w14:paraId="00357506" w14:textId="08EDC356" w:rsidR="00B568DE" w:rsidRPr="001A3945" w:rsidRDefault="004A614C" w:rsidP="001A3945">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Financial Burdens on Gender Identity, Controlling for Bullying</w:t>
      </w:r>
    </w:p>
    <w:p w14:paraId="39C61505" w14:textId="1230DD25" w:rsidR="003A0903" w:rsidRDefault="003A0903" w:rsidP="003A0903">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77A0A0A4" wp14:editId="5AED7B01">
            <wp:extent cx="5033099" cy="3657600"/>
            <wp:effectExtent l="0" t="0" r="0" b="0"/>
            <wp:docPr id="413527620" name="Picture 1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7620" name="Picture 12" descr="A graph with numbers and lines  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E4C15A0" w14:textId="6B439BE8" w:rsidR="000169CD" w:rsidRDefault="00387714" w:rsidP="00387714">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1BC10EB1" w14:textId="77777777" w:rsidR="000169CD" w:rsidRDefault="000169CD">
      <w:pPr>
        <w:rPr>
          <w:rFonts w:asciiTheme="majorHAnsi" w:hAnsiTheme="majorHAnsi" w:cstheme="majorHAnsi"/>
          <w:sz w:val="20"/>
          <w:szCs w:val="20"/>
        </w:rPr>
      </w:pPr>
      <w:r>
        <w:rPr>
          <w:rFonts w:asciiTheme="majorHAnsi" w:hAnsiTheme="majorHAnsi" w:cstheme="majorHAnsi"/>
          <w:sz w:val="20"/>
          <w:szCs w:val="20"/>
        </w:rPr>
        <w:br w:type="page"/>
      </w:r>
    </w:p>
    <w:p w14:paraId="79884356" w14:textId="23BB7A2F" w:rsidR="000169CD" w:rsidRDefault="000169CD" w:rsidP="000169CD">
      <w:pPr>
        <w:rPr>
          <w:rFonts w:asciiTheme="majorHAnsi" w:hAnsiTheme="majorHAnsi" w:cstheme="majorHAnsi"/>
          <w:b/>
          <w:bCs/>
        </w:rPr>
      </w:pPr>
      <w:r>
        <w:rPr>
          <w:rFonts w:asciiTheme="majorHAnsi" w:hAnsiTheme="majorHAnsi" w:cstheme="majorHAnsi"/>
          <w:b/>
          <w:bCs/>
        </w:rPr>
        <w:lastRenderedPageBreak/>
        <w:t>Figure J6</w:t>
      </w:r>
    </w:p>
    <w:p w14:paraId="7B8C2889" w14:textId="5A15888D" w:rsidR="000169CD" w:rsidRDefault="000169CD" w:rsidP="000169CD">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Financial Burdens on Sexual Orientation, Controlling for Bullying</w:t>
      </w:r>
    </w:p>
    <w:p w14:paraId="6ABE060E" w14:textId="3D65F298" w:rsidR="004E63AC" w:rsidRDefault="004E63AC" w:rsidP="004E63AC">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0B189481" wp14:editId="0D38E673">
            <wp:extent cx="5033099" cy="3657600"/>
            <wp:effectExtent l="0" t="0" r="0" b="0"/>
            <wp:docPr id="409412900" name="Picture 1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12900" name="Picture 13" descr="A graph with numbers and lines  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324B34" w14:textId="5050A83D" w:rsidR="00EE52F6" w:rsidRPr="001A3945" w:rsidRDefault="00EE52F6" w:rsidP="001A3945">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7CF8AE4C" w14:textId="77777777" w:rsidR="00387714" w:rsidRPr="007460BD" w:rsidRDefault="00387714" w:rsidP="001A3945">
      <w:pPr>
        <w:rPr>
          <w:rFonts w:asciiTheme="majorHAnsi" w:hAnsiTheme="majorHAnsi" w:cstheme="majorHAnsi"/>
          <w:sz w:val="20"/>
          <w:szCs w:val="20"/>
        </w:rPr>
      </w:pPr>
    </w:p>
    <w:sectPr w:rsidR="00387714" w:rsidRPr="007460BD" w:rsidSect="001112D6">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rith Conron" w:date="2026-03-06T12:56:00Z" w:initials="KC">
    <w:p w14:paraId="5564C8C4" w14:textId="77777777" w:rsidR="00384B22" w:rsidRDefault="00384B22" w:rsidP="00384B22">
      <w:pPr>
        <w:pStyle w:val="CommentText"/>
      </w:pPr>
      <w:r>
        <w:rPr>
          <w:rStyle w:val="CommentReference"/>
        </w:rPr>
        <w:annotationRef/>
      </w:r>
      <w:r>
        <w:t>Most of the report focuses on gender identity.  Would make sense to focus exclusively on gender identity?</w:t>
      </w:r>
    </w:p>
    <w:p w14:paraId="1676F14E" w14:textId="77777777" w:rsidR="00384B22" w:rsidRDefault="00384B22" w:rsidP="00384B22">
      <w:pPr>
        <w:pStyle w:val="CommentText"/>
      </w:pPr>
    </w:p>
    <w:p w14:paraId="251A0A54" w14:textId="77777777" w:rsidR="00384B22" w:rsidRDefault="00384B22" w:rsidP="00384B22">
      <w:pPr>
        <w:pStyle w:val="CommentText"/>
      </w:pPr>
      <w:r>
        <w:t>Or, since most gender minority youth are also sexual minorities, look at the data differently? (break the cis boys and cis girls groups out into LGB+ and nonLGB+ groups and leave the trans/gender diverse identity groups as is)</w:t>
      </w:r>
    </w:p>
  </w:comment>
  <w:comment w:id="1" w:author="Alexandria M Hurtt" w:date="2026-03-12T10:29:00Z" w:initials="AMH">
    <w:p w14:paraId="2336FD54" w14:textId="77777777" w:rsidR="005D2EC2" w:rsidRDefault="005D2EC2" w:rsidP="005D2EC2">
      <w:r>
        <w:rPr>
          <w:rStyle w:val="CommentReference"/>
        </w:rPr>
        <w:annotationRef/>
      </w:r>
      <w:r>
        <w:rPr>
          <w:sz w:val="20"/>
          <w:szCs w:val="20"/>
        </w:rPr>
        <w:t>Thank you so much for this suggestion, but we would also like to highlight our results related to SO in this initial report</w:t>
      </w:r>
    </w:p>
  </w:comment>
  <w:comment w:id="5" w:author="Kerith Conron" w:date="2026-03-06T08:01:00Z" w:initials="KC">
    <w:p w14:paraId="65D4A352" w14:textId="77777777" w:rsidR="002155FA" w:rsidRDefault="002155FA" w:rsidP="002155FA">
      <w:pPr>
        <w:pStyle w:val="CommentText"/>
      </w:pPr>
      <w:r>
        <w:rPr>
          <w:rStyle w:val="CommentReference"/>
        </w:rPr>
        <w:annotationRef/>
      </w:r>
      <w:r>
        <w:t>Of experience?</w:t>
      </w:r>
    </w:p>
  </w:comment>
  <w:comment w:id="6" w:author="Kerith Conron" w:date="2026-03-06T11:58:00Z" w:initials="KC">
    <w:p w14:paraId="4E7D6F07" w14:textId="77777777" w:rsidR="00633B98" w:rsidRDefault="001D7C72" w:rsidP="00633B98">
      <w:pPr>
        <w:pStyle w:val="CommentText"/>
      </w:pPr>
      <w:r>
        <w:rPr>
          <w:rStyle w:val="CommentReference"/>
        </w:rPr>
        <w:annotationRef/>
      </w:r>
      <w:r w:rsidR="00633B98">
        <w:t xml:space="preserve">This finding has been documented elsewhere, including California Healthy Kids Survey (see dashboard) and YRBS (see CDC MMWRs by Johns, M. et al). </w:t>
      </w:r>
    </w:p>
    <w:p w14:paraId="3D194EAA" w14:textId="77777777" w:rsidR="00633B98" w:rsidRDefault="00633B98" w:rsidP="00633B98">
      <w:pPr>
        <w:pStyle w:val="CommentText"/>
      </w:pPr>
    </w:p>
    <w:p w14:paraId="0EEB918C" w14:textId="77777777" w:rsidR="00633B98" w:rsidRDefault="00633B98" w:rsidP="00633B98">
      <w:pPr>
        <w:pStyle w:val="CommentText"/>
      </w:pPr>
      <w:r>
        <w:t xml:space="preserve">So, what’s most valuable from this survey is info about specific academic aspirations and interests and, college concerns. </w:t>
      </w:r>
    </w:p>
    <w:p w14:paraId="7E3B6DC4" w14:textId="77777777" w:rsidR="00633B98" w:rsidRDefault="00633B98" w:rsidP="00633B98">
      <w:pPr>
        <w:pStyle w:val="CommentText"/>
      </w:pPr>
    </w:p>
    <w:p w14:paraId="48EEE41A" w14:textId="77777777" w:rsidR="00633B98" w:rsidRDefault="00633B98" w:rsidP="00633B98">
      <w:pPr>
        <w:pStyle w:val="CommentText"/>
      </w:pPr>
      <w:r>
        <w:t>You’ve identified really cool info about fields of interest that could/should be used to educate Deans and Department Chairs about outreach to trans/gender diverse students and shared with large employers (especially those who have DEI positions and interest in creating pipelines to their workplace).</w:t>
      </w:r>
    </w:p>
    <w:p w14:paraId="0FB18281" w14:textId="77777777" w:rsidR="00633B98" w:rsidRDefault="00633B98" w:rsidP="00633B98">
      <w:pPr>
        <w:pStyle w:val="CommentText"/>
      </w:pPr>
    </w:p>
    <w:p w14:paraId="27E8462A" w14:textId="77777777" w:rsidR="00633B98" w:rsidRDefault="00633B98" w:rsidP="00633B98">
      <w:pPr>
        <w:pStyle w:val="CommentText"/>
      </w:pPr>
      <w:r>
        <w:t xml:space="preserve">Another plus of your study is your ability to empirically investigate associations between high school experiences (general and bullying) and specific higher ed goals and college concerns among college-bound students (folks who made it this far). </w:t>
      </w:r>
    </w:p>
    <w:p w14:paraId="14D86EAF" w14:textId="77777777" w:rsidR="00633B98" w:rsidRDefault="00633B98" w:rsidP="00633B98">
      <w:pPr>
        <w:pStyle w:val="CommentText"/>
      </w:pPr>
    </w:p>
    <w:p w14:paraId="750BA802" w14:textId="77777777" w:rsidR="00633B98" w:rsidRDefault="00633B98" w:rsidP="00633B98">
      <w:pPr>
        <w:pStyle w:val="CommentText"/>
      </w:pPr>
      <w:r>
        <w:t>Is there a reason why bullying wasn’t included in the PCA with other high school experiences? It seems an important omission.</w:t>
      </w:r>
    </w:p>
  </w:comment>
  <w:comment w:id="7" w:author="Kerith Conron" w:date="2026-03-06T13:23:00Z" w:initials="KC">
    <w:p w14:paraId="4B383FE3" w14:textId="77777777" w:rsidR="00590810" w:rsidRDefault="00A15A40" w:rsidP="00590810">
      <w:pPr>
        <w:pStyle w:val="CommentText"/>
      </w:pPr>
      <w:r>
        <w:rPr>
          <w:rStyle w:val="CommentReference"/>
        </w:rPr>
        <w:annotationRef/>
      </w:r>
      <w:r w:rsidR="00590810">
        <w:t>It seems like the study aims to examine associations between gender identity and specific academic aspirations (2 year, four year, lifetime) and college concerns among college-bound 12th graders.</w:t>
      </w:r>
    </w:p>
    <w:p w14:paraId="47F7C068" w14:textId="77777777" w:rsidR="00590810" w:rsidRDefault="00590810" w:rsidP="00590810">
      <w:pPr>
        <w:pStyle w:val="CommentText"/>
      </w:pPr>
    </w:p>
    <w:p w14:paraId="069D2090" w14:textId="77777777" w:rsidR="00590810" w:rsidRDefault="00590810" w:rsidP="00590810">
      <w:pPr>
        <w:pStyle w:val="CommentText"/>
      </w:pPr>
      <w:r>
        <w:t xml:space="preserve">Secondarily, it seems like the study is trying to evaluate whether any differences in academic aspirations across GI are at least partially attributable to differences in in high school experiences </w:t>
      </w:r>
      <w:r>
        <w:rPr>
          <w:i/>
          <w:iCs/>
        </w:rPr>
        <w:t xml:space="preserve">and bullying </w:t>
      </w:r>
      <w:r>
        <w:t xml:space="preserve">(among college-bound 12th graders). </w:t>
      </w:r>
    </w:p>
    <w:p w14:paraId="54F6F26D" w14:textId="77777777" w:rsidR="00590810" w:rsidRDefault="00590810" w:rsidP="00590810">
      <w:pPr>
        <w:pStyle w:val="CommentText"/>
      </w:pPr>
    </w:p>
    <w:p w14:paraId="251E9EA3" w14:textId="77777777" w:rsidR="00590810" w:rsidRDefault="00590810" w:rsidP="00590810">
      <w:pPr>
        <w:pStyle w:val="CommentText"/>
      </w:pPr>
      <w:r>
        <w:t>It would be helpful to include specific research questions or hypotheses and a conceptual diagram.</w:t>
      </w:r>
    </w:p>
  </w:comment>
  <w:comment w:id="8" w:author="Alexandria M Hurtt" w:date="2026-03-12T10:35:00Z" w:initials="AMH">
    <w:p w14:paraId="21543448" w14:textId="77777777" w:rsidR="005D2EC2" w:rsidRDefault="005D2EC2" w:rsidP="005D2EC2">
      <w:r>
        <w:rPr>
          <w:rStyle w:val="CommentReference"/>
        </w:rPr>
        <w:annotationRef/>
      </w:r>
      <w:r>
        <w:rPr>
          <w:sz w:val="20"/>
          <w:szCs w:val="20"/>
        </w:rPr>
        <w:t xml:space="preserve">Thank you for your suggestions - we include specific research questions to further clarify but do not include a conceptual diagram at this time </w:t>
      </w:r>
    </w:p>
  </w:comment>
  <w:comment w:id="3" w:author="Kerith Conron" w:date="2026-03-06T08:15:00Z" w:initials="KC">
    <w:p w14:paraId="0974BF3C" w14:textId="77777777" w:rsidR="00CB5315" w:rsidRDefault="003C4DCF" w:rsidP="00CB5315">
      <w:pPr>
        <w:pStyle w:val="CommentText"/>
      </w:pPr>
      <w:r>
        <w:rPr>
          <w:rStyle w:val="CommentReference"/>
        </w:rPr>
        <w:annotationRef/>
      </w:r>
      <w:r w:rsidR="00CB5315">
        <w:t xml:space="preserve">The order in which findings are presented in the abstract is sensible (chronological). It would be helpful to present findings in the results section in the same order. </w:t>
      </w:r>
    </w:p>
  </w:comment>
  <w:comment w:id="4" w:author="Alexandria M Hurtt" w:date="2026-03-12T10:36:00Z" w:initials="AMH">
    <w:p w14:paraId="50ADC764" w14:textId="77777777" w:rsidR="005D2EC2" w:rsidRDefault="005D2EC2" w:rsidP="005D2EC2">
      <w:r>
        <w:rPr>
          <w:rStyle w:val="CommentReference"/>
        </w:rPr>
        <w:annotationRef/>
      </w:r>
      <w:r>
        <w:rPr>
          <w:sz w:val="20"/>
          <w:szCs w:val="20"/>
        </w:rPr>
        <w:t>This is a great suggestion and we have reordered our findings to mirror the abstract</w:t>
      </w:r>
    </w:p>
  </w:comment>
  <w:comment w:id="9" w:author="Kerith Conron" w:date="2026-03-06T13:13:00Z" w:initials="KC">
    <w:p w14:paraId="216CA229" w14:textId="77777777" w:rsidR="00A15A40" w:rsidRDefault="0072235C" w:rsidP="00A15A40">
      <w:pPr>
        <w:pStyle w:val="CommentText"/>
      </w:pPr>
      <w:r>
        <w:rPr>
          <w:rStyle w:val="CommentReference"/>
        </w:rPr>
        <w:annotationRef/>
      </w:r>
      <w:r w:rsidR="00A15A40">
        <w:t>I have a lot of feedback about methods embedded in comments throughout.</w:t>
      </w:r>
    </w:p>
    <w:p w14:paraId="5F95C241" w14:textId="77777777" w:rsidR="00A15A40" w:rsidRDefault="00A15A40" w:rsidP="00A15A40">
      <w:pPr>
        <w:pStyle w:val="CommentText"/>
      </w:pPr>
    </w:p>
    <w:p w14:paraId="0F4A1CC5" w14:textId="77777777" w:rsidR="00A15A40" w:rsidRDefault="00A15A40" w:rsidP="00A15A40">
      <w:pPr>
        <w:pStyle w:val="CommentText"/>
      </w:pPr>
      <w:r>
        <w:t>Some general feedback:</w:t>
      </w:r>
    </w:p>
    <w:p w14:paraId="293E6D49" w14:textId="77777777" w:rsidR="00A15A40" w:rsidRDefault="00A15A40" w:rsidP="00A15A40">
      <w:pPr>
        <w:pStyle w:val="CommentText"/>
      </w:pPr>
    </w:p>
    <w:p w14:paraId="5AF35A71" w14:textId="77777777" w:rsidR="00A15A40" w:rsidRDefault="00A15A40" w:rsidP="00A15A40">
      <w:pPr>
        <w:pStyle w:val="CommentText"/>
        <w:numPr>
          <w:ilvl w:val="0"/>
          <w:numId w:val="3"/>
        </w:numPr>
      </w:pPr>
      <w:r>
        <w:t>Describe all measures in methods</w:t>
      </w:r>
    </w:p>
    <w:p w14:paraId="44E1817C" w14:textId="77777777" w:rsidR="00A15A40" w:rsidRDefault="00A15A40" w:rsidP="00A15A40">
      <w:pPr>
        <w:pStyle w:val="CommentText"/>
        <w:numPr>
          <w:ilvl w:val="0"/>
          <w:numId w:val="3"/>
        </w:numPr>
      </w:pPr>
      <w:r>
        <w:t xml:space="preserve">Be sure that table and figure titles are as informative as possible. </w:t>
      </w:r>
    </w:p>
    <w:p w14:paraId="1A31431F" w14:textId="77777777" w:rsidR="00A15A40" w:rsidRDefault="00A15A40" w:rsidP="00A15A40">
      <w:pPr>
        <w:pStyle w:val="CommentText"/>
        <w:numPr>
          <w:ilvl w:val="0"/>
          <w:numId w:val="3"/>
        </w:numPr>
      </w:pPr>
      <w:r>
        <w:t xml:space="preserve">Present means and 95% confidence intervals for all variables. </w:t>
      </w:r>
    </w:p>
    <w:p w14:paraId="6EE8C444" w14:textId="77777777" w:rsidR="00A15A40" w:rsidRDefault="00A15A40" w:rsidP="00A15A40">
      <w:pPr>
        <w:pStyle w:val="CommentText"/>
        <w:numPr>
          <w:ilvl w:val="0"/>
          <w:numId w:val="3"/>
        </w:numPr>
      </w:pPr>
      <w:r>
        <w:t>Exponentiate logits and present odds ratios and 95 CI</w:t>
      </w:r>
    </w:p>
    <w:p w14:paraId="07C99A22" w14:textId="77777777" w:rsidR="00A15A40" w:rsidRDefault="00A15A40" w:rsidP="00A15A40">
      <w:pPr>
        <w:pStyle w:val="CommentText"/>
        <w:numPr>
          <w:ilvl w:val="0"/>
          <w:numId w:val="3"/>
        </w:numPr>
      </w:pPr>
      <w:r>
        <w:t>Report all numbers to the same decimal place</w:t>
      </w:r>
    </w:p>
  </w:comment>
  <w:comment w:id="10" w:author="Alexandria M Hurtt" w:date="2026-03-12T10:40:00Z" w:initials="AMH">
    <w:p w14:paraId="108727BC" w14:textId="77777777" w:rsidR="00255044" w:rsidRDefault="00255044" w:rsidP="00255044">
      <w:r>
        <w:rPr>
          <w:rStyle w:val="CommentReference"/>
        </w:rPr>
        <w:annotationRef/>
      </w:r>
      <w:r>
        <w:rPr>
          <w:sz w:val="20"/>
          <w:szCs w:val="20"/>
        </w:rPr>
        <w:t>Thank you, we adopt several of these suggestions in our revision (same decimal place, additional testing discussed in a footnote, description of measures)</w:t>
      </w:r>
    </w:p>
  </w:comment>
  <w:comment w:id="12" w:author="Kerith Conron" w:date="2026-03-06T09:29:00Z" w:initials="KC">
    <w:p w14:paraId="3DD6543B" w14:textId="77777777" w:rsidR="001A7CAC" w:rsidRDefault="001A7CAC" w:rsidP="001A7CAC">
      <w:pPr>
        <w:pStyle w:val="CommentText"/>
      </w:pPr>
      <w:r>
        <w:rPr>
          <w:rStyle w:val="CommentReference"/>
        </w:rPr>
        <w:annotationRef/>
      </w:r>
      <w:r>
        <w:t xml:space="preserve">I would love to see more clear statements in the intro about why this study matters – with higher ed leaders and policy makers in mind as readers. </w:t>
      </w:r>
    </w:p>
    <w:p w14:paraId="626A2FCD" w14:textId="77777777" w:rsidR="001A7CAC" w:rsidRDefault="001A7CAC" w:rsidP="001A7CAC">
      <w:pPr>
        <w:pStyle w:val="CommentText"/>
      </w:pPr>
    </w:p>
    <w:p w14:paraId="1B2D2D6E" w14:textId="77777777" w:rsidR="001A7CAC" w:rsidRDefault="001A7CAC" w:rsidP="001A7CAC">
      <w:pPr>
        <w:pStyle w:val="CommentText"/>
      </w:pPr>
      <w:r>
        <w:t xml:space="preserve">Helping students navigate their “situated contexts” is not actionable </w:t>
      </w:r>
    </w:p>
  </w:comment>
  <w:comment w:id="13" w:author="Alexandria M Hurtt" w:date="2026-03-14T22:35:00Z" w:initials="AMH">
    <w:p w14:paraId="0A46B2AB" w14:textId="77777777" w:rsidR="00482F21" w:rsidRDefault="00482F21" w:rsidP="00482F21">
      <w:r>
        <w:rPr>
          <w:rStyle w:val="CommentReference"/>
        </w:rPr>
        <w:annotationRef/>
      </w:r>
      <w:r>
        <w:rPr>
          <w:sz w:val="20"/>
          <w:szCs w:val="20"/>
        </w:rPr>
        <w:t>Revised the bulk of the introduction to more clarify our study aims and purpose</w:t>
      </w:r>
    </w:p>
  </w:comment>
  <w:comment w:id="14" w:author="Kerith Conron" w:date="2026-03-06T09:13:00Z" w:initials="KC">
    <w:p w14:paraId="64004783" w14:textId="722E8D30" w:rsidR="00706FFC" w:rsidRDefault="00706FFC" w:rsidP="00706FFC">
      <w:pPr>
        <w:pStyle w:val="CommentText"/>
      </w:pPr>
      <w:r>
        <w:rPr>
          <w:rStyle w:val="CommentReference"/>
        </w:rPr>
        <w:annotationRef/>
      </w:r>
      <w:r>
        <w:t>Save for discussion section.</w:t>
      </w:r>
    </w:p>
  </w:comment>
  <w:comment w:id="15" w:author="Kerith Conron" w:date="2026-03-06T09:18:00Z" w:initials="KC">
    <w:p w14:paraId="31C24FCE" w14:textId="77777777" w:rsidR="00662874" w:rsidRDefault="00662874" w:rsidP="00331823">
      <w:pPr>
        <w:pStyle w:val="CommentText"/>
      </w:pPr>
      <w:r>
        <w:rPr>
          <w:rStyle w:val="CommentReference"/>
        </w:rPr>
        <w:annotationRef/>
      </w:r>
      <w:r>
        <w:t xml:space="preserve">It would be helpful to list a few findings and recs specific to each gender identity group (or (at least the trans/gender diverse groups) in findings, the discussion, and in an executive summary. </w:t>
      </w:r>
    </w:p>
  </w:comment>
  <w:comment w:id="16" w:author="Alexandria M Hurtt" w:date="2026-03-12T10:58:00Z" w:initials="AMH">
    <w:p w14:paraId="067C6F33" w14:textId="77777777" w:rsidR="00662874" w:rsidRDefault="00662874" w:rsidP="00C9417F">
      <w:r>
        <w:rPr>
          <w:rStyle w:val="CommentReference"/>
        </w:rPr>
        <w:annotationRef/>
      </w:r>
      <w:r>
        <w:rPr>
          <w:sz w:val="20"/>
          <w:szCs w:val="20"/>
        </w:rPr>
        <w:t>We appreciate this suggestion and have highlighted a couple recommendations related to TGD students in our discussion</w:t>
      </w:r>
    </w:p>
  </w:comment>
  <w:comment w:id="18" w:author="Kerith Conron" w:date="2026-03-06T09:19:00Z" w:initials="KC">
    <w:p w14:paraId="0FF2D159" w14:textId="78897E5F" w:rsidR="004C6033" w:rsidRDefault="004C6033" w:rsidP="004C6033">
      <w:pPr>
        <w:pStyle w:val="CommentText"/>
      </w:pPr>
      <w:r>
        <w:rPr>
          <w:rStyle w:val="CommentReference"/>
        </w:rPr>
        <w:annotationRef/>
      </w:r>
      <w:r>
        <w:t>Citation needed</w:t>
      </w:r>
    </w:p>
  </w:comment>
  <w:comment w:id="17" w:author="Alexandria M Hurtt" w:date="2026-03-14T23:17:00Z" w:initials="AMH">
    <w:p w14:paraId="3E0DE042" w14:textId="77777777" w:rsidR="00C25A1D" w:rsidRDefault="00C25A1D" w:rsidP="00C25A1D">
      <w:r>
        <w:rPr>
          <w:rStyle w:val="CommentReference"/>
        </w:rPr>
        <w:annotationRef/>
      </w:r>
      <w:r>
        <w:rPr>
          <w:sz w:val="20"/>
          <w:szCs w:val="20"/>
        </w:rPr>
        <w:t>I will add this in later</w:t>
      </w:r>
    </w:p>
  </w:comment>
  <w:comment w:id="19" w:author="Kerith Conron" w:date="2026-03-06T09:24:00Z" w:initials="KC">
    <w:p w14:paraId="186F418E" w14:textId="77777777" w:rsidR="00590810" w:rsidRDefault="004904B4" w:rsidP="00590810">
      <w:pPr>
        <w:pStyle w:val="CommentText"/>
      </w:pPr>
      <w:r>
        <w:rPr>
          <w:rStyle w:val="CommentReference"/>
        </w:rPr>
        <w:annotationRef/>
      </w:r>
      <w:r w:rsidR="00590810">
        <w:t>harassment and social exclusion?</w:t>
      </w:r>
    </w:p>
  </w:comment>
  <w:comment w:id="20" w:author="Kerith Conron" w:date="2026-03-06T09:27:00Z" w:initials="KC">
    <w:p w14:paraId="7C220CA8" w14:textId="5D54643F" w:rsidR="00310E5F" w:rsidRDefault="00310E5F" w:rsidP="00310E5F">
      <w:pPr>
        <w:pStyle w:val="CommentText"/>
      </w:pPr>
      <w:r>
        <w:rPr>
          <w:rStyle w:val="CommentReference"/>
        </w:rPr>
        <w:annotationRef/>
      </w:r>
      <w:r>
        <w:t>This was a finding from the</w:t>
      </w:r>
      <w:hyperlink r:id="rId1" w:history="1">
        <w:r w:rsidRPr="00707C33">
          <w:rPr>
            <w:rStyle w:val="Hyperlink"/>
          </w:rPr>
          <w:t xml:space="preserve"> Access to Higher Education </w:t>
        </w:r>
      </w:hyperlink>
      <w:r>
        <w:t xml:space="preserve">study. </w:t>
      </w:r>
    </w:p>
  </w:comment>
  <w:comment w:id="22" w:author="Alexandria M Hurtt" w:date="2026-03-13T11:47:00Z" w:initials="AMH">
    <w:p w14:paraId="6AC62582" w14:textId="77777777" w:rsidR="005649F0" w:rsidRDefault="005649F0" w:rsidP="005649F0">
      <w:r>
        <w:rPr>
          <w:rStyle w:val="CommentReference"/>
        </w:rPr>
        <w:annotationRef/>
      </w:r>
      <w:r>
        <w:rPr>
          <w:sz w:val="20"/>
          <w:szCs w:val="20"/>
        </w:rPr>
        <w:t>Add source for bullying questions (CHKS)</w:t>
      </w:r>
    </w:p>
  </w:comment>
  <w:comment w:id="23" w:author="Christina Sun" w:date="2026-03-16T13:01:00Z" w:initials="CS">
    <w:p w14:paraId="7F6D0CD4" w14:textId="77777777" w:rsidR="008B078D" w:rsidRDefault="008B078D" w:rsidP="008B078D">
      <w:r>
        <w:rPr>
          <w:rStyle w:val="CommentReference"/>
        </w:rPr>
        <w:annotationRef/>
      </w:r>
      <w:r>
        <w:rPr>
          <w:sz w:val="20"/>
          <w:szCs w:val="20"/>
        </w:rPr>
        <w:t>Done</w:t>
      </w:r>
    </w:p>
    <w:p w14:paraId="11E0FEF8" w14:textId="77777777" w:rsidR="008B078D" w:rsidRDefault="008B078D" w:rsidP="008B078D"/>
  </w:comment>
  <w:comment w:id="25" w:author="Kerith Conron" w:date="2026-03-03T16:20:00Z" w:initials="KC">
    <w:p w14:paraId="31AF9DA7" w14:textId="77777777" w:rsidR="00601833" w:rsidRDefault="005B675C" w:rsidP="00601833">
      <w:pPr>
        <w:pStyle w:val="CommentText"/>
      </w:pPr>
      <w:r>
        <w:rPr>
          <w:rStyle w:val="CommentReference"/>
        </w:rPr>
        <w:annotationRef/>
      </w:r>
      <w:r w:rsidR="00601833">
        <w:t xml:space="preserve">Lots of useful info provided about SOGI measurement and coding; however, where is the info about the source and psychometrics for the other variables  included in analyses? </w:t>
      </w:r>
    </w:p>
  </w:comment>
  <w:comment w:id="26" w:author="Kerith Conron" w:date="2026-03-03T17:36:00Z" w:initials="KC">
    <w:p w14:paraId="7EF1AE4C" w14:textId="2673971D" w:rsidR="009B0E72" w:rsidRDefault="009B0E72" w:rsidP="009B0E72">
      <w:pPr>
        <w:pStyle w:val="CommentText"/>
      </w:pPr>
      <w:r>
        <w:rPr>
          <w:rStyle w:val="CommentReference"/>
        </w:rPr>
        <w:annotationRef/>
      </w:r>
      <w:r>
        <w:t xml:space="preserve">Any incentive or thank-you provided? </w:t>
      </w:r>
    </w:p>
    <w:p w14:paraId="18B891DF" w14:textId="77777777" w:rsidR="009B0E72" w:rsidRDefault="009B0E72" w:rsidP="009B0E72">
      <w:pPr>
        <w:pStyle w:val="CommentText"/>
      </w:pPr>
    </w:p>
    <w:p w14:paraId="6FC206C8" w14:textId="77777777" w:rsidR="009B0E72" w:rsidRDefault="009B0E72" w:rsidP="009B0E72">
      <w:pPr>
        <w:pStyle w:val="CommentText"/>
      </w:pPr>
      <w:r>
        <w:t>If so, please describe. And, if an incentive was provided, please describe the data cleaning process.</w:t>
      </w:r>
    </w:p>
  </w:comment>
  <w:comment w:id="27" w:author="Alexandria M Hurtt" w:date="2026-03-12T11:14:00Z" w:initials="AMH">
    <w:p w14:paraId="328B05C3" w14:textId="77777777" w:rsidR="00B91C80" w:rsidRDefault="00B91C80" w:rsidP="00B91C80">
      <w:r>
        <w:rPr>
          <w:rStyle w:val="CommentReference"/>
        </w:rPr>
        <w:annotationRef/>
      </w:r>
      <w:r>
        <w:rPr>
          <w:sz w:val="20"/>
          <w:szCs w:val="20"/>
        </w:rPr>
        <w:t>No incentive or thank you provided; this was done in partnership with CSAC and was voluntary for all participants</w:t>
      </w:r>
    </w:p>
  </w:comment>
  <w:comment w:id="28" w:author="Kerith Conron" w:date="2026-03-03T17:32:00Z" w:initials="KC">
    <w:p w14:paraId="27202541" w14:textId="77777777" w:rsidR="00C60F71" w:rsidRDefault="00C60F71" w:rsidP="00C60F71">
      <w:pPr>
        <w:pStyle w:val="CommentText"/>
      </w:pPr>
      <w:r>
        <w:rPr>
          <w:rStyle w:val="CommentReference"/>
        </w:rPr>
        <w:annotationRef/>
      </w:r>
      <w:r>
        <w:t>To the survey invite or screening questions about college enrollment plans?</w:t>
      </w:r>
    </w:p>
  </w:comment>
  <w:comment w:id="29" w:author="Kerith Conron" w:date="2026-03-02T16:47:00Z" w:initials="KC">
    <w:p w14:paraId="1DBDE58C" w14:textId="77777777" w:rsidR="002C4513" w:rsidRDefault="002C4513" w:rsidP="002C4513">
      <w:pPr>
        <w:pStyle w:val="CommentText"/>
      </w:pPr>
      <w:r>
        <w:rPr>
          <w:rStyle w:val="CommentReference"/>
        </w:rPr>
        <w:annotationRef/>
      </w:r>
      <w:r>
        <w:t>Be sure to note which AAPOR response rate you use.</w:t>
      </w:r>
    </w:p>
  </w:comment>
  <w:comment w:id="30" w:author="Kerith Conron" w:date="2026-03-03T15:40:00Z" w:initials="KC">
    <w:p w14:paraId="29E41C03" w14:textId="77777777" w:rsidR="0072235C" w:rsidRDefault="00875048" w:rsidP="0072235C">
      <w:pPr>
        <w:pStyle w:val="CommentText"/>
      </w:pPr>
      <w:r>
        <w:rPr>
          <w:rStyle w:val="CommentReference"/>
        </w:rPr>
        <w:annotationRef/>
      </w:r>
      <w:r w:rsidR="0072235C">
        <w:t xml:space="preserve">This is 81.5% of the original sample (unweighted). What do you know about the folks who were excluded? If missingness is not completely at random, then bias is a possibility. </w:t>
      </w:r>
    </w:p>
  </w:comment>
  <w:comment w:id="31" w:author="Kerith Conron" w:date="2026-03-03T15:42:00Z" w:initials="KC">
    <w:p w14:paraId="40AE5E66" w14:textId="7485646F" w:rsidR="00C27BCA" w:rsidRDefault="00C27BCA" w:rsidP="00C27BCA">
      <w:pPr>
        <w:pStyle w:val="CommentText"/>
      </w:pPr>
      <w:r>
        <w:rPr>
          <w:rStyle w:val="CommentReference"/>
        </w:rPr>
        <w:annotationRef/>
      </w:r>
      <w:r>
        <w:t xml:space="preserve">Please see my comment on Appendix Table A2. </w:t>
      </w:r>
    </w:p>
  </w:comment>
  <w:comment w:id="32" w:author="Kerith Conron" w:date="2026-03-06T12:06:00Z" w:initials="KC">
    <w:p w14:paraId="0EBCD8AF" w14:textId="7B7379A3" w:rsidR="00601833" w:rsidRDefault="00601833"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 w:id="33" w:author="Kerith Conron" w:date="2026-03-04T16:46:00Z" w:initials="KC">
    <w:p w14:paraId="10008767" w14:textId="77777777" w:rsidR="00E0737D" w:rsidRDefault="00E0737D" w:rsidP="00E0737D">
      <w:pPr>
        <w:pStyle w:val="CommentText"/>
      </w:pPr>
      <w:r>
        <w:rPr>
          <w:rStyle w:val="CommentReference"/>
        </w:rPr>
        <w:annotationRef/>
      </w:r>
      <w:r>
        <w:t xml:space="preserve">It would be helpful to include info about % female sex assigned at birth for these gender identity categories. In most datasets, FSAB folks are overrepresented among nonbinary and gender expansive folks. For me, this is salient, in terms of gendered expectations re education and career. </w:t>
      </w:r>
    </w:p>
  </w:comment>
  <w:comment w:id="34" w:author="Christina Sun" w:date="2026-03-16T13:08:00Z" w:initials="CS">
    <w:p w14:paraId="5CF7DC59" w14:textId="77777777" w:rsidR="000E6523" w:rsidRDefault="000E6523" w:rsidP="000E6523">
      <w:r>
        <w:rPr>
          <w:rStyle w:val="CommentReference"/>
        </w:rPr>
        <w:annotationRef/>
      </w:r>
      <w:r>
        <w:rPr>
          <w:sz w:val="20"/>
          <w:szCs w:val="20"/>
        </w:rPr>
        <w:t>done</w:t>
      </w:r>
    </w:p>
  </w:comment>
  <w:comment w:id="35" w:author="Kerith Conron" w:date="2026-03-03T16:03:00Z" w:initials="KC">
    <w:p w14:paraId="1DDB20DA" w14:textId="77777777" w:rsidR="004D5CCC" w:rsidRDefault="004D5CCC" w:rsidP="006C7BD3">
      <w:pPr>
        <w:pStyle w:val="CommentText"/>
      </w:pPr>
      <w:r>
        <w:rPr>
          <w:rStyle w:val="CommentReference"/>
        </w:rPr>
        <w:annotationRef/>
      </w:r>
      <w:r>
        <w:t>This citation should be listed by the name of the report editor, Herman, J (2014).</w:t>
      </w:r>
    </w:p>
  </w:comment>
  <w:comment w:id="36" w:author="Kerith Conron" w:date="2026-03-03T16:10:00Z" w:initials="KC">
    <w:p w14:paraId="079481B3" w14:textId="77777777" w:rsidR="00374686" w:rsidRDefault="008D6E11" w:rsidP="00374686">
      <w:pPr>
        <w:pStyle w:val="CommentText"/>
      </w:pPr>
      <w:r>
        <w:rPr>
          <w:rStyle w:val="CommentReference"/>
        </w:rPr>
        <w:annotationRef/>
      </w:r>
      <w:r w:rsidR="00374686">
        <w:t xml:space="preserve">Did you code all write-ins? </w:t>
      </w:r>
    </w:p>
    <w:p w14:paraId="6740617A" w14:textId="77777777" w:rsidR="00374686" w:rsidRDefault="00374686" w:rsidP="00374686">
      <w:pPr>
        <w:pStyle w:val="CommentText"/>
      </w:pPr>
      <w:r>
        <w:t>“other” should not be considered gender expansive without coding write-ins.</w:t>
      </w:r>
    </w:p>
    <w:p w14:paraId="2BE88107" w14:textId="77777777" w:rsidR="00374686" w:rsidRDefault="00374686" w:rsidP="00374686">
      <w:pPr>
        <w:pStyle w:val="CommentText"/>
      </w:pPr>
    </w:p>
    <w:p w14:paraId="6DFFEC8C" w14:textId="77777777" w:rsidR="00374686" w:rsidRDefault="00374686" w:rsidP="00374686">
      <w:pPr>
        <w:pStyle w:val="CommentText"/>
      </w:pPr>
      <w:r>
        <w:t xml:space="preserve">There are typically three groups among write-ins -- majority group members, minority group members, and folks who cannot be reclassified (i.e., folks who use sexuality terms as their write-in on gender or provide write-ins like human, alien) </w:t>
      </w:r>
    </w:p>
  </w:comment>
  <w:comment w:id="37" w:author="Kerith Conron" w:date="2026-03-03T16:12:00Z" w:initials="KC">
    <w:p w14:paraId="01C7154D" w14:textId="77777777" w:rsidR="00F16ACD" w:rsidRDefault="00D63F44" w:rsidP="00F16ACD">
      <w:pPr>
        <w:pStyle w:val="CommentText"/>
      </w:pPr>
      <w:r>
        <w:rPr>
          <w:rStyle w:val="CommentReference"/>
        </w:rPr>
        <w:annotationRef/>
      </w:r>
      <w:r w:rsidR="00F16ACD">
        <w:t>Mischievous? If truly malicious, then include a couple of examples</w:t>
      </w:r>
    </w:p>
  </w:comment>
  <w:comment w:id="38" w:author="Kerith Conron" w:date="2026-03-03T16:14:00Z" w:initials="KC">
    <w:p w14:paraId="7EF5A3A1" w14:textId="2BF54EF2" w:rsidR="00440F3B" w:rsidRDefault="00440F3B" w:rsidP="00440F3B">
      <w:pPr>
        <w:pStyle w:val="CommentText"/>
      </w:pPr>
      <w:r>
        <w:rPr>
          <w:rStyle w:val="CommentReference"/>
        </w:rPr>
        <w:annotationRef/>
      </w:r>
      <w:r>
        <w:t xml:space="preserve">Here, I would expect the total </w:t>
      </w:r>
      <w:r>
        <w:rPr>
          <w:i/>
          <w:iCs/>
        </w:rPr>
        <w:t>among</w:t>
      </w:r>
      <w:r>
        <w:t xml:space="preserve"> trans/gender expansive respondents to be 100%. </w:t>
      </w:r>
      <w:r>
        <w:br/>
      </w:r>
      <w:r>
        <w:br/>
        <w:t xml:space="preserve">It appears that you are reporting sample percentages. </w:t>
      </w:r>
    </w:p>
  </w:comment>
  <w:comment w:id="39" w:author="Kerith Conron" w:date="2026-03-03T16:15:00Z" w:initials="KC">
    <w:p w14:paraId="231B81FF" w14:textId="77777777" w:rsidR="00440F3B" w:rsidRDefault="00440F3B" w:rsidP="00440F3B">
      <w:pPr>
        <w:pStyle w:val="CommentText"/>
      </w:pPr>
      <w:r>
        <w:rPr>
          <w:rStyle w:val="CommentReference"/>
        </w:rPr>
        <w:annotationRef/>
      </w:r>
      <w:r>
        <w:t xml:space="preserve">SMART was the group that focused on sexual orientation measurement. The report was published in 2009 by the Williams Institute. </w:t>
      </w:r>
    </w:p>
  </w:comment>
  <w:comment w:id="40" w:author="Kerith Conron" w:date="2026-03-03T16:18:00Z" w:initials="KC">
    <w:p w14:paraId="4867D5DE" w14:textId="77777777" w:rsidR="0070708C" w:rsidRDefault="004F7888" w:rsidP="0070708C">
      <w:pPr>
        <w:pStyle w:val="CommentText"/>
      </w:pPr>
      <w:r>
        <w:rPr>
          <w:rStyle w:val="CommentReference"/>
        </w:rPr>
        <w:annotationRef/>
      </w:r>
      <w:r w:rsidR="0070708C">
        <w:t>Queer can be classified as bi+ (alongside pansexual)</w:t>
      </w:r>
    </w:p>
  </w:comment>
  <w:comment w:id="41" w:author="Alexandria M Hurtt" w:date="2026-03-13T12:31:00Z" w:initials="AMH">
    <w:p w14:paraId="3E2F4386" w14:textId="77777777" w:rsidR="00E9640D" w:rsidRDefault="00E9640D" w:rsidP="00E9640D">
      <w:r>
        <w:rPr>
          <w:rStyle w:val="CommentReference"/>
        </w:rPr>
        <w:annotationRef/>
      </w:r>
      <w:r>
        <w:rPr>
          <w:sz w:val="20"/>
          <w:szCs w:val="20"/>
        </w:rPr>
        <w:t>Thank you for your comment, but we are using queer as an umbrella term in this case as there is no universally agreed upon definition and intend to capture the breadth of experience as much as we are able</w:t>
      </w:r>
    </w:p>
  </w:comment>
  <w:comment w:id="42" w:author="Kerith Conron" w:date="2026-03-03T16:17:00Z" w:initials="KC">
    <w:p w14:paraId="68E1DE23" w14:textId="5758D83F" w:rsidR="00B96EA0" w:rsidRDefault="00B96EA0" w:rsidP="00B96EA0">
      <w:pPr>
        <w:pStyle w:val="CommentText"/>
      </w:pPr>
      <w:r>
        <w:rPr>
          <w:rStyle w:val="CommentReference"/>
        </w:rPr>
        <w:annotationRef/>
      </w:r>
      <w:r>
        <w:t>What % of students opted to use other plus a write-in?</w:t>
      </w:r>
    </w:p>
  </w:comment>
  <w:comment w:id="43" w:author="Christina Sun" w:date="2026-03-16T13:34:00Z" w:initials="CS">
    <w:p w14:paraId="6F7D9393" w14:textId="77777777" w:rsidR="0067739F" w:rsidRDefault="0067739F" w:rsidP="0067739F">
      <w:r>
        <w:rPr>
          <w:rStyle w:val="CommentReference"/>
        </w:rPr>
        <w:annotationRef/>
      </w:r>
      <w:r>
        <w:rPr>
          <w:sz w:val="20"/>
          <w:szCs w:val="20"/>
        </w:rPr>
        <w:t>added footnote</w:t>
      </w:r>
    </w:p>
  </w:comment>
  <w:comment w:id="45" w:author="Kerith Conron" w:date="2026-03-03T17:40:00Z" w:initials="KC">
    <w:p w14:paraId="58815A9F" w14:textId="77777777" w:rsidR="00EA2997" w:rsidRDefault="004B2EB4" w:rsidP="00EA2997">
      <w:pPr>
        <w:pStyle w:val="CommentText"/>
      </w:pPr>
      <w:r>
        <w:rPr>
          <w:rStyle w:val="CommentReference"/>
        </w:rPr>
        <w:annotationRef/>
      </w:r>
      <w:r w:rsidR="00EA2997">
        <w:t>It would be great to include a conceptual diagram prior to the data analysis section.</w:t>
      </w:r>
    </w:p>
  </w:comment>
  <w:comment w:id="46" w:author="Alexandria M Hurtt" w:date="2026-03-13T12:31:00Z" w:initials="AMH">
    <w:p w14:paraId="77B18C0E" w14:textId="77777777" w:rsidR="00E9640D" w:rsidRDefault="00E9640D" w:rsidP="00E9640D">
      <w:r>
        <w:rPr>
          <w:rStyle w:val="CommentReference"/>
        </w:rPr>
        <w:annotationRef/>
      </w:r>
      <w:r>
        <w:rPr>
          <w:sz w:val="20"/>
          <w:szCs w:val="20"/>
        </w:rPr>
        <w:t>Thank you for this suggestion, we are not including a conceptual framework at this time but in future iterations may include one</w:t>
      </w:r>
    </w:p>
  </w:comment>
  <w:comment w:id="47" w:author="Kerith Conron" w:date="2026-03-03T17:48:00Z" w:initials="KC">
    <w:p w14:paraId="399762A0" w14:textId="5DB1F94A" w:rsidR="00036510" w:rsidRDefault="0079743E" w:rsidP="00036510">
      <w:pPr>
        <w:pStyle w:val="CommentText"/>
      </w:pPr>
      <w:r>
        <w:rPr>
          <w:rStyle w:val="CommentReference"/>
        </w:rPr>
        <w:annotationRef/>
      </w:r>
      <w:r w:rsidR="00036510">
        <w:t>This section is very difficult to follow because the  dependent variables were not introduced in the prior section. First, describe the dependent variables in measures. Then, layout the analytic approach as starting with bivariate statistics, followed by two sets of PCA to reduce items into meaningful component variables. Report Cronbach’s alpha for all component variable to illustrate how you’ve assessed internal consistency reliability. Next, describe the multivariable regressions. Any info about how you will assess model fit?</w:t>
      </w:r>
    </w:p>
  </w:comment>
  <w:comment w:id="48" w:author="Kerith Conron" w:date="2026-03-06T12:13:00Z" w:initials="KC">
    <w:p w14:paraId="0471C35D" w14:textId="77777777" w:rsidR="00D84443" w:rsidRDefault="00D84443" w:rsidP="00D84443">
      <w:pPr>
        <w:pStyle w:val="CommentText"/>
      </w:pPr>
      <w:r>
        <w:rPr>
          <w:rStyle w:val="CommentReference"/>
        </w:rPr>
        <w:annotationRef/>
      </w:r>
      <w:r>
        <w:t>Be sure to talk about bullying in this section too.</w:t>
      </w:r>
    </w:p>
  </w:comment>
  <w:comment w:id="50" w:author="Kerith Conron" w:date="2026-03-04T15:35:00Z" w:initials="KC">
    <w:p w14:paraId="10523BBA" w14:textId="77777777" w:rsidR="00EF1E41" w:rsidRDefault="00EF1E41" w:rsidP="00EF1E41">
      <w:pPr>
        <w:pStyle w:val="CommentText"/>
      </w:pPr>
      <w:r>
        <w:rPr>
          <w:rStyle w:val="CommentReference"/>
        </w:rPr>
        <w:annotationRef/>
      </w:r>
      <w:r>
        <w:t>You should report Cronbach’s alpha for each component.</w:t>
      </w:r>
    </w:p>
  </w:comment>
  <w:comment w:id="52" w:author="Kerith Conron" w:date="2026-03-06T09:40:00Z" w:initials="KC">
    <w:p w14:paraId="67BAC007" w14:textId="77777777" w:rsidR="00D065EC" w:rsidRDefault="00D065EC" w:rsidP="00D065EC">
      <w:pPr>
        <w:pStyle w:val="CommentText"/>
      </w:pPr>
      <w:r>
        <w:rPr>
          <w:rStyle w:val="CommentReference"/>
        </w:rPr>
        <w:annotationRef/>
      </w:r>
      <w:r>
        <w:t>Highest level of parental ed? Might be helpful to offer a brief explanation for the rationale for including these two covariates as controls.</w:t>
      </w:r>
    </w:p>
  </w:comment>
  <w:comment w:id="51" w:author="Kerith Conron" w:date="2026-03-06T09:41:00Z" w:initials="KC">
    <w:p w14:paraId="58929D82" w14:textId="77777777" w:rsidR="002C5D16" w:rsidRDefault="002C5D16" w:rsidP="002C5D16">
      <w:pPr>
        <w:pStyle w:val="CommentText"/>
      </w:pPr>
      <w:r>
        <w:rPr>
          <w:rStyle w:val="CommentReference"/>
        </w:rPr>
        <w:annotationRef/>
      </w:r>
      <w:r>
        <w:t>Based on this set-up, I expect to see results presented for each model.</w:t>
      </w:r>
    </w:p>
  </w:comment>
  <w:comment w:id="55" w:author="Kerith Conron" w:date="2026-03-06T09:31:00Z" w:initials="KC">
    <w:p w14:paraId="07B41C93" w14:textId="77777777" w:rsidR="00194C5E" w:rsidRDefault="00194C5E" w:rsidP="00194C5E">
      <w:pPr>
        <w:pStyle w:val="CommentText"/>
      </w:pPr>
      <w:r>
        <w:rPr>
          <w:rStyle w:val="CommentReference"/>
        </w:rPr>
        <w:annotationRef/>
      </w:r>
      <w:r>
        <w:t>Reorder this section to align with the order in which findings are presented in the abstract.</w:t>
      </w:r>
    </w:p>
  </w:comment>
  <w:comment w:id="58" w:author="Kerith Conron" w:date="2026-03-04T16:18:00Z" w:initials="KC">
    <w:p w14:paraId="04C17865" w14:textId="77777777" w:rsidR="003F106B" w:rsidRDefault="003F106B" w:rsidP="001D4A5D">
      <w:pPr>
        <w:pStyle w:val="CommentText"/>
      </w:pPr>
      <w:r>
        <w:rPr>
          <w:rStyle w:val="CommentReference"/>
        </w:rPr>
        <w:annotationRef/>
      </w:r>
      <w:r>
        <w:t>This info belongs in methods/measures</w:t>
      </w:r>
    </w:p>
  </w:comment>
  <w:comment w:id="59" w:author="Kerith Conron" w:date="2026-03-04T16:18:00Z" w:initials="KC">
    <w:p w14:paraId="30DA118D" w14:textId="77777777" w:rsidR="003F106B" w:rsidRDefault="003F106B" w:rsidP="001D4A5D">
      <w:pPr>
        <w:pStyle w:val="CommentText"/>
      </w:pPr>
      <w:r>
        <w:rPr>
          <w:rStyle w:val="CommentReference"/>
        </w:rPr>
        <w:annotationRef/>
      </w:r>
      <w:r>
        <w:t>This info belongs in methods/measures</w:t>
      </w:r>
    </w:p>
  </w:comment>
  <w:comment w:id="61" w:author="Kerith Conron" w:date="2026-03-06T12:14:00Z" w:initials="KC">
    <w:p w14:paraId="35298B46" w14:textId="77777777" w:rsidR="00D84443" w:rsidRDefault="00D84443" w:rsidP="00D84443">
      <w:pPr>
        <w:pStyle w:val="CommentText"/>
      </w:pPr>
      <w:r>
        <w:rPr>
          <w:rStyle w:val="CommentReference"/>
        </w:rPr>
        <w:annotationRef/>
      </w:r>
      <w:r>
        <w:t>Include 0 time group to sum to 100% (like other figures)</w:t>
      </w:r>
    </w:p>
  </w:comment>
  <w:comment w:id="64" w:author="Kerith Conron" w:date="2026-03-06T12:35:00Z" w:initials="KC">
    <w:p w14:paraId="4DDF6827" w14:textId="3B6B49B7" w:rsidR="00F611B6" w:rsidRDefault="00F611B6" w:rsidP="00F611B6">
      <w:pPr>
        <w:pStyle w:val="CommentText"/>
      </w:pPr>
      <w:r>
        <w:rPr>
          <w:rStyle w:val="CommentReference"/>
        </w:rPr>
        <w:annotationRef/>
      </w:r>
      <w:r>
        <w:t>How can there be negative values on a summary composite measure if item values were 0 to 3?</w:t>
      </w:r>
    </w:p>
  </w:comment>
  <w:comment w:id="65" w:author="Kerith Conron" w:date="2026-03-06T12:30:00Z" w:initials="KC">
    <w:p w14:paraId="22BC6DAB" w14:textId="77777777" w:rsidR="00417EEC" w:rsidRDefault="001869A4" w:rsidP="00417EEC">
      <w:pPr>
        <w:pStyle w:val="CommentText"/>
      </w:pPr>
      <w:r>
        <w:rPr>
          <w:rStyle w:val="CommentReference"/>
        </w:rPr>
        <w:annotationRef/>
      </w:r>
      <w:r w:rsidR="00417EEC">
        <w:t xml:space="preserve">Drop unconditional findings in all figures to increase readability. Why adjust for demographics and HS index in the same model? You lose your ability to show that high school experience impacts mean level of worry.  </w:t>
      </w:r>
    </w:p>
  </w:comment>
  <w:comment w:id="66" w:author="Kerith Conron" w:date="2026-03-06T12:42:00Z" w:initials="KC">
    <w:p w14:paraId="386FF580" w14:textId="77777777" w:rsidR="002F2DE1" w:rsidRDefault="00D103FB" w:rsidP="002F2DE1">
      <w:pPr>
        <w:pStyle w:val="CommentText"/>
      </w:pPr>
      <w:r>
        <w:rPr>
          <w:rStyle w:val="CommentReference"/>
        </w:rPr>
        <w:annotationRef/>
      </w:r>
      <w:r w:rsidR="002F2DE1">
        <w:t>Info about student loans in this report might be helpful to include in the discussion section.</w:t>
      </w:r>
    </w:p>
    <w:p w14:paraId="3A29EF6A" w14:textId="77777777" w:rsidR="002F2DE1" w:rsidRDefault="002F2DE1" w:rsidP="002F2DE1">
      <w:pPr>
        <w:pStyle w:val="CommentText"/>
      </w:pPr>
    </w:p>
    <w:p w14:paraId="3A258305" w14:textId="77777777" w:rsidR="002F2DE1" w:rsidRDefault="002F2DE1" w:rsidP="002F2DE1">
      <w:pPr>
        <w:pStyle w:val="CommentText"/>
      </w:pPr>
      <w:hyperlink r:id="rId2" w:history="1">
        <w:r w:rsidRPr="002A094B">
          <w:rPr>
            <w:rStyle w:val="Hyperlink"/>
          </w:rPr>
          <w:t>https://williamsinstitute.law.ucla.edu/publications/transgender-higher-ed/</w:t>
        </w:r>
      </w:hyperlink>
    </w:p>
  </w:comment>
  <w:comment w:id="67" w:author="Alexandria M Hurtt" w:date="2026-03-14T23:15:00Z" w:initials="AMH">
    <w:p w14:paraId="62AE1A91" w14:textId="77777777" w:rsidR="00C25A1D" w:rsidRDefault="00C25A1D" w:rsidP="00C25A1D">
      <w:r>
        <w:rPr>
          <w:rStyle w:val="CommentReference"/>
        </w:rPr>
        <w:annotationRef/>
      </w:r>
      <w:r>
        <w:rPr>
          <w:sz w:val="20"/>
          <w:szCs w:val="20"/>
        </w:rPr>
        <w:t xml:space="preserve">@Christina - I can weave this in </w:t>
      </w:r>
    </w:p>
  </w:comment>
  <w:comment w:id="69" w:author="Kerith Conron" w:date="2026-03-03T17:28:00Z" w:initials="KC">
    <w:p w14:paraId="6CA40563" w14:textId="77777777" w:rsidR="004F595A" w:rsidRDefault="004F595A" w:rsidP="00705159">
      <w:pPr>
        <w:pStyle w:val="CommentText"/>
      </w:pPr>
      <w:r>
        <w:rPr>
          <w:rStyle w:val="CommentReference"/>
        </w:rPr>
        <w:annotationRef/>
      </w:r>
      <w:r>
        <w:t>Figure titles should contain enough info to stand alone from the report and provide useful info to readers.</w:t>
      </w:r>
    </w:p>
  </w:comment>
  <w:comment w:id="70" w:author="Kerith Conron" w:date="2026-03-04T15:54:00Z" w:initials="KC">
    <w:p w14:paraId="6B6F91BC" w14:textId="77777777" w:rsidR="004F595A" w:rsidRDefault="004F595A" w:rsidP="00266684">
      <w:pPr>
        <w:pStyle w:val="CommentText"/>
      </w:pPr>
      <w:r>
        <w:rPr>
          <w:rStyle w:val="CommentReference"/>
        </w:rPr>
        <w:annotationRef/>
      </w:r>
      <w:r>
        <w:t>This is super interesting info! I haven’t seen any other studies with intended field of study. Nice work!</w:t>
      </w:r>
    </w:p>
  </w:comment>
  <w:comment w:id="71" w:author="Kerith Conron" w:date="2026-03-06T09:50:00Z" w:initials="KC">
    <w:p w14:paraId="3236D35B" w14:textId="77777777" w:rsidR="004F595A" w:rsidRDefault="004F595A" w:rsidP="005211ED">
      <w:pPr>
        <w:pStyle w:val="CommentText"/>
      </w:pPr>
      <w:r>
        <w:rPr>
          <w:rStyle w:val="CommentReference"/>
        </w:rPr>
        <w:annotationRef/>
      </w:r>
      <w:r>
        <w:t>Be sure to integrate this info into the discussion and abstract/executive summary</w:t>
      </w:r>
    </w:p>
  </w:comment>
  <w:comment w:id="72" w:author="Kerith Conron" w:date="2026-03-04T15:57:00Z" w:initials="KC">
    <w:p w14:paraId="7C571FD9" w14:textId="77777777" w:rsidR="004F595A" w:rsidRDefault="004F595A" w:rsidP="009A3F5F">
      <w:pPr>
        <w:pStyle w:val="CommentText"/>
      </w:pPr>
      <w:r>
        <w:rPr>
          <w:rStyle w:val="CommentReference"/>
        </w:rPr>
        <w:annotationRef/>
      </w:r>
      <w:r>
        <w:t>Report all percentages to same decimal place  (i.e., 30.0%) throughout findings.</w:t>
      </w:r>
    </w:p>
  </w:comment>
  <w:comment w:id="73" w:author="Kerith Conron" w:date="2026-03-04T15:48:00Z" w:initials="KC">
    <w:p w14:paraId="4CBCB98C" w14:textId="77777777" w:rsidR="004F595A" w:rsidRDefault="004F595A" w:rsidP="00270787">
      <w:pPr>
        <w:pStyle w:val="CommentText"/>
      </w:pPr>
      <w:r>
        <w:rPr>
          <w:rStyle w:val="CommentReference"/>
        </w:rPr>
        <w:annotationRef/>
      </w:r>
      <w:r>
        <w:t>retitle</w:t>
      </w:r>
    </w:p>
  </w:comment>
  <w:comment w:id="76" w:author="Kerith Conron" w:date="2026-03-04T16:07:00Z" w:initials="KC">
    <w:p w14:paraId="7F26FBFC" w14:textId="77777777" w:rsidR="004F595A" w:rsidRDefault="004F595A" w:rsidP="009C3732">
      <w:pPr>
        <w:pStyle w:val="CommentText"/>
      </w:pPr>
      <w:r>
        <w:rPr>
          <w:rStyle w:val="CommentReference"/>
        </w:rPr>
        <w:annotationRef/>
      </w:r>
      <w:r>
        <w:t>40% of 55% = 72.7%</w:t>
      </w:r>
    </w:p>
  </w:comment>
  <w:comment w:id="77" w:author="Alexandria M Hurtt" w:date="2026-03-14T22:00:00Z" w:initials="AMH">
    <w:p w14:paraId="0BAABF65" w14:textId="77777777" w:rsidR="00BE5299" w:rsidRDefault="00BE5299" w:rsidP="00BE5299">
      <w:r>
        <w:rPr>
          <w:rStyle w:val="CommentReference"/>
        </w:rPr>
        <w:annotationRef/>
      </w:r>
      <w:r>
        <w:rPr>
          <w:sz w:val="20"/>
          <w:szCs w:val="20"/>
        </w:rPr>
        <w:t>I added her result in here, but feel free to change the language and/or remove!</w:t>
      </w:r>
    </w:p>
  </w:comment>
  <w:comment w:id="74" w:author="Kerith Conron" w:date="2026-03-04T16:10:00Z" w:initials="KC">
    <w:p w14:paraId="159DE15E" w14:textId="77777777" w:rsidR="004F595A" w:rsidRDefault="004F595A" w:rsidP="004F595A">
      <w:pPr>
        <w:pStyle w:val="CommentText"/>
      </w:pPr>
      <w:r>
        <w:rPr>
          <w:rStyle w:val="CommentReference"/>
        </w:rPr>
        <w:annotationRef/>
      </w:r>
      <w:r>
        <w:t>Include % when reporting findings throughout this section.</w:t>
      </w:r>
    </w:p>
    <w:p w14:paraId="64DB9F80" w14:textId="77777777" w:rsidR="004F595A" w:rsidRDefault="004F595A" w:rsidP="004F595A">
      <w:pPr>
        <w:pStyle w:val="CommentText"/>
      </w:pPr>
    </w:p>
    <w:p w14:paraId="5882CEDC" w14:textId="77777777" w:rsidR="004F595A" w:rsidRDefault="004F595A" w:rsidP="004F595A">
      <w:pPr>
        <w:pStyle w:val="CommentText"/>
      </w:pPr>
      <w:r>
        <w:t>There also should be tests of statistical significance to support assertions about differences. You can get these from pairwise comparisons -- chi-squares or linear regressions (changing the reference group).</w:t>
      </w:r>
    </w:p>
  </w:comment>
  <w:comment w:id="75" w:author="Christina Sun" w:date="2026-03-16T16:13:00Z" w:initials="CS">
    <w:p w14:paraId="0F919B80" w14:textId="77777777" w:rsidR="00AB1749" w:rsidRDefault="00AB1749" w:rsidP="00AB1749">
      <w:r>
        <w:rPr>
          <w:rStyle w:val="CommentReference"/>
        </w:rPr>
        <w:annotationRef/>
      </w:r>
      <w:r>
        <w:rPr>
          <w:sz w:val="20"/>
          <w:szCs w:val="20"/>
        </w:rPr>
        <w:t>We have logit and ordered logit models</w:t>
      </w:r>
    </w:p>
  </w:comment>
  <w:comment w:id="78" w:author="Kerith Conron" w:date="2026-03-04T17:55:00Z" w:initials="KC">
    <w:p w14:paraId="1EBEEA1C" w14:textId="77777777" w:rsidR="00545C96" w:rsidRDefault="00545C96" w:rsidP="00545C96">
      <w:pPr>
        <w:pStyle w:val="CommentText"/>
      </w:pPr>
      <w:r>
        <w:rPr>
          <w:rStyle w:val="CommentReference"/>
        </w:rPr>
        <w:annotationRef/>
      </w:r>
      <w:r>
        <w:t>The methods section should describe how you approached the qualitative data analysis – even if you are reporting only preliminary findings.</w:t>
      </w:r>
    </w:p>
    <w:p w14:paraId="1D280386" w14:textId="77777777" w:rsidR="00545C96" w:rsidRDefault="00545C96" w:rsidP="00545C96">
      <w:pPr>
        <w:pStyle w:val="CommentText"/>
      </w:pPr>
    </w:p>
    <w:p w14:paraId="14D9B40D" w14:textId="77777777" w:rsidR="00545C96" w:rsidRDefault="00545C96" w:rsidP="00545C96">
      <w:pPr>
        <w:pStyle w:val="CommentText"/>
      </w:pPr>
      <w:r>
        <w:t>The qual findings are a great addition. Wish this section was more longer.</w:t>
      </w:r>
    </w:p>
  </w:comment>
  <w:comment w:id="79" w:author="Alexandria M Hurtt" w:date="2026-03-12T11:28:00Z" w:initials="AMH">
    <w:p w14:paraId="214A824C" w14:textId="77777777" w:rsidR="001210E5" w:rsidRDefault="001210E5" w:rsidP="001210E5">
      <w:r>
        <w:rPr>
          <w:rStyle w:val="CommentReference"/>
        </w:rPr>
        <w:annotationRef/>
      </w:r>
      <w:r>
        <w:rPr>
          <w:sz w:val="20"/>
          <w:szCs w:val="20"/>
        </w:rPr>
        <w:t>Thank you, we have added a footnote to describe where qualitative results can be found in more detail. Additionally, we added a brief description of our qualitative analysis in methods.</w:t>
      </w:r>
    </w:p>
  </w:comment>
  <w:comment w:id="80" w:author="Kerith Conron" w:date="2026-03-04T17:52:00Z" w:initials="KC">
    <w:p w14:paraId="50C8922B" w14:textId="77777777" w:rsidR="00EE4953" w:rsidRDefault="00EE4953" w:rsidP="00EE4953">
      <w:pPr>
        <w:pStyle w:val="CommentText"/>
      </w:pPr>
      <w:r>
        <w:rPr>
          <w:rStyle w:val="CommentReference"/>
        </w:rPr>
        <w:annotationRef/>
      </w:r>
      <w:r>
        <w:t>Relocate to discussion section</w:t>
      </w:r>
    </w:p>
  </w:comment>
  <w:comment w:id="83" w:author="Alexandria M Hurtt" w:date="2026-03-13T11:49:00Z" w:initials="AMH">
    <w:p w14:paraId="0E89E900" w14:textId="77777777" w:rsidR="005649F0" w:rsidRDefault="005649F0" w:rsidP="005649F0">
      <w:r>
        <w:rPr>
          <w:rStyle w:val="CommentReference"/>
        </w:rPr>
        <w:annotationRef/>
      </w:r>
      <w:r>
        <w:rPr>
          <w:sz w:val="20"/>
          <w:szCs w:val="20"/>
        </w:rPr>
        <w:t>Make a note about how our findings mirror CHKS earlier [</w:t>
      </w:r>
      <w:hyperlink r:id="rId3" w:history="1">
        <w:r w:rsidRPr="007D2CCC">
          <w:rPr>
            <w:rStyle w:val="Hyperlink"/>
            <w:sz w:val="20"/>
            <w:szCs w:val="20"/>
          </w:rPr>
          <w:t>https://calschls.org/reports-data/public-dashboards/</w:t>
        </w:r>
      </w:hyperlink>
      <w:r>
        <w:rPr>
          <w:sz w:val="20"/>
          <w:szCs w:val="20"/>
        </w:rPr>
        <w:t>] from reviewer: "key indicators, secondary school dashboard, available by gender identity"</w:t>
      </w:r>
    </w:p>
  </w:comment>
  <w:comment w:id="84" w:author="Kerith Conron" w:date="2026-03-06T11:14:00Z" w:initials="KC">
    <w:p w14:paraId="2159E4E8" w14:textId="77777777" w:rsidR="006F0A64" w:rsidRDefault="006F0A64" w:rsidP="006F0A64">
      <w:pPr>
        <w:pStyle w:val="CommentText"/>
      </w:pPr>
      <w:r>
        <w:rPr>
          <w:rStyle w:val="CommentReference"/>
        </w:rPr>
        <w:annotationRef/>
      </w:r>
      <w:r>
        <w:t>Yes!</w:t>
      </w:r>
    </w:p>
  </w:comment>
  <w:comment w:id="85" w:author="Kerith Conron" w:date="2026-03-06T11:34:00Z" w:initials="KC">
    <w:p w14:paraId="56B3D6A0" w14:textId="77777777" w:rsidR="00015514" w:rsidRDefault="00015514" w:rsidP="00015514">
      <w:pPr>
        <w:pStyle w:val="CommentText"/>
      </w:pPr>
      <w:r>
        <w:rPr>
          <w:rStyle w:val="CommentReference"/>
        </w:rPr>
        <w:annotationRef/>
      </w:r>
      <w:r>
        <w:t xml:space="preserve">Perhaps reinforce the value and importance of California Healthy Kids Survey collecting info about trans status. </w:t>
      </w:r>
    </w:p>
    <w:p w14:paraId="4C3D9D94" w14:textId="77777777" w:rsidR="00015514" w:rsidRDefault="00015514" w:rsidP="00015514">
      <w:pPr>
        <w:pStyle w:val="CommentText"/>
      </w:pPr>
    </w:p>
    <w:p w14:paraId="72D30E5B" w14:textId="77777777" w:rsidR="00015514" w:rsidRDefault="00015514" w:rsidP="00015514">
      <w:pPr>
        <w:pStyle w:val="CommentText"/>
      </w:pPr>
      <w:r>
        <w:t xml:space="preserve">In my opinion, the results for trans/gender expansive youth were more similar than different, so while it might be valuable to have granularity, the big lift is collecting info about cis/trans status. </w:t>
      </w:r>
    </w:p>
    <w:p w14:paraId="25DA9FDD" w14:textId="77777777" w:rsidR="00015514" w:rsidRDefault="00015514" w:rsidP="00015514">
      <w:pPr>
        <w:pStyle w:val="CommentText"/>
      </w:pPr>
    </w:p>
    <w:p w14:paraId="25748C36" w14:textId="77777777" w:rsidR="00015514" w:rsidRDefault="00015514" w:rsidP="00015514">
      <w:pPr>
        <w:pStyle w:val="CommentText"/>
      </w:pPr>
      <w:r>
        <w:t xml:space="preserve">Alternatively, if you feel strongly that the granularity is essential, then present findings and recs that speak to observed differences among trans/gender diverse groups. </w:t>
      </w:r>
    </w:p>
  </w:comment>
  <w:comment w:id="86" w:author="Alexandria M Hurtt" w:date="2026-03-13T11:55:00Z" w:initials="AMH">
    <w:p w14:paraId="3EA0FBEF" w14:textId="77777777" w:rsidR="005649F0" w:rsidRDefault="005649F0" w:rsidP="005649F0">
      <w:r>
        <w:rPr>
          <w:rStyle w:val="CommentReference"/>
        </w:rPr>
        <w:annotationRef/>
      </w:r>
      <w:r>
        <w:rPr>
          <w:sz w:val="20"/>
          <w:szCs w:val="20"/>
        </w:rPr>
        <w:t>Add note about CHKS here, as while imperfect, does offer some insight into trans/gender expansive students' schooling experiences</w:t>
      </w:r>
    </w:p>
  </w:comment>
  <w:comment w:id="90" w:author="Kerith Conron" w:date="2026-03-03T16:30:00Z" w:initials="KC">
    <w:p w14:paraId="24A9B909" w14:textId="77777777" w:rsidR="009724F6" w:rsidRDefault="004C0D98" w:rsidP="009724F6">
      <w:pPr>
        <w:pStyle w:val="CommentText"/>
      </w:pPr>
      <w:r>
        <w:rPr>
          <w:rStyle w:val="CommentReference"/>
        </w:rPr>
        <w:annotationRef/>
      </w:r>
      <w:r w:rsidR="009724F6">
        <w:t>95% CI or standard errors would provide readers with a sense of how well the mean represents all responses.</w:t>
      </w:r>
    </w:p>
  </w:comment>
  <w:comment w:id="91" w:author="Kerith Conron" w:date="2026-03-03T16:26:00Z" w:initials="KC">
    <w:p w14:paraId="672CA677" w14:textId="0480BEA3" w:rsidR="00B4412A" w:rsidRDefault="00B4412A" w:rsidP="00B4412A">
      <w:pPr>
        <w:pStyle w:val="CommentText"/>
      </w:pPr>
      <w:r>
        <w:rPr>
          <w:rStyle w:val="CommentReference"/>
        </w:rPr>
        <w:annotationRef/>
      </w:r>
      <w:r>
        <w:t>Is this item missing any words? high school counselors or teachers?</w:t>
      </w:r>
    </w:p>
  </w:comment>
  <w:comment w:id="93" w:author="Kerith Conron" w:date="2026-03-03T16:36:00Z" w:initials="KC">
    <w:p w14:paraId="2B6A5DB6" w14:textId="77777777" w:rsidR="00721407" w:rsidRDefault="00911AA2" w:rsidP="00721407">
      <w:pPr>
        <w:pStyle w:val="CommentText"/>
      </w:pPr>
      <w:r>
        <w:rPr>
          <w:rStyle w:val="CommentReference"/>
        </w:rPr>
        <w:annotationRef/>
      </w:r>
      <w:r w:rsidR="00721407">
        <w:t>Add composite score means to tables in Appendix C and D.</w:t>
      </w:r>
    </w:p>
  </w:comment>
  <w:comment w:id="95" w:author="Kerith Conron" w:date="2026-03-03T16:23:00Z" w:initials="KC">
    <w:p w14:paraId="503F4BA4" w14:textId="77777777" w:rsidR="00F10C9A" w:rsidRDefault="00F10C9A" w:rsidP="00F10C9A">
      <w:pPr>
        <w:pStyle w:val="CommentText"/>
      </w:pPr>
      <w:r>
        <w:rPr>
          <w:rStyle w:val="CommentReference"/>
        </w:rPr>
        <w:annotationRef/>
      </w:r>
      <w:r>
        <w:t>Use a table title that allows your table to stand alone from the report.</w:t>
      </w:r>
    </w:p>
  </w:comment>
  <w:comment w:id="96" w:author="Kerith Conron" w:date="2026-03-06T12:06:00Z" w:initials="KC">
    <w:p w14:paraId="5AD1A32C" w14:textId="77777777" w:rsidR="006C73E7" w:rsidRDefault="006C73E7"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A0A54" w15:done="1"/>
  <w15:commentEx w15:paraId="2336FD54" w15:paraIdParent="251A0A54" w15:done="1"/>
  <w15:commentEx w15:paraId="65D4A352" w15:done="1"/>
  <w15:commentEx w15:paraId="750BA802" w15:done="1"/>
  <w15:commentEx w15:paraId="251E9EA3" w15:paraIdParent="750BA802" w15:done="1"/>
  <w15:commentEx w15:paraId="21543448" w15:paraIdParent="750BA802" w15:done="1"/>
  <w15:commentEx w15:paraId="0974BF3C" w15:done="1"/>
  <w15:commentEx w15:paraId="50ADC764" w15:paraIdParent="0974BF3C" w15:done="1"/>
  <w15:commentEx w15:paraId="07C99A22" w15:done="1"/>
  <w15:commentEx w15:paraId="108727BC" w15:paraIdParent="07C99A22" w15:done="1"/>
  <w15:commentEx w15:paraId="1B2D2D6E" w15:done="1"/>
  <w15:commentEx w15:paraId="0A46B2AB" w15:paraIdParent="1B2D2D6E" w15:done="1"/>
  <w15:commentEx w15:paraId="64004783" w15:done="1"/>
  <w15:commentEx w15:paraId="31C24FCE" w15:done="1"/>
  <w15:commentEx w15:paraId="067C6F33" w15:paraIdParent="31C24FCE" w15:done="1"/>
  <w15:commentEx w15:paraId="0FF2D159" w15:done="1"/>
  <w15:commentEx w15:paraId="3E0DE042" w15:done="0"/>
  <w15:commentEx w15:paraId="186F418E" w15:done="1"/>
  <w15:commentEx w15:paraId="7C220CA8" w15:done="1"/>
  <w15:commentEx w15:paraId="6AC62582" w15:done="1"/>
  <w15:commentEx w15:paraId="11E0FEF8" w15:paraIdParent="6AC62582" w15:done="1"/>
  <w15:commentEx w15:paraId="31AF9DA7" w15:done="1"/>
  <w15:commentEx w15:paraId="6FC206C8" w15:done="1"/>
  <w15:commentEx w15:paraId="328B05C3" w15:paraIdParent="6FC206C8" w15:done="1"/>
  <w15:commentEx w15:paraId="27202541" w15:done="1"/>
  <w15:commentEx w15:paraId="1DBDE58C" w15:done="1"/>
  <w15:commentEx w15:paraId="29E41C03" w15:done="1"/>
  <w15:commentEx w15:paraId="40AE5E66" w15:done="1"/>
  <w15:commentEx w15:paraId="0EBCD8AF" w15:done="1"/>
  <w15:commentEx w15:paraId="10008767" w15:done="1"/>
  <w15:commentEx w15:paraId="5CF7DC59" w15:paraIdParent="10008767" w15:done="1"/>
  <w15:commentEx w15:paraId="1DDB20DA" w15:done="1"/>
  <w15:commentEx w15:paraId="6DFFEC8C" w15:done="1"/>
  <w15:commentEx w15:paraId="01C7154D" w15:done="1"/>
  <w15:commentEx w15:paraId="7EF5A3A1" w15:done="1"/>
  <w15:commentEx w15:paraId="231B81FF" w15:done="1"/>
  <w15:commentEx w15:paraId="4867D5DE" w15:done="1"/>
  <w15:commentEx w15:paraId="3E2F4386" w15:paraIdParent="4867D5DE" w15:done="1"/>
  <w15:commentEx w15:paraId="68E1DE23" w15:done="1"/>
  <w15:commentEx w15:paraId="6F7D9393" w15:paraIdParent="68E1DE23" w15:done="1"/>
  <w15:commentEx w15:paraId="58815A9F" w15:done="1"/>
  <w15:commentEx w15:paraId="77B18C0E" w15:paraIdParent="58815A9F" w15:done="1"/>
  <w15:commentEx w15:paraId="399762A0" w15:done="1"/>
  <w15:commentEx w15:paraId="0471C35D" w15:paraIdParent="399762A0" w15:done="1"/>
  <w15:commentEx w15:paraId="10523BBA" w15:done="1"/>
  <w15:commentEx w15:paraId="67BAC007" w15:done="1"/>
  <w15:commentEx w15:paraId="58929D82" w15:done="1"/>
  <w15:commentEx w15:paraId="07B41C93" w15:done="1"/>
  <w15:commentEx w15:paraId="04C17865" w15:done="1"/>
  <w15:commentEx w15:paraId="30DA118D" w15:done="1"/>
  <w15:commentEx w15:paraId="35298B46" w15:done="1"/>
  <w15:commentEx w15:paraId="4DDF6827" w15:done="1"/>
  <w15:commentEx w15:paraId="22BC6DAB" w15:done="1"/>
  <w15:commentEx w15:paraId="3A258305" w15:done="0"/>
  <w15:commentEx w15:paraId="62AE1A91" w15:paraIdParent="3A258305" w15:done="0"/>
  <w15:commentEx w15:paraId="6CA40563" w15:done="1"/>
  <w15:commentEx w15:paraId="6B6F91BC" w15:done="1"/>
  <w15:commentEx w15:paraId="3236D35B" w15:paraIdParent="6B6F91BC" w15:done="1"/>
  <w15:commentEx w15:paraId="7C571FD9" w15:done="1"/>
  <w15:commentEx w15:paraId="4CBCB98C" w15:done="1"/>
  <w15:commentEx w15:paraId="7F26FBFC" w15:done="1"/>
  <w15:commentEx w15:paraId="0BAABF65" w15:paraIdParent="7F26FBFC" w15:done="1"/>
  <w15:commentEx w15:paraId="5882CEDC" w15:done="1"/>
  <w15:commentEx w15:paraId="0F919B80" w15:paraIdParent="5882CEDC" w15:done="1"/>
  <w15:commentEx w15:paraId="14D9B40D" w15:done="1"/>
  <w15:commentEx w15:paraId="214A824C" w15:paraIdParent="14D9B40D" w15:done="1"/>
  <w15:commentEx w15:paraId="50C8922B" w15:done="1"/>
  <w15:commentEx w15:paraId="0E89E900" w15:done="0"/>
  <w15:commentEx w15:paraId="2159E4E8" w15:done="1"/>
  <w15:commentEx w15:paraId="25748C36" w15:done="0"/>
  <w15:commentEx w15:paraId="3EA0FBEF" w15:paraIdParent="25748C36" w15:done="0"/>
  <w15:commentEx w15:paraId="24A9B909" w15:done="0"/>
  <w15:commentEx w15:paraId="672CA677" w15:done="1"/>
  <w15:commentEx w15:paraId="2B6A5DB6" w15:done="0"/>
  <w15:commentEx w15:paraId="503F4BA4" w15:done="1"/>
  <w15:commentEx w15:paraId="5AD1A3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F6FA0" w16cex:dateUtc="2026-03-06T17:56:00Z"/>
  <w16cex:commentExtensible w16cex:durableId="751C2BA8" w16cex:dateUtc="2026-03-12T17:29:00Z"/>
  <w16cex:commentExtensible w16cex:durableId="4FE2961E" w16cex:dateUtc="2026-03-06T13:01:00Z"/>
  <w16cex:commentExtensible w16cex:durableId="2539A104" w16cex:dateUtc="2026-03-06T16:58:00Z"/>
  <w16cex:commentExtensible w16cex:durableId="079871E4" w16cex:dateUtc="2026-03-06T18:23:00Z"/>
  <w16cex:commentExtensible w16cex:durableId="0CDA30C8" w16cex:dateUtc="2026-03-12T17:35:00Z"/>
  <w16cex:commentExtensible w16cex:durableId="65CC43E6" w16cex:dateUtc="2026-03-06T13:15:00Z"/>
  <w16cex:commentExtensible w16cex:durableId="6861FE4E" w16cex:dateUtc="2026-03-12T17:36:00Z"/>
  <w16cex:commentExtensible w16cex:durableId="64FB3B00" w16cex:dateUtc="2026-03-06T18:13:00Z"/>
  <w16cex:commentExtensible w16cex:durableId="2C22AFF6" w16cex:dateUtc="2026-03-12T17:40:00Z"/>
  <w16cex:commentExtensible w16cex:durableId="09F1B33F" w16cex:dateUtc="2026-03-06T14:29:00Z"/>
  <w16cex:commentExtensible w16cex:durableId="69B5F88B" w16cex:dateUtc="2026-03-15T05:35:00Z"/>
  <w16cex:commentExtensible w16cex:durableId="618502E6" w16cex:dateUtc="2026-03-06T14:13:00Z"/>
  <w16cex:commentExtensible w16cex:durableId="09E60994" w16cex:dateUtc="2026-03-06T14:18:00Z"/>
  <w16cex:commentExtensible w16cex:durableId="48448833" w16cex:dateUtc="2026-03-12T17:58:00Z"/>
  <w16cex:commentExtensible w16cex:durableId="2F8777F6" w16cex:dateUtc="2026-03-06T14:19:00Z"/>
  <w16cex:commentExtensible w16cex:durableId="591DAD43" w16cex:dateUtc="2026-03-15T06:17:00Z"/>
  <w16cex:commentExtensible w16cex:durableId="58C31A9E" w16cex:dateUtc="2026-03-06T14:24:00Z"/>
  <w16cex:commentExtensible w16cex:durableId="1B1776EB" w16cex:dateUtc="2026-03-06T14:27:00Z"/>
  <w16cex:commentExtensible w16cex:durableId="62C40623" w16cex:dateUtc="2026-03-13T18:47:00Z"/>
  <w16cex:commentExtensible w16cex:durableId="65598ED7" w16cex:dateUtc="2026-03-16T20:01:00Z"/>
  <w16cex:commentExtensible w16cex:durableId="598251B4" w16cex:dateUtc="2026-03-03T21:20:00Z"/>
  <w16cex:commentExtensible w16cex:durableId="62C69491" w16cex:dateUtc="2026-03-03T22:36:00Z"/>
  <w16cex:commentExtensible w16cex:durableId="714B8A9D" w16cex:dateUtc="2026-03-12T18:14:00Z"/>
  <w16cex:commentExtensible w16cex:durableId="00F14B20" w16cex:dateUtc="2026-03-03T22:32:00Z"/>
  <w16cex:commentExtensible w16cex:durableId="18B85F35" w16cex:dateUtc="2026-03-02T21:47:00Z"/>
  <w16cex:commentExtensible w16cex:durableId="39174973" w16cex:dateUtc="2026-03-03T20:40:00Z"/>
  <w16cex:commentExtensible w16cex:durableId="4508D35C" w16cex:dateUtc="2026-03-03T20:42:00Z"/>
  <w16cex:commentExtensible w16cex:durableId="31997B90" w16cex:dateUtc="2026-03-06T17:06:00Z"/>
  <w16cex:commentExtensible w16cex:durableId="59043229" w16cex:dateUtc="2026-03-04T21:46:00Z"/>
  <w16cex:commentExtensible w16cex:durableId="6F4909AD" w16cex:dateUtc="2026-03-16T20:08:00Z"/>
  <w16cex:commentExtensible w16cex:durableId="492AAA34" w16cex:dateUtc="2026-03-03T21:03:00Z"/>
  <w16cex:commentExtensible w16cex:durableId="76C9C716" w16cex:dateUtc="2026-03-03T21:10:00Z"/>
  <w16cex:commentExtensible w16cex:durableId="37DA558A" w16cex:dateUtc="2026-03-03T21:12:00Z"/>
  <w16cex:commentExtensible w16cex:durableId="434B9B4F" w16cex:dateUtc="2026-03-03T21:14:00Z"/>
  <w16cex:commentExtensible w16cex:durableId="78C7DE89" w16cex:dateUtc="2026-03-03T21:15:00Z"/>
  <w16cex:commentExtensible w16cex:durableId="78C7DEB3" w16cex:dateUtc="2026-03-03T21:18:00Z"/>
  <w16cex:commentExtensible w16cex:durableId="532FF753" w16cex:dateUtc="2026-03-13T19:31:00Z"/>
  <w16cex:commentExtensible w16cex:durableId="71F5C94A" w16cex:dateUtc="2026-03-03T21:17:00Z"/>
  <w16cex:commentExtensible w16cex:durableId="430DD6C8" w16cex:dateUtc="2026-03-16T20:34:00Z"/>
  <w16cex:commentExtensible w16cex:durableId="3A353E59" w16cex:dateUtc="2026-03-03T22:40:00Z"/>
  <w16cex:commentExtensible w16cex:durableId="01003C6F" w16cex:dateUtc="2026-03-13T19:31:00Z"/>
  <w16cex:commentExtensible w16cex:durableId="636783B2" w16cex:dateUtc="2026-03-03T22:48:00Z"/>
  <w16cex:commentExtensible w16cex:durableId="508F2667" w16cex:dateUtc="2026-03-06T17:13:00Z"/>
  <w16cex:commentExtensible w16cex:durableId="079EAB85" w16cex:dateUtc="2026-03-04T20:35:00Z"/>
  <w16cex:commentExtensible w16cex:durableId="777EDA35" w16cex:dateUtc="2026-03-06T14:40:00Z"/>
  <w16cex:commentExtensible w16cex:durableId="640EB22F" w16cex:dateUtc="2026-03-06T14:41:00Z"/>
  <w16cex:commentExtensible w16cex:durableId="6599424B" w16cex:dateUtc="2026-03-06T14:31:00Z"/>
  <w16cex:commentExtensible w16cex:durableId="2963951F" w16cex:dateUtc="2026-03-04T21:18:00Z"/>
  <w16cex:commentExtensible w16cex:durableId="6A272983" w16cex:dateUtc="2026-03-04T21:18:00Z"/>
  <w16cex:commentExtensible w16cex:durableId="1606EA9E" w16cex:dateUtc="2026-03-06T17:14:00Z"/>
  <w16cex:commentExtensible w16cex:durableId="3FDF8C10" w16cex:dateUtc="2026-03-06T17:35:00Z"/>
  <w16cex:commentExtensible w16cex:durableId="1597E8B9" w16cex:dateUtc="2026-03-06T17:30:00Z"/>
  <w16cex:commentExtensible w16cex:durableId="0281D022" w16cex:dateUtc="2026-03-06T17:42:00Z"/>
  <w16cex:commentExtensible w16cex:durableId="5AE6D3A2" w16cex:dateUtc="2026-03-15T06:15:00Z"/>
  <w16cex:commentExtensible w16cex:durableId="334737D1" w16cex:dateUtc="2026-03-03T22:28:00Z"/>
  <w16cex:commentExtensible w16cex:durableId="656E4CE2" w16cex:dateUtc="2026-03-04T20:54:00Z"/>
  <w16cex:commentExtensible w16cex:durableId="6877C225" w16cex:dateUtc="2026-03-06T14:50:00Z"/>
  <w16cex:commentExtensible w16cex:durableId="64545B02" w16cex:dateUtc="2026-03-04T20:57:00Z"/>
  <w16cex:commentExtensible w16cex:durableId="0C75EC7E" w16cex:dateUtc="2026-03-04T20:48:00Z"/>
  <w16cex:commentExtensible w16cex:durableId="34A31F3C" w16cex:dateUtc="2026-03-04T21:07:00Z"/>
  <w16cex:commentExtensible w16cex:durableId="72C1B2CA" w16cex:dateUtc="2026-03-15T05:00:00Z"/>
  <w16cex:commentExtensible w16cex:durableId="79A1CE49" w16cex:dateUtc="2026-03-04T21:10:00Z"/>
  <w16cex:commentExtensible w16cex:durableId="1E5B9BBC" w16cex:dateUtc="2026-03-16T23:13:00Z"/>
  <w16cex:commentExtensible w16cex:durableId="496E8D90" w16cex:dateUtc="2026-03-04T22:55:00Z"/>
  <w16cex:commentExtensible w16cex:durableId="57B18F69" w16cex:dateUtc="2026-03-12T18:28:00Z"/>
  <w16cex:commentExtensible w16cex:durableId="14BC180F" w16cex:dateUtc="2026-03-04T22:52:00Z"/>
  <w16cex:commentExtensible w16cex:durableId="3E2E8D8F" w16cex:dateUtc="2026-03-13T18:49:00Z"/>
  <w16cex:commentExtensible w16cex:durableId="0B318A4F" w16cex:dateUtc="2026-03-06T16:14:00Z"/>
  <w16cex:commentExtensible w16cex:durableId="515376E6" w16cex:dateUtc="2026-03-06T16:34:00Z"/>
  <w16cex:commentExtensible w16cex:durableId="247B5FD7" w16cex:dateUtc="2026-03-13T18:55:00Z"/>
  <w16cex:commentExtensible w16cex:durableId="5774A962" w16cex:dateUtc="2026-03-03T21:30:00Z"/>
  <w16cex:commentExtensible w16cex:durableId="3126D5BB" w16cex:dateUtc="2026-03-03T21:26:00Z"/>
  <w16cex:commentExtensible w16cex:durableId="399CD74B" w16cex:dateUtc="2026-03-03T21:36:00Z"/>
  <w16cex:commentExtensible w16cex:durableId="2B557097" w16cex:dateUtc="2026-03-03T21:23:00Z"/>
  <w16cex:commentExtensible w16cex:durableId="3AC8CEB0" w16cex:dateUtc="2026-03-0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A0A54" w16cid:durableId="36AF6FA0"/>
  <w16cid:commentId w16cid:paraId="2336FD54" w16cid:durableId="751C2BA8"/>
  <w16cid:commentId w16cid:paraId="65D4A352" w16cid:durableId="4FE2961E"/>
  <w16cid:commentId w16cid:paraId="750BA802" w16cid:durableId="2539A104"/>
  <w16cid:commentId w16cid:paraId="251E9EA3" w16cid:durableId="079871E4"/>
  <w16cid:commentId w16cid:paraId="21543448" w16cid:durableId="0CDA30C8"/>
  <w16cid:commentId w16cid:paraId="0974BF3C" w16cid:durableId="65CC43E6"/>
  <w16cid:commentId w16cid:paraId="50ADC764" w16cid:durableId="6861FE4E"/>
  <w16cid:commentId w16cid:paraId="07C99A22" w16cid:durableId="64FB3B00"/>
  <w16cid:commentId w16cid:paraId="108727BC" w16cid:durableId="2C22AFF6"/>
  <w16cid:commentId w16cid:paraId="1B2D2D6E" w16cid:durableId="09F1B33F"/>
  <w16cid:commentId w16cid:paraId="0A46B2AB" w16cid:durableId="69B5F88B"/>
  <w16cid:commentId w16cid:paraId="64004783" w16cid:durableId="618502E6"/>
  <w16cid:commentId w16cid:paraId="31C24FCE" w16cid:durableId="09E60994"/>
  <w16cid:commentId w16cid:paraId="067C6F33" w16cid:durableId="48448833"/>
  <w16cid:commentId w16cid:paraId="0FF2D159" w16cid:durableId="2F8777F6"/>
  <w16cid:commentId w16cid:paraId="3E0DE042" w16cid:durableId="591DAD43"/>
  <w16cid:commentId w16cid:paraId="186F418E" w16cid:durableId="58C31A9E"/>
  <w16cid:commentId w16cid:paraId="7C220CA8" w16cid:durableId="1B1776EB"/>
  <w16cid:commentId w16cid:paraId="6AC62582" w16cid:durableId="62C40623"/>
  <w16cid:commentId w16cid:paraId="11E0FEF8" w16cid:durableId="65598ED7"/>
  <w16cid:commentId w16cid:paraId="31AF9DA7" w16cid:durableId="598251B4"/>
  <w16cid:commentId w16cid:paraId="6FC206C8" w16cid:durableId="62C69491"/>
  <w16cid:commentId w16cid:paraId="328B05C3" w16cid:durableId="714B8A9D"/>
  <w16cid:commentId w16cid:paraId="27202541" w16cid:durableId="00F14B20"/>
  <w16cid:commentId w16cid:paraId="1DBDE58C" w16cid:durableId="18B85F35"/>
  <w16cid:commentId w16cid:paraId="29E41C03" w16cid:durableId="39174973"/>
  <w16cid:commentId w16cid:paraId="40AE5E66" w16cid:durableId="4508D35C"/>
  <w16cid:commentId w16cid:paraId="0EBCD8AF" w16cid:durableId="31997B90"/>
  <w16cid:commentId w16cid:paraId="10008767" w16cid:durableId="59043229"/>
  <w16cid:commentId w16cid:paraId="5CF7DC59" w16cid:durableId="6F4909AD"/>
  <w16cid:commentId w16cid:paraId="1DDB20DA" w16cid:durableId="492AAA34"/>
  <w16cid:commentId w16cid:paraId="6DFFEC8C" w16cid:durableId="76C9C716"/>
  <w16cid:commentId w16cid:paraId="01C7154D" w16cid:durableId="37DA558A"/>
  <w16cid:commentId w16cid:paraId="7EF5A3A1" w16cid:durableId="434B9B4F"/>
  <w16cid:commentId w16cid:paraId="231B81FF" w16cid:durableId="78C7DE89"/>
  <w16cid:commentId w16cid:paraId="4867D5DE" w16cid:durableId="78C7DEB3"/>
  <w16cid:commentId w16cid:paraId="3E2F4386" w16cid:durableId="532FF753"/>
  <w16cid:commentId w16cid:paraId="68E1DE23" w16cid:durableId="71F5C94A"/>
  <w16cid:commentId w16cid:paraId="6F7D9393" w16cid:durableId="430DD6C8"/>
  <w16cid:commentId w16cid:paraId="58815A9F" w16cid:durableId="3A353E59"/>
  <w16cid:commentId w16cid:paraId="77B18C0E" w16cid:durableId="01003C6F"/>
  <w16cid:commentId w16cid:paraId="399762A0" w16cid:durableId="636783B2"/>
  <w16cid:commentId w16cid:paraId="0471C35D" w16cid:durableId="508F2667"/>
  <w16cid:commentId w16cid:paraId="10523BBA" w16cid:durableId="079EAB85"/>
  <w16cid:commentId w16cid:paraId="67BAC007" w16cid:durableId="777EDA35"/>
  <w16cid:commentId w16cid:paraId="58929D82" w16cid:durableId="640EB22F"/>
  <w16cid:commentId w16cid:paraId="07B41C93" w16cid:durableId="6599424B"/>
  <w16cid:commentId w16cid:paraId="04C17865" w16cid:durableId="2963951F"/>
  <w16cid:commentId w16cid:paraId="30DA118D" w16cid:durableId="6A272983"/>
  <w16cid:commentId w16cid:paraId="35298B46" w16cid:durableId="1606EA9E"/>
  <w16cid:commentId w16cid:paraId="4DDF6827" w16cid:durableId="3FDF8C10"/>
  <w16cid:commentId w16cid:paraId="22BC6DAB" w16cid:durableId="1597E8B9"/>
  <w16cid:commentId w16cid:paraId="3A258305" w16cid:durableId="0281D022"/>
  <w16cid:commentId w16cid:paraId="62AE1A91" w16cid:durableId="5AE6D3A2"/>
  <w16cid:commentId w16cid:paraId="6CA40563" w16cid:durableId="334737D1"/>
  <w16cid:commentId w16cid:paraId="6B6F91BC" w16cid:durableId="656E4CE2"/>
  <w16cid:commentId w16cid:paraId="3236D35B" w16cid:durableId="6877C225"/>
  <w16cid:commentId w16cid:paraId="7C571FD9" w16cid:durableId="64545B02"/>
  <w16cid:commentId w16cid:paraId="4CBCB98C" w16cid:durableId="0C75EC7E"/>
  <w16cid:commentId w16cid:paraId="7F26FBFC" w16cid:durableId="34A31F3C"/>
  <w16cid:commentId w16cid:paraId="0BAABF65" w16cid:durableId="72C1B2CA"/>
  <w16cid:commentId w16cid:paraId="5882CEDC" w16cid:durableId="79A1CE49"/>
  <w16cid:commentId w16cid:paraId="0F919B80" w16cid:durableId="1E5B9BBC"/>
  <w16cid:commentId w16cid:paraId="14D9B40D" w16cid:durableId="496E8D90"/>
  <w16cid:commentId w16cid:paraId="214A824C" w16cid:durableId="57B18F69"/>
  <w16cid:commentId w16cid:paraId="50C8922B" w16cid:durableId="14BC180F"/>
  <w16cid:commentId w16cid:paraId="0E89E900" w16cid:durableId="3E2E8D8F"/>
  <w16cid:commentId w16cid:paraId="2159E4E8" w16cid:durableId="0B318A4F"/>
  <w16cid:commentId w16cid:paraId="25748C36" w16cid:durableId="515376E6"/>
  <w16cid:commentId w16cid:paraId="3EA0FBEF" w16cid:durableId="247B5FD7"/>
  <w16cid:commentId w16cid:paraId="24A9B909" w16cid:durableId="5774A962"/>
  <w16cid:commentId w16cid:paraId="672CA677" w16cid:durableId="3126D5BB"/>
  <w16cid:commentId w16cid:paraId="2B6A5DB6" w16cid:durableId="399CD74B"/>
  <w16cid:commentId w16cid:paraId="503F4BA4" w16cid:durableId="2B557097"/>
  <w16cid:commentId w16cid:paraId="5AD1A32C" w16cid:durableId="3AC8C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B6235" w14:textId="77777777" w:rsidR="003E369C" w:rsidRDefault="003E369C">
      <w:r>
        <w:separator/>
      </w:r>
    </w:p>
  </w:endnote>
  <w:endnote w:type="continuationSeparator" w:id="0">
    <w:p w14:paraId="074B9AEF" w14:textId="77777777" w:rsidR="003E369C" w:rsidRDefault="003E3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C45518E-BF8E-844A-9352-691313DCDCF0}"/>
  </w:font>
  <w:font w:name="Times New Roman">
    <w:panose1 w:val="02020603050405020304"/>
    <w:charset w:val="00"/>
    <w:family w:val="roman"/>
    <w:pitch w:val="variable"/>
    <w:sig w:usb0="E0002EFF" w:usb1="C000785B" w:usb2="00000009" w:usb3="00000000" w:csb0="000001FF" w:csb1="00000000"/>
    <w:embedRegular r:id="rId2" w:fontKey="{9934D5DF-FDDE-C84C-B644-8EC791AF2632}"/>
    <w:embedBold r:id="rId3" w:fontKey="{FC07040F-A0DE-564D-93D0-0A27E217284F}"/>
    <w:embedItalic r:id="rId4" w:fontKey="{4198FB19-9B79-914D-B380-ECD9805188A8}"/>
    <w:embedBoldItalic r:id="rId5" w:fontKey="{7508795F-30D1-E348-A7EB-1486D204A018}"/>
  </w:font>
  <w:font w:name="Calibri">
    <w:panose1 w:val="020F0502020204030204"/>
    <w:charset w:val="00"/>
    <w:family w:val="swiss"/>
    <w:pitch w:val="variable"/>
    <w:sig w:usb0="E4002EFF" w:usb1="C200247B" w:usb2="00000009" w:usb3="00000000" w:csb0="000001FF" w:csb1="00000000"/>
    <w:embedRegular r:id="rId6" w:fontKey="{0D9C09B2-2221-B14B-A640-98317A0BF625}"/>
    <w:embedBold r:id="rId7" w:fontKey="{40D17C46-7C8C-2B49-88EC-102F2A08CE5B}"/>
    <w:embedItalic r:id="rId8" w:fontKey="{86DBD815-C6B4-F943-BFAC-9C49153F827B}"/>
    <w:embedBoldItalic r:id="rId9" w:fontKey="{690D5125-D131-F240-BB80-C835387E9B5C}"/>
  </w:font>
  <w:font w:name="Arial">
    <w:panose1 w:val="020B0604020202020204"/>
    <w:charset w:val="00"/>
    <w:family w:val="swiss"/>
    <w:pitch w:val="variable"/>
    <w:sig w:usb0="E0002EFF" w:usb1="C000785B" w:usb2="00000009" w:usb3="00000000" w:csb0="000001FF" w:csb1="00000000"/>
    <w:embedRegular r:id="rId10" w:fontKey="{4E8C4794-0BE4-EB42-AFE9-BC368A8C2727}"/>
    <w:embedItalic r:id="rId11" w:fontKey="{8363E5C3-2388-D140-80C4-0657B8DCE6C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2" w:fontKey="{279CF3E8-9CDE-DD48-B193-DE7252F402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8A98" w14:textId="77777777" w:rsidR="004F595A" w:rsidRDefault="004F59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9B106" w14:textId="77777777" w:rsidR="003E369C" w:rsidRDefault="003E369C">
      <w:r>
        <w:separator/>
      </w:r>
    </w:p>
  </w:footnote>
  <w:footnote w:type="continuationSeparator" w:id="0">
    <w:p w14:paraId="7F898AB0" w14:textId="77777777" w:rsidR="003E369C" w:rsidRDefault="003E369C">
      <w:r>
        <w:continuationSeparator/>
      </w:r>
    </w:p>
  </w:footnote>
  <w:footnote w:id="1">
    <w:p w14:paraId="0F6A27EF" w14:textId="2844C648"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 xml:space="preserve">This research was approved by the Institutional Review Board (IRB) </w:t>
      </w:r>
      <w:r w:rsidR="00EF6E80">
        <w:rPr>
          <w:rFonts w:ascii="Calibri" w:hAnsi="Calibri" w:cs="Calibri"/>
          <w:color w:val="000000"/>
        </w:rPr>
        <w:t xml:space="preserve">at </w:t>
      </w:r>
      <w:r w:rsidR="003F58D7">
        <w:rPr>
          <w:rFonts w:ascii="Calibri" w:hAnsi="Calibri" w:cs="Calibri"/>
          <w:color w:val="000000"/>
        </w:rPr>
        <w:t xml:space="preserve">the </w:t>
      </w:r>
      <w:r w:rsidR="00EF6E80">
        <w:rPr>
          <w:rFonts w:ascii="Calibri" w:hAnsi="Calibri" w:cs="Calibri"/>
          <w:color w:val="000000"/>
        </w:rPr>
        <w:t xml:space="preserve">University </w:t>
      </w:r>
      <w:r w:rsidR="003F58D7">
        <w:rPr>
          <w:rFonts w:ascii="Calibri" w:hAnsi="Calibri" w:cs="Calibri"/>
          <w:color w:val="000000"/>
        </w:rPr>
        <w:t xml:space="preserve">of California, Davis </w:t>
      </w:r>
      <w:r w:rsidRPr="00784751">
        <w:rPr>
          <w:rFonts w:ascii="Calibri" w:hAnsi="Calibri" w:cs="Calibri"/>
          <w:color w:val="000000"/>
        </w:rPr>
        <w:t>under protocol number 2041454-1 and considered minimal risk. Informed consent was obtained from all participants prior to survey administration.</w:t>
      </w:r>
    </w:p>
  </w:footnote>
  <w:footnote w:id="2">
    <w:p w14:paraId="63D51BA9" w14:textId="07FF1971" w:rsidR="00880EB1" w:rsidRPr="00880EB1" w:rsidRDefault="00880EB1">
      <w:pPr>
        <w:pStyle w:val="FootnoteText"/>
      </w:pPr>
      <w:r>
        <w:rPr>
          <w:rStyle w:val="FootnoteReference"/>
        </w:rPr>
        <w:footnoteRef/>
      </w:r>
      <w:r>
        <w:t xml:space="preserve"> </w:t>
      </w:r>
      <w:r w:rsidRPr="00880EB1">
        <w:rPr>
          <w:rFonts w:asciiTheme="majorHAnsi" w:hAnsiTheme="majorHAnsi" w:cstheme="majorHAnsi"/>
        </w:rPr>
        <w:t>In the survey sample, of all students who responded to the gender identity questions (N=</w:t>
      </w:r>
      <w:r>
        <w:rPr>
          <w:rFonts w:asciiTheme="majorHAnsi" w:hAnsiTheme="majorHAnsi" w:cstheme="majorHAnsi"/>
        </w:rPr>
        <w:t>7551</w:t>
      </w:r>
      <w:r w:rsidRPr="00880EB1">
        <w:rPr>
          <w:rFonts w:asciiTheme="majorHAnsi" w:hAnsiTheme="majorHAnsi" w:cstheme="majorHAnsi"/>
        </w:rPr>
        <w:t>), 1</w:t>
      </w:r>
      <w:r>
        <w:rPr>
          <w:rFonts w:asciiTheme="majorHAnsi" w:hAnsiTheme="majorHAnsi" w:cstheme="majorHAnsi"/>
        </w:rPr>
        <w:t>.1</w:t>
      </w:r>
      <w:r w:rsidRPr="00880EB1">
        <w:rPr>
          <w:rFonts w:asciiTheme="majorHAnsi" w:hAnsiTheme="majorHAnsi" w:cstheme="majorHAnsi"/>
        </w:rPr>
        <w:t>% (n=</w:t>
      </w:r>
      <w:r>
        <w:rPr>
          <w:rFonts w:asciiTheme="majorHAnsi" w:hAnsiTheme="majorHAnsi" w:cstheme="majorHAnsi"/>
        </w:rPr>
        <w:t>86</w:t>
      </w:r>
      <w:r w:rsidRPr="00880EB1">
        <w:rPr>
          <w:rFonts w:asciiTheme="majorHAnsi" w:hAnsiTheme="majorHAnsi" w:cstheme="majorHAnsi"/>
        </w:rPr>
        <w:t>) students selected “Other” and wrote in a response.</w:t>
      </w:r>
    </w:p>
  </w:footnote>
  <w:footnote w:id="3">
    <w:p w14:paraId="00E27B0F" w14:textId="492CA1A3" w:rsidR="00AB6684" w:rsidRPr="006159A0" w:rsidRDefault="00AB6684">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Of the 266 students who identified as non-binary, 87% (n = 231) were assigned female at birth.</w:t>
      </w:r>
    </w:p>
  </w:footnote>
  <w:footnote w:id="4">
    <w:p w14:paraId="59DFCE99" w14:textId="249BA4DE" w:rsidR="00880EB1" w:rsidRPr="0067739F" w:rsidRDefault="00880EB1">
      <w:pPr>
        <w:pStyle w:val="FootnoteText"/>
        <w:rPr>
          <w:rFonts w:asciiTheme="majorHAnsi" w:hAnsiTheme="majorHAnsi" w:cstheme="majorHAnsi"/>
          <w:lang w:val="en-US"/>
        </w:rPr>
      </w:pPr>
      <w:r w:rsidRPr="0067739F">
        <w:rPr>
          <w:rStyle w:val="FootnoteReference"/>
          <w:rFonts w:asciiTheme="majorHAnsi" w:hAnsiTheme="majorHAnsi" w:cstheme="majorHAnsi"/>
        </w:rPr>
        <w:footnoteRef/>
      </w:r>
      <w:r w:rsidRPr="0067739F">
        <w:rPr>
          <w:rFonts w:asciiTheme="majorHAnsi" w:hAnsiTheme="majorHAnsi" w:cstheme="majorHAnsi"/>
        </w:rPr>
        <w:t xml:space="preserve"> In the survey sample, of all students who responded to the sexual orientation questions (N=7507), 3.1% (n=231) students selected “Other” and wrote in a response.</w:t>
      </w:r>
    </w:p>
  </w:footnote>
  <w:footnote w:id="5">
    <w:p w14:paraId="5F31FF71" w14:textId="49A5D52B" w:rsidR="00A830BE" w:rsidRPr="006159A0" w:rsidRDefault="00A830BE">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See Appendix B for </w:t>
      </w:r>
      <w:r w:rsidR="00FC4DD2" w:rsidRPr="006159A0">
        <w:rPr>
          <w:rFonts w:asciiTheme="majorHAnsi" w:hAnsiTheme="majorHAnsi" w:cstheme="majorHAnsi"/>
        </w:rPr>
        <w:t xml:space="preserve">high school experience </w:t>
      </w:r>
      <w:r w:rsidRPr="006159A0">
        <w:rPr>
          <w:rFonts w:asciiTheme="majorHAnsi" w:hAnsiTheme="majorHAnsi" w:cstheme="majorHAnsi"/>
        </w:rPr>
        <w:t>survey items and summary statistics.</w:t>
      </w:r>
    </w:p>
  </w:footnote>
  <w:footnote w:id="6">
    <w:p w14:paraId="3AB3CDE6" w14:textId="68D6A077" w:rsidR="00342026" w:rsidRPr="006159A0" w:rsidRDefault="00342026">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w:t>
      </w:r>
      <w:r w:rsidR="00E07D1C">
        <w:rPr>
          <w:rFonts w:asciiTheme="majorHAnsi" w:hAnsiTheme="majorHAnsi" w:cstheme="majorHAnsi"/>
        </w:rPr>
        <w:t>For sexual orientation, w</w:t>
      </w:r>
      <w:r w:rsidRPr="006159A0">
        <w:rPr>
          <w:rFonts w:asciiTheme="majorHAnsi" w:hAnsiTheme="majorHAnsi" w:cstheme="majorHAnsi"/>
        </w:rPr>
        <w:t xml:space="preserve">e also estimate </w:t>
      </w:r>
      <w:r w:rsidR="00E07D1C">
        <w:rPr>
          <w:rFonts w:asciiTheme="majorHAnsi" w:hAnsiTheme="majorHAnsi" w:cstheme="majorHAnsi"/>
        </w:rPr>
        <w:t xml:space="preserve">an additional </w:t>
      </w:r>
      <w:r w:rsidRPr="006159A0">
        <w:rPr>
          <w:rFonts w:asciiTheme="majorHAnsi" w:hAnsiTheme="majorHAnsi" w:cstheme="majorHAnsi"/>
        </w:rPr>
        <w:t>specification that controls for assigned sex at birth. See Appendix F for results.</w:t>
      </w:r>
    </w:p>
  </w:footnote>
  <w:footnote w:id="7">
    <w:p w14:paraId="7439B2A4" w14:textId="2D9580B0"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footnote>
  <w:footnote w:id="8">
    <w:p w14:paraId="3EA6E2AC" w14:textId="35913C04" w:rsidR="00984500" w:rsidRPr="003F4E39" w:rsidRDefault="00984500">
      <w:pPr>
        <w:pStyle w:val="FootnoteText"/>
        <w:rPr>
          <w:rFonts w:asciiTheme="majorHAnsi" w:hAnsiTheme="majorHAnsi" w:cstheme="majorHAnsi"/>
          <w:lang w:val="en-US"/>
        </w:rPr>
      </w:pPr>
      <w:r w:rsidRPr="003F4E39">
        <w:rPr>
          <w:rStyle w:val="FootnoteReference"/>
          <w:rFonts w:asciiTheme="majorHAnsi" w:hAnsiTheme="majorHAnsi" w:cstheme="majorHAnsi"/>
        </w:rPr>
        <w:footnoteRef/>
      </w:r>
      <w:r w:rsidRPr="003F4E39">
        <w:rPr>
          <w:rFonts w:asciiTheme="majorHAnsi" w:hAnsiTheme="majorHAnsi" w:cstheme="majorHAnsi"/>
        </w:rPr>
        <w:t xml:space="preserve"> </w:t>
      </w:r>
      <w:r w:rsidR="00392EBF" w:rsidRPr="003F4E39">
        <w:rPr>
          <w:rFonts w:asciiTheme="majorHAnsi" w:hAnsiTheme="majorHAnsi" w:cstheme="majorHAnsi"/>
        </w:rPr>
        <w:t>Our dataset for qualitative analysis includes 346 college-bound high school seniors that identify as transgender, nonbinary, or gender diverse/questioning.</w:t>
      </w:r>
      <w:r w:rsidR="00503037" w:rsidRPr="003F4E39">
        <w:rPr>
          <w:rFonts w:asciiTheme="majorHAnsi" w:hAnsiTheme="majorHAnsi" w:cstheme="majorHAnsi"/>
        </w:rPr>
        <w:t xml:space="preserve"> Summary statistics </w:t>
      </w:r>
      <w:r w:rsidR="003A3DEB" w:rsidRPr="003F4E39">
        <w:rPr>
          <w:rFonts w:asciiTheme="majorHAnsi" w:hAnsiTheme="majorHAnsi" w:cstheme="majorHAnsi"/>
        </w:rPr>
        <w:t>of our qualitative sample can be found in Appendix 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DC11" w14:textId="77777777" w:rsidR="004F595A" w:rsidRDefault="004F595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AE6126" w14:textId="77777777" w:rsidR="004F595A" w:rsidRDefault="004F595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53DF" w14:textId="77777777" w:rsidR="004F595A" w:rsidRPr="00B7033B" w:rsidRDefault="004F595A"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F28"/>
    <w:multiLevelType w:val="hybridMultilevel"/>
    <w:tmpl w:val="C02E374C"/>
    <w:lvl w:ilvl="0" w:tplc="BF86F60E">
      <w:start w:val="1"/>
      <w:numFmt w:val="bullet"/>
      <w:lvlText w:val=""/>
      <w:lvlJc w:val="left"/>
      <w:pPr>
        <w:ind w:left="720" w:hanging="360"/>
      </w:pPr>
      <w:rPr>
        <w:rFonts w:ascii="Symbol" w:hAnsi="Symbol"/>
      </w:rPr>
    </w:lvl>
    <w:lvl w:ilvl="1" w:tplc="0F9650FA">
      <w:start w:val="1"/>
      <w:numFmt w:val="bullet"/>
      <w:lvlText w:val=""/>
      <w:lvlJc w:val="left"/>
      <w:pPr>
        <w:ind w:left="720" w:hanging="360"/>
      </w:pPr>
      <w:rPr>
        <w:rFonts w:ascii="Symbol" w:hAnsi="Symbol"/>
      </w:rPr>
    </w:lvl>
    <w:lvl w:ilvl="2" w:tplc="178A53C2">
      <w:start w:val="1"/>
      <w:numFmt w:val="bullet"/>
      <w:lvlText w:val=""/>
      <w:lvlJc w:val="left"/>
      <w:pPr>
        <w:ind w:left="720" w:hanging="360"/>
      </w:pPr>
      <w:rPr>
        <w:rFonts w:ascii="Symbol" w:hAnsi="Symbol"/>
      </w:rPr>
    </w:lvl>
    <w:lvl w:ilvl="3" w:tplc="B8F2C6D2">
      <w:start w:val="1"/>
      <w:numFmt w:val="bullet"/>
      <w:lvlText w:val=""/>
      <w:lvlJc w:val="left"/>
      <w:pPr>
        <w:ind w:left="720" w:hanging="360"/>
      </w:pPr>
      <w:rPr>
        <w:rFonts w:ascii="Symbol" w:hAnsi="Symbol"/>
      </w:rPr>
    </w:lvl>
    <w:lvl w:ilvl="4" w:tplc="12661100">
      <w:start w:val="1"/>
      <w:numFmt w:val="bullet"/>
      <w:lvlText w:val=""/>
      <w:lvlJc w:val="left"/>
      <w:pPr>
        <w:ind w:left="720" w:hanging="360"/>
      </w:pPr>
      <w:rPr>
        <w:rFonts w:ascii="Symbol" w:hAnsi="Symbol"/>
      </w:rPr>
    </w:lvl>
    <w:lvl w:ilvl="5" w:tplc="81F2B86A">
      <w:start w:val="1"/>
      <w:numFmt w:val="bullet"/>
      <w:lvlText w:val=""/>
      <w:lvlJc w:val="left"/>
      <w:pPr>
        <w:ind w:left="720" w:hanging="360"/>
      </w:pPr>
      <w:rPr>
        <w:rFonts w:ascii="Symbol" w:hAnsi="Symbol"/>
      </w:rPr>
    </w:lvl>
    <w:lvl w:ilvl="6" w:tplc="427C018E">
      <w:start w:val="1"/>
      <w:numFmt w:val="bullet"/>
      <w:lvlText w:val=""/>
      <w:lvlJc w:val="left"/>
      <w:pPr>
        <w:ind w:left="720" w:hanging="360"/>
      </w:pPr>
      <w:rPr>
        <w:rFonts w:ascii="Symbol" w:hAnsi="Symbol"/>
      </w:rPr>
    </w:lvl>
    <w:lvl w:ilvl="7" w:tplc="FD0E93C6">
      <w:start w:val="1"/>
      <w:numFmt w:val="bullet"/>
      <w:lvlText w:val=""/>
      <w:lvlJc w:val="left"/>
      <w:pPr>
        <w:ind w:left="720" w:hanging="360"/>
      </w:pPr>
      <w:rPr>
        <w:rFonts w:ascii="Symbol" w:hAnsi="Symbol"/>
      </w:rPr>
    </w:lvl>
    <w:lvl w:ilvl="8" w:tplc="AAC6F9AA">
      <w:start w:val="1"/>
      <w:numFmt w:val="bullet"/>
      <w:lvlText w:val=""/>
      <w:lvlJc w:val="left"/>
      <w:pPr>
        <w:ind w:left="720" w:hanging="360"/>
      </w:pPr>
      <w:rPr>
        <w:rFonts w:ascii="Symbol" w:hAnsi="Symbol"/>
      </w:rPr>
    </w:lvl>
  </w:abstractNum>
  <w:abstractNum w:abstractNumId="1" w15:restartNumberingAfterBreak="0">
    <w:nsid w:val="13485DC5"/>
    <w:multiLevelType w:val="hybridMultilevel"/>
    <w:tmpl w:val="237A80D0"/>
    <w:lvl w:ilvl="0" w:tplc="35963458">
      <w:start w:val="1"/>
      <w:numFmt w:val="bullet"/>
      <w:lvlText w:val=""/>
      <w:lvlJc w:val="left"/>
      <w:pPr>
        <w:ind w:left="720" w:hanging="360"/>
      </w:pPr>
      <w:rPr>
        <w:rFonts w:ascii="Symbol" w:hAnsi="Symbol"/>
      </w:rPr>
    </w:lvl>
    <w:lvl w:ilvl="1" w:tplc="9E084774">
      <w:start w:val="1"/>
      <w:numFmt w:val="bullet"/>
      <w:lvlText w:val=""/>
      <w:lvlJc w:val="left"/>
      <w:pPr>
        <w:ind w:left="720" w:hanging="360"/>
      </w:pPr>
      <w:rPr>
        <w:rFonts w:ascii="Symbol" w:hAnsi="Symbol"/>
      </w:rPr>
    </w:lvl>
    <w:lvl w:ilvl="2" w:tplc="B07857D6">
      <w:start w:val="1"/>
      <w:numFmt w:val="bullet"/>
      <w:lvlText w:val=""/>
      <w:lvlJc w:val="left"/>
      <w:pPr>
        <w:ind w:left="720" w:hanging="360"/>
      </w:pPr>
      <w:rPr>
        <w:rFonts w:ascii="Symbol" w:hAnsi="Symbol"/>
      </w:rPr>
    </w:lvl>
    <w:lvl w:ilvl="3" w:tplc="33DE463A">
      <w:start w:val="1"/>
      <w:numFmt w:val="bullet"/>
      <w:lvlText w:val=""/>
      <w:lvlJc w:val="left"/>
      <w:pPr>
        <w:ind w:left="720" w:hanging="360"/>
      </w:pPr>
      <w:rPr>
        <w:rFonts w:ascii="Symbol" w:hAnsi="Symbol"/>
      </w:rPr>
    </w:lvl>
    <w:lvl w:ilvl="4" w:tplc="8708CBA2">
      <w:start w:val="1"/>
      <w:numFmt w:val="bullet"/>
      <w:lvlText w:val=""/>
      <w:lvlJc w:val="left"/>
      <w:pPr>
        <w:ind w:left="720" w:hanging="360"/>
      </w:pPr>
      <w:rPr>
        <w:rFonts w:ascii="Symbol" w:hAnsi="Symbol"/>
      </w:rPr>
    </w:lvl>
    <w:lvl w:ilvl="5" w:tplc="85F212BC">
      <w:start w:val="1"/>
      <w:numFmt w:val="bullet"/>
      <w:lvlText w:val=""/>
      <w:lvlJc w:val="left"/>
      <w:pPr>
        <w:ind w:left="720" w:hanging="360"/>
      </w:pPr>
      <w:rPr>
        <w:rFonts w:ascii="Symbol" w:hAnsi="Symbol"/>
      </w:rPr>
    </w:lvl>
    <w:lvl w:ilvl="6" w:tplc="10ACFF32">
      <w:start w:val="1"/>
      <w:numFmt w:val="bullet"/>
      <w:lvlText w:val=""/>
      <w:lvlJc w:val="left"/>
      <w:pPr>
        <w:ind w:left="720" w:hanging="360"/>
      </w:pPr>
      <w:rPr>
        <w:rFonts w:ascii="Symbol" w:hAnsi="Symbol"/>
      </w:rPr>
    </w:lvl>
    <w:lvl w:ilvl="7" w:tplc="E194A766">
      <w:start w:val="1"/>
      <w:numFmt w:val="bullet"/>
      <w:lvlText w:val=""/>
      <w:lvlJc w:val="left"/>
      <w:pPr>
        <w:ind w:left="720" w:hanging="360"/>
      </w:pPr>
      <w:rPr>
        <w:rFonts w:ascii="Symbol" w:hAnsi="Symbol"/>
      </w:rPr>
    </w:lvl>
    <w:lvl w:ilvl="8" w:tplc="98A6C092">
      <w:start w:val="1"/>
      <w:numFmt w:val="bullet"/>
      <w:lvlText w:val=""/>
      <w:lvlJc w:val="left"/>
      <w:pPr>
        <w:ind w:left="720" w:hanging="360"/>
      </w:pPr>
      <w:rPr>
        <w:rFonts w:ascii="Symbol" w:hAnsi="Symbol"/>
      </w:rPr>
    </w:lvl>
  </w:abstractNum>
  <w:abstractNum w:abstractNumId="2" w15:restartNumberingAfterBreak="0">
    <w:nsid w:val="415B095D"/>
    <w:multiLevelType w:val="hybridMultilevel"/>
    <w:tmpl w:val="DF541FCE"/>
    <w:lvl w:ilvl="0" w:tplc="9CE81EE6">
      <w:start w:val="1"/>
      <w:numFmt w:val="bullet"/>
      <w:lvlText w:val=""/>
      <w:lvlJc w:val="left"/>
      <w:pPr>
        <w:ind w:left="720" w:hanging="360"/>
      </w:pPr>
      <w:rPr>
        <w:rFonts w:ascii="Symbol" w:hAnsi="Symbol"/>
      </w:rPr>
    </w:lvl>
    <w:lvl w:ilvl="1" w:tplc="D22EE1AA">
      <w:start w:val="1"/>
      <w:numFmt w:val="bullet"/>
      <w:lvlText w:val=""/>
      <w:lvlJc w:val="left"/>
      <w:pPr>
        <w:ind w:left="720" w:hanging="360"/>
      </w:pPr>
      <w:rPr>
        <w:rFonts w:ascii="Symbol" w:hAnsi="Symbol"/>
      </w:rPr>
    </w:lvl>
    <w:lvl w:ilvl="2" w:tplc="D94E2826">
      <w:start w:val="1"/>
      <w:numFmt w:val="bullet"/>
      <w:lvlText w:val=""/>
      <w:lvlJc w:val="left"/>
      <w:pPr>
        <w:ind w:left="720" w:hanging="360"/>
      </w:pPr>
      <w:rPr>
        <w:rFonts w:ascii="Symbol" w:hAnsi="Symbol"/>
      </w:rPr>
    </w:lvl>
    <w:lvl w:ilvl="3" w:tplc="C6542968">
      <w:start w:val="1"/>
      <w:numFmt w:val="bullet"/>
      <w:lvlText w:val=""/>
      <w:lvlJc w:val="left"/>
      <w:pPr>
        <w:ind w:left="720" w:hanging="360"/>
      </w:pPr>
      <w:rPr>
        <w:rFonts w:ascii="Symbol" w:hAnsi="Symbol"/>
      </w:rPr>
    </w:lvl>
    <w:lvl w:ilvl="4" w:tplc="E38ABBCA">
      <w:start w:val="1"/>
      <w:numFmt w:val="bullet"/>
      <w:lvlText w:val=""/>
      <w:lvlJc w:val="left"/>
      <w:pPr>
        <w:ind w:left="720" w:hanging="360"/>
      </w:pPr>
      <w:rPr>
        <w:rFonts w:ascii="Symbol" w:hAnsi="Symbol"/>
      </w:rPr>
    </w:lvl>
    <w:lvl w:ilvl="5" w:tplc="D10EB742">
      <w:start w:val="1"/>
      <w:numFmt w:val="bullet"/>
      <w:lvlText w:val=""/>
      <w:lvlJc w:val="left"/>
      <w:pPr>
        <w:ind w:left="720" w:hanging="360"/>
      </w:pPr>
      <w:rPr>
        <w:rFonts w:ascii="Symbol" w:hAnsi="Symbol"/>
      </w:rPr>
    </w:lvl>
    <w:lvl w:ilvl="6" w:tplc="F51A8D96">
      <w:start w:val="1"/>
      <w:numFmt w:val="bullet"/>
      <w:lvlText w:val=""/>
      <w:lvlJc w:val="left"/>
      <w:pPr>
        <w:ind w:left="720" w:hanging="360"/>
      </w:pPr>
      <w:rPr>
        <w:rFonts w:ascii="Symbol" w:hAnsi="Symbol"/>
      </w:rPr>
    </w:lvl>
    <w:lvl w:ilvl="7" w:tplc="1882902A">
      <w:start w:val="1"/>
      <w:numFmt w:val="bullet"/>
      <w:lvlText w:val=""/>
      <w:lvlJc w:val="left"/>
      <w:pPr>
        <w:ind w:left="720" w:hanging="360"/>
      </w:pPr>
      <w:rPr>
        <w:rFonts w:ascii="Symbol" w:hAnsi="Symbol"/>
      </w:rPr>
    </w:lvl>
    <w:lvl w:ilvl="8" w:tplc="0240BE38">
      <w:start w:val="1"/>
      <w:numFmt w:val="bullet"/>
      <w:lvlText w:val=""/>
      <w:lvlJc w:val="left"/>
      <w:pPr>
        <w:ind w:left="720" w:hanging="360"/>
      </w:pPr>
      <w:rPr>
        <w:rFonts w:ascii="Symbol" w:hAnsi="Symbol"/>
      </w:rPr>
    </w:lvl>
  </w:abstractNum>
  <w:num w:numId="1" w16cid:durableId="1280331991">
    <w:abstractNumId w:val="0"/>
  </w:num>
  <w:num w:numId="2" w16cid:durableId="167523056">
    <w:abstractNumId w:val="1"/>
  </w:num>
  <w:num w:numId="3" w16cid:durableId="671175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ith Conron">
    <w15:presenceInfo w15:providerId="Windows Live" w15:userId="f1fe59e1c38d45a4"/>
  </w15:person>
  <w15:person w15:author="Alexandria M Hurtt">
    <w15:presenceInfo w15:providerId="AD" w15:userId="S::amhurtt@ucdavis.edu::eb8a14f7-2cbb-47e4-96a1-25169f888a45"/>
  </w15:person>
  <w15:person w15:author="Christina Sun">
    <w15:presenceInfo w15:providerId="AD" w15:userId="S::ucsun@ucdavis.edu::5be2d8b9-4fc5-44a2-9632-34f820d3b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0B66"/>
    <w:rsid w:val="000033F5"/>
    <w:rsid w:val="00015514"/>
    <w:rsid w:val="000169CD"/>
    <w:rsid w:val="00017FA4"/>
    <w:rsid w:val="00020A7C"/>
    <w:rsid w:val="000237D5"/>
    <w:rsid w:val="00023F9C"/>
    <w:rsid w:val="00026236"/>
    <w:rsid w:val="00027FC9"/>
    <w:rsid w:val="000322E6"/>
    <w:rsid w:val="00035D76"/>
    <w:rsid w:val="00036510"/>
    <w:rsid w:val="00037B1F"/>
    <w:rsid w:val="00042D3F"/>
    <w:rsid w:val="00051BD2"/>
    <w:rsid w:val="00051F5E"/>
    <w:rsid w:val="00052592"/>
    <w:rsid w:val="00053FA4"/>
    <w:rsid w:val="000748DC"/>
    <w:rsid w:val="0007674F"/>
    <w:rsid w:val="00077ED0"/>
    <w:rsid w:val="00086211"/>
    <w:rsid w:val="000914AF"/>
    <w:rsid w:val="00092E71"/>
    <w:rsid w:val="0009553C"/>
    <w:rsid w:val="000A1171"/>
    <w:rsid w:val="000B3292"/>
    <w:rsid w:val="000B5235"/>
    <w:rsid w:val="000D0693"/>
    <w:rsid w:val="000D0B08"/>
    <w:rsid w:val="000D1523"/>
    <w:rsid w:val="000D2739"/>
    <w:rsid w:val="000D28ED"/>
    <w:rsid w:val="000D3C0C"/>
    <w:rsid w:val="000D563E"/>
    <w:rsid w:val="000D6415"/>
    <w:rsid w:val="000E3658"/>
    <w:rsid w:val="000E462A"/>
    <w:rsid w:val="000E543C"/>
    <w:rsid w:val="000E5742"/>
    <w:rsid w:val="000E6523"/>
    <w:rsid w:val="000F3816"/>
    <w:rsid w:val="001012D8"/>
    <w:rsid w:val="00103CDD"/>
    <w:rsid w:val="00104C36"/>
    <w:rsid w:val="00105E79"/>
    <w:rsid w:val="00106BF7"/>
    <w:rsid w:val="001112B8"/>
    <w:rsid w:val="001112D6"/>
    <w:rsid w:val="00111EC5"/>
    <w:rsid w:val="001155AA"/>
    <w:rsid w:val="0011781E"/>
    <w:rsid w:val="001210E5"/>
    <w:rsid w:val="00124A2B"/>
    <w:rsid w:val="00126B08"/>
    <w:rsid w:val="001309D9"/>
    <w:rsid w:val="001347BF"/>
    <w:rsid w:val="0013750D"/>
    <w:rsid w:val="0014251B"/>
    <w:rsid w:val="00143DCC"/>
    <w:rsid w:val="00145934"/>
    <w:rsid w:val="0014770C"/>
    <w:rsid w:val="00151F38"/>
    <w:rsid w:val="0015476A"/>
    <w:rsid w:val="001556A4"/>
    <w:rsid w:val="00165E9E"/>
    <w:rsid w:val="001671F8"/>
    <w:rsid w:val="00174480"/>
    <w:rsid w:val="001744EB"/>
    <w:rsid w:val="001751C5"/>
    <w:rsid w:val="00175AEE"/>
    <w:rsid w:val="00185246"/>
    <w:rsid w:val="001869A4"/>
    <w:rsid w:val="001904BF"/>
    <w:rsid w:val="0019183A"/>
    <w:rsid w:val="001928C1"/>
    <w:rsid w:val="00192B96"/>
    <w:rsid w:val="00194C5E"/>
    <w:rsid w:val="001A3877"/>
    <w:rsid w:val="001A3945"/>
    <w:rsid w:val="001A7CAC"/>
    <w:rsid w:val="001B2966"/>
    <w:rsid w:val="001B6F1D"/>
    <w:rsid w:val="001B6FDE"/>
    <w:rsid w:val="001D42A8"/>
    <w:rsid w:val="001D4A5D"/>
    <w:rsid w:val="001D7C72"/>
    <w:rsid w:val="001E374B"/>
    <w:rsid w:val="001E677D"/>
    <w:rsid w:val="001F3275"/>
    <w:rsid w:val="001F54E3"/>
    <w:rsid w:val="001F77F0"/>
    <w:rsid w:val="00212809"/>
    <w:rsid w:val="002142D4"/>
    <w:rsid w:val="002155FA"/>
    <w:rsid w:val="00217897"/>
    <w:rsid w:val="002219EB"/>
    <w:rsid w:val="00221C6C"/>
    <w:rsid w:val="002254D9"/>
    <w:rsid w:val="00230904"/>
    <w:rsid w:val="00230D0C"/>
    <w:rsid w:val="00236227"/>
    <w:rsid w:val="002370B0"/>
    <w:rsid w:val="00241FA1"/>
    <w:rsid w:val="00250061"/>
    <w:rsid w:val="00250791"/>
    <w:rsid w:val="00254931"/>
    <w:rsid w:val="00255044"/>
    <w:rsid w:val="002574AE"/>
    <w:rsid w:val="00262B50"/>
    <w:rsid w:val="00265029"/>
    <w:rsid w:val="00266684"/>
    <w:rsid w:val="00270787"/>
    <w:rsid w:val="00272EB8"/>
    <w:rsid w:val="00273D94"/>
    <w:rsid w:val="00276F3E"/>
    <w:rsid w:val="002777E5"/>
    <w:rsid w:val="002874B6"/>
    <w:rsid w:val="0029447E"/>
    <w:rsid w:val="002A0567"/>
    <w:rsid w:val="002A1697"/>
    <w:rsid w:val="002A3357"/>
    <w:rsid w:val="002B2BA4"/>
    <w:rsid w:val="002B5068"/>
    <w:rsid w:val="002B7988"/>
    <w:rsid w:val="002C4513"/>
    <w:rsid w:val="002C4A47"/>
    <w:rsid w:val="002C5D16"/>
    <w:rsid w:val="002D5B3F"/>
    <w:rsid w:val="002D762A"/>
    <w:rsid w:val="002D7717"/>
    <w:rsid w:val="002E37A5"/>
    <w:rsid w:val="002F2DE1"/>
    <w:rsid w:val="002F6979"/>
    <w:rsid w:val="002F724A"/>
    <w:rsid w:val="003018AE"/>
    <w:rsid w:val="0030238F"/>
    <w:rsid w:val="00310E5F"/>
    <w:rsid w:val="00311ECC"/>
    <w:rsid w:val="00313BFB"/>
    <w:rsid w:val="00314BD8"/>
    <w:rsid w:val="003202AF"/>
    <w:rsid w:val="00321FF7"/>
    <w:rsid w:val="00331823"/>
    <w:rsid w:val="00342026"/>
    <w:rsid w:val="00344288"/>
    <w:rsid w:val="00350E20"/>
    <w:rsid w:val="00352836"/>
    <w:rsid w:val="00352A29"/>
    <w:rsid w:val="00357E81"/>
    <w:rsid w:val="00362528"/>
    <w:rsid w:val="00362AF0"/>
    <w:rsid w:val="00366050"/>
    <w:rsid w:val="003679AD"/>
    <w:rsid w:val="00374686"/>
    <w:rsid w:val="0037558D"/>
    <w:rsid w:val="00375DDC"/>
    <w:rsid w:val="003803B1"/>
    <w:rsid w:val="003837D1"/>
    <w:rsid w:val="00384B22"/>
    <w:rsid w:val="00387714"/>
    <w:rsid w:val="00390EAB"/>
    <w:rsid w:val="003910DB"/>
    <w:rsid w:val="0039239C"/>
    <w:rsid w:val="00392EBF"/>
    <w:rsid w:val="00393D00"/>
    <w:rsid w:val="00394CC0"/>
    <w:rsid w:val="00394E3A"/>
    <w:rsid w:val="003A0903"/>
    <w:rsid w:val="003A3DEB"/>
    <w:rsid w:val="003A42F3"/>
    <w:rsid w:val="003A491C"/>
    <w:rsid w:val="003A5B6B"/>
    <w:rsid w:val="003B06A8"/>
    <w:rsid w:val="003B071D"/>
    <w:rsid w:val="003B34CD"/>
    <w:rsid w:val="003C4DCF"/>
    <w:rsid w:val="003D2338"/>
    <w:rsid w:val="003D5B76"/>
    <w:rsid w:val="003E0C04"/>
    <w:rsid w:val="003E24BC"/>
    <w:rsid w:val="003E369C"/>
    <w:rsid w:val="003F0AAB"/>
    <w:rsid w:val="003F106B"/>
    <w:rsid w:val="003F369F"/>
    <w:rsid w:val="003F3EC9"/>
    <w:rsid w:val="003F4AB9"/>
    <w:rsid w:val="003F4E39"/>
    <w:rsid w:val="003F58D7"/>
    <w:rsid w:val="0040314D"/>
    <w:rsid w:val="00405435"/>
    <w:rsid w:val="004172C6"/>
    <w:rsid w:val="00417D67"/>
    <w:rsid w:val="00417EEC"/>
    <w:rsid w:val="00420934"/>
    <w:rsid w:val="004227E9"/>
    <w:rsid w:val="00425BD3"/>
    <w:rsid w:val="004273E8"/>
    <w:rsid w:val="00432929"/>
    <w:rsid w:val="004376E6"/>
    <w:rsid w:val="00440F3B"/>
    <w:rsid w:val="00445136"/>
    <w:rsid w:val="00446022"/>
    <w:rsid w:val="00446122"/>
    <w:rsid w:val="004538EF"/>
    <w:rsid w:val="0045490E"/>
    <w:rsid w:val="00461B8A"/>
    <w:rsid w:val="00463ED8"/>
    <w:rsid w:val="00464A5D"/>
    <w:rsid w:val="00474071"/>
    <w:rsid w:val="0048264A"/>
    <w:rsid w:val="00482F21"/>
    <w:rsid w:val="004850FD"/>
    <w:rsid w:val="00487CAD"/>
    <w:rsid w:val="004904B4"/>
    <w:rsid w:val="00493EB0"/>
    <w:rsid w:val="00495487"/>
    <w:rsid w:val="00496A39"/>
    <w:rsid w:val="004A614C"/>
    <w:rsid w:val="004B10E6"/>
    <w:rsid w:val="004B2EB4"/>
    <w:rsid w:val="004B324A"/>
    <w:rsid w:val="004B53C1"/>
    <w:rsid w:val="004B62AC"/>
    <w:rsid w:val="004B7BF1"/>
    <w:rsid w:val="004C0D98"/>
    <w:rsid w:val="004C3687"/>
    <w:rsid w:val="004C4FA9"/>
    <w:rsid w:val="004C6033"/>
    <w:rsid w:val="004C7F34"/>
    <w:rsid w:val="004D5A62"/>
    <w:rsid w:val="004D5CCC"/>
    <w:rsid w:val="004D71F4"/>
    <w:rsid w:val="004E144C"/>
    <w:rsid w:val="004E1974"/>
    <w:rsid w:val="004E19F8"/>
    <w:rsid w:val="004E63AC"/>
    <w:rsid w:val="004F54A0"/>
    <w:rsid w:val="004F595A"/>
    <w:rsid w:val="004F689A"/>
    <w:rsid w:val="004F7888"/>
    <w:rsid w:val="005020ED"/>
    <w:rsid w:val="00503037"/>
    <w:rsid w:val="0050784F"/>
    <w:rsid w:val="00510B0E"/>
    <w:rsid w:val="005111F0"/>
    <w:rsid w:val="005211ED"/>
    <w:rsid w:val="0053033F"/>
    <w:rsid w:val="00535C93"/>
    <w:rsid w:val="00544F73"/>
    <w:rsid w:val="00545C96"/>
    <w:rsid w:val="005466B8"/>
    <w:rsid w:val="00550359"/>
    <w:rsid w:val="005627F6"/>
    <w:rsid w:val="005649F0"/>
    <w:rsid w:val="005747E9"/>
    <w:rsid w:val="00580B3A"/>
    <w:rsid w:val="00582442"/>
    <w:rsid w:val="005834E6"/>
    <w:rsid w:val="0058735A"/>
    <w:rsid w:val="00590810"/>
    <w:rsid w:val="00595D34"/>
    <w:rsid w:val="00597E4E"/>
    <w:rsid w:val="005B3F0E"/>
    <w:rsid w:val="005B675C"/>
    <w:rsid w:val="005C029B"/>
    <w:rsid w:val="005C1AB6"/>
    <w:rsid w:val="005D0E46"/>
    <w:rsid w:val="005D2EC2"/>
    <w:rsid w:val="005E0AD3"/>
    <w:rsid w:val="005E4681"/>
    <w:rsid w:val="005E7BAE"/>
    <w:rsid w:val="005F5DF3"/>
    <w:rsid w:val="00601833"/>
    <w:rsid w:val="00602BF5"/>
    <w:rsid w:val="00604FC1"/>
    <w:rsid w:val="0060540B"/>
    <w:rsid w:val="00607D58"/>
    <w:rsid w:val="006159A0"/>
    <w:rsid w:val="00617DE8"/>
    <w:rsid w:val="006208F2"/>
    <w:rsid w:val="00633B98"/>
    <w:rsid w:val="00634828"/>
    <w:rsid w:val="006348D1"/>
    <w:rsid w:val="006366C4"/>
    <w:rsid w:val="0064192A"/>
    <w:rsid w:val="0064364C"/>
    <w:rsid w:val="00645F1A"/>
    <w:rsid w:val="00647623"/>
    <w:rsid w:val="00653104"/>
    <w:rsid w:val="00654EC3"/>
    <w:rsid w:val="006573EF"/>
    <w:rsid w:val="006574E9"/>
    <w:rsid w:val="00657A21"/>
    <w:rsid w:val="00662874"/>
    <w:rsid w:val="00662A97"/>
    <w:rsid w:val="00663A3D"/>
    <w:rsid w:val="00665CCD"/>
    <w:rsid w:val="0067739F"/>
    <w:rsid w:val="00682C86"/>
    <w:rsid w:val="00686688"/>
    <w:rsid w:val="006876EC"/>
    <w:rsid w:val="00693DF5"/>
    <w:rsid w:val="006A4E85"/>
    <w:rsid w:val="006B0DB1"/>
    <w:rsid w:val="006B4158"/>
    <w:rsid w:val="006C2CB5"/>
    <w:rsid w:val="006C6F02"/>
    <w:rsid w:val="006C73E7"/>
    <w:rsid w:val="006C785A"/>
    <w:rsid w:val="006C7BD3"/>
    <w:rsid w:val="006C7D98"/>
    <w:rsid w:val="006D380F"/>
    <w:rsid w:val="006E0A3B"/>
    <w:rsid w:val="006E705A"/>
    <w:rsid w:val="006F0A64"/>
    <w:rsid w:val="006F10ED"/>
    <w:rsid w:val="006F1410"/>
    <w:rsid w:val="007016FB"/>
    <w:rsid w:val="00701B02"/>
    <w:rsid w:val="00702DF8"/>
    <w:rsid w:val="00705159"/>
    <w:rsid w:val="00706FFC"/>
    <w:rsid w:val="0070708C"/>
    <w:rsid w:val="007113D8"/>
    <w:rsid w:val="00712F59"/>
    <w:rsid w:val="007155FC"/>
    <w:rsid w:val="007163AD"/>
    <w:rsid w:val="0071788A"/>
    <w:rsid w:val="007201EA"/>
    <w:rsid w:val="00720CA8"/>
    <w:rsid w:val="00721407"/>
    <w:rsid w:val="00721B16"/>
    <w:rsid w:val="0072235C"/>
    <w:rsid w:val="007237DF"/>
    <w:rsid w:val="0072561E"/>
    <w:rsid w:val="0073266D"/>
    <w:rsid w:val="00735625"/>
    <w:rsid w:val="007460BD"/>
    <w:rsid w:val="00747932"/>
    <w:rsid w:val="00760288"/>
    <w:rsid w:val="00760D29"/>
    <w:rsid w:val="00760D5E"/>
    <w:rsid w:val="0076150D"/>
    <w:rsid w:val="0077159A"/>
    <w:rsid w:val="00774CA6"/>
    <w:rsid w:val="00781E73"/>
    <w:rsid w:val="00784751"/>
    <w:rsid w:val="00790F46"/>
    <w:rsid w:val="00795A7A"/>
    <w:rsid w:val="0079716B"/>
    <w:rsid w:val="0079743E"/>
    <w:rsid w:val="0079748E"/>
    <w:rsid w:val="007A1126"/>
    <w:rsid w:val="007A58EC"/>
    <w:rsid w:val="007C0890"/>
    <w:rsid w:val="007C3F1C"/>
    <w:rsid w:val="007C59E9"/>
    <w:rsid w:val="007C5D8A"/>
    <w:rsid w:val="007C6E5C"/>
    <w:rsid w:val="007C7EFC"/>
    <w:rsid w:val="007D03E9"/>
    <w:rsid w:val="007D0BCA"/>
    <w:rsid w:val="007D0DE1"/>
    <w:rsid w:val="007D7255"/>
    <w:rsid w:val="007E04A4"/>
    <w:rsid w:val="007E2061"/>
    <w:rsid w:val="007E466E"/>
    <w:rsid w:val="007F189C"/>
    <w:rsid w:val="007F3CDA"/>
    <w:rsid w:val="0080255B"/>
    <w:rsid w:val="00807711"/>
    <w:rsid w:val="0081361A"/>
    <w:rsid w:val="00814844"/>
    <w:rsid w:val="00816094"/>
    <w:rsid w:val="0082334F"/>
    <w:rsid w:val="0082372B"/>
    <w:rsid w:val="00824E21"/>
    <w:rsid w:val="00833625"/>
    <w:rsid w:val="0083475E"/>
    <w:rsid w:val="00844C8C"/>
    <w:rsid w:val="00845B7A"/>
    <w:rsid w:val="008542DA"/>
    <w:rsid w:val="00855ABD"/>
    <w:rsid w:val="008603AB"/>
    <w:rsid w:val="00864233"/>
    <w:rsid w:val="0086743B"/>
    <w:rsid w:val="00871AA2"/>
    <w:rsid w:val="00873C71"/>
    <w:rsid w:val="00875048"/>
    <w:rsid w:val="00880EB1"/>
    <w:rsid w:val="0088325E"/>
    <w:rsid w:val="00884880"/>
    <w:rsid w:val="008849FD"/>
    <w:rsid w:val="00887134"/>
    <w:rsid w:val="00887500"/>
    <w:rsid w:val="00896CB9"/>
    <w:rsid w:val="008973DC"/>
    <w:rsid w:val="008A166E"/>
    <w:rsid w:val="008A2B79"/>
    <w:rsid w:val="008A352A"/>
    <w:rsid w:val="008A7BC5"/>
    <w:rsid w:val="008B078D"/>
    <w:rsid w:val="008B11B3"/>
    <w:rsid w:val="008B44F7"/>
    <w:rsid w:val="008B58AB"/>
    <w:rsid w:val="008D55E1"/>
    <w:rsid w:val="008D6262"/>
    <w:rsid w:val="008D67BD"/>
    <w:rsid w:val="008D6E11"/>
    <w:rsid w:val="008E4305"/>
    <w:rsid w:val="008E6925"/>
    <w:rsid w:val="008E71FD"/>
    <w:rsid w:val="008F157A"/>
    <w:rsid w:val="00903635"/>
    <w:rsid w:val="00906CF7"/>
    <w:rsid w:val="00907F1D"/>
    <w:rsid w:val="00910F2C"/>
    <w:rsid w:val="00911AA2"/>
    <w:rsid w:val="00911B49"/>
    <w:rsid w:val="009225AC"/>
    <w:rsid w:val="009253B7"/>
    <w:rsid w:val="009270C3"/>
    <w:rsid w:val="00927E13"/>
    <w:rsid w:val="009323B6"/>
    <w:rsid w:val="00933522"/>
    <w:rsid w:val="009406F5"/>
    <w:rsid w:val="00940701"/>
    <w:rsid w:val="00941C67"/>
    <w:rsid w:val="0094783A"/>
    <w:rsid w:val="00952685"/>
    <w:rsid w:val="00953074"/>
    <w:rsid w:val="0096474B"/>
    <w:rsid w:val="009724F6"/>
    <w:rsid w:val="0097514D"/>
    <w:rsid w:val="009757F3"/>
    <w:rsid w:val="00975D6B"/>
    <w:rsid w:val="009820F8"/>
    <w:rsid w:val="00984500"/>
    <w:rsid w:val="009908FB"/>
    <w:rsid w:val="009914E0"/>
    <w:rsid w:val="00997774"/>
    <w:rsid w:val="009A3F5F"/>
    <w:rsid w:val="009A52C2"/>
    <w:rsid w:val="009B0C4D"/>
    <w:rsid w:val="009B0E72"/>
    <w:rsid w:val="009B4B34"/>
    <w:rsid w:val="009C1F75"/>
    <w:rsid w:val="009C3566"/>
    <w:rsid w:val="009C3732"/>
    <w:rsid w:val="009C5B1D"/>
    <w:rsid w:val="009C6697"/>
    <w:rsid w:val="009C67D5"/>
    <w:rsid w:val="009D04CC"/>
    <w:rsid w:val="009D61CE"/>
    <w:rsid w:val="009D6203"/>
    <w:rsid w:val="009E2CBB"/>
    <w:rsid w:val="009E31BA"/>
    <w:rsid w:val="00A00541"/>
    <w:rsid w:val="00A047E7"/>
    <w:rsid w:val="00A06A4E"/>
    <w:rsid w:val="00A15A40"/>
    <w:rsid w:val="00A15F92"/>
    <w:rsid w:val="00A219C7"/>
    <w:rsid w:val="00A21E56"/>
    <w:rsid w:val="00A2442D"/>
    <w:rsid w:val="00A439C5"/>
    <w:rsid w:val="00A45E5F"/>
    <w:rsid w:val="00A47DDA"/>
    <w:rsid w:val="00A513AE"/>
    <w:rsid w:val="00A52813"/>
    <w:rsid w:val="00A62CE9"/>
    <w:rsid w:val="00A62F47"/>
    <w:rsid w:val="00A671BA"/>
    <w:rsid w:val="00A675D0"/>
    <w:rsid w:val="00A70364"/>
    <w:rsid w:val="00A739D5"/>
    <w:rsid w:val="00A830BE"/>
    <w:rsid w:val="00A865D7"/>
    <w:rsid w:val="00A87367"/>
    <w:rsid w:val="00A92169"/>
    <w:rsid w:val="00A9670E"/>
    <w:rsid w:val="00AA0A12"/>
    <w:rsid w:val="00AA5F8C"/>
    <w:rsid w:val="00AA7AF1"/>
    <w:rsid w:val="00AA7EE7"/>
    <w:rsid w:val="00AB1749"/>
    <w:rsid w:val="00AB4825"/>
    <w:rsid w:val="00AB52BD"/>
    <w:rsid w:val="00AB5F7D"/>
    <w:rsid w:val="00AB6684"/>
    <w:rsid w:val="00AB6C85"/>
    <w:rsid w:val="00AB77EF"/>
    <w:rsid w:val="00AC1C99"/>
    <w:rsid w:val="00AC2DF1"/>
    <w:rsid w:val="00AC4D17"/>
    <w:rsid w:val="00AC677D"/>
    <w:rsid w:val="00AD0857"/>
    <w:rsid w:val="00AD5623"/>
    <w:rsid w:val="00AD56CA"/>
    <w:rsid w:val="00AF71DB"/>
    <w:rsid w:val="00B044BB"/>
    <w:rsid w:val="00B10156"/>
    <w:rsid w:val="00B122C0"/>
    <w:rsid w:val="00B1501E"/>
    <w:rsid w:val="00B159D3"/>
    <w:rsid w:val="00B217B3"/>
    <w:rsid w:val="00B26E7A"/>
    <w:rsid w:val="00B27311"/>
    <w:rsid w:val="00B342DF"/>
    <w:rsid w:val="00B3582A"/>
    <w:rsid w:val="00B4412A"/>
    <w:rsid w:val="00B44B4B"/>
    <w:rsid w:val="00B5048B"/>
    <w:rsid w:val="00B5297B"/>
    <w:rsid w:val="00B55EDB"/>
    <w:rsid w:val="00B568DE"/>
    <w:rsid w:val="00B61F67"/>
    <w:rsid w:val="00B621E1"/>
    <w:rsid w:val="00B639E1"/>
    <w:rsid w:val="00B64424"/>
    <w:rsid w:val="00B7033B"/>
    <w:rsid w:val="00B719F1"/>
    <w:rsid w:val="00B729F0"/>
    <w:rsid w:val="00B83242"/>
    <w:rsid w:val="00B85FBC"/>
    <w:rsid w:val="00B90A35"/>
    <w:rsid w:val="00B91C80"/>
    <w:rsid w:val="00B96616"/>
    <w:rsid w:val="00B96EA0"/>
    <w:rsid w:val="00B978AA"/>
    <w:rsid w:val="00BA03EC"/>
    <w:rsid w:val="00BA47D2"/>
    <w:rsid w:val="00BB02DC"/>
    <w:rsid w:val="00BB074D"/>
    <w:rsid w:val="00BB3EA1"/>
    <w:rsid w:val="00BC2EB0"/>
    <w:rsid w:val="00BC5DD4"/>
    <w:rsid w:val="00BC6CDA"/>
    <w:rsid w:val="00BD041A"/>
    <w:rsid w:val="00BD3767"/>
    <w:rsid w:val="00BD3D1B"/>
    <w:rsid w:val="00BD5226"/>
    <w:rsid w:val="00BD732D"/>
    <w:rsid w:val="00BE4286"/>
    <w:rsid w:val="00BE5299"/>
    <w:rsid w:val="00BE6A6B"/>
    <w:rsid w:val="00BF0A8F"/>
    <w:rsid w:val="00BF1ABC"/>
    <w:rsid w:val="00C01824"/>
    <w:rsid w:val="00C02F9A"/>
    <w:rsid w:val="00C06DAA"/>
    <w:rsid w:val="00C15444"/>
    <w:rsid w:val="00C179F7"/>
    <w:rsid w:val="00C2121F"/>
    <w:rsid w:val="00C25A1D"/>
    <w:rsid w:val="00C27BCA"/>
    <w:rsid w:val="00C340FD"/>
    <w:rsid w:val="00C4237A"/>
    <w:rsid w:val="00C428F3"/>
    <w:rsid w:val="00C43786"/>
    <w:rsid w:val="00C4541C"/>
    <w:rsid w:val="00C45C7E"/>
    <w:rsid w:val="00C514B3"/>
    <w:rsid w:val="00C545D3"/>
    <w:rsid w:val="00C60F71"/>
    <w:rsid w:val="00C64491"/>
    <w:rsid w:val="00C65C0D"/>
    <w:rsid w:val="00C706AE"/>
    <w:rsid w:val="00C7527B"/>
    <w:rsid w:val="00C81359"/>
    <w:rsid w:val="00C92FC2"/>
    <w:rsid w:val="00C93586"/>
    <w:rsid w:val="00C93A68"/>
    <w:rsid w:val="00C9417F"/>
    <w:rsid w:val="00C974F4"/>
    <w:rsid w:val="00CA42B3"/>
    <w:rsid w:val="00CB2295"/>
    <w:rsid w:val="00CB5315"/>
    <w:rsid w:val="00CB661C"/>
    <w:rsid w:val="00CC5F7E"/>
    <w:rsid w:val="00CD06C1"/>
    <w:rsid w:val="00CD5298"/>
    <w:rsid w:val="00CE2C8D"/>
    <w:rsid w:val="00CE4D50"/>
    <w:rsid w:val="00D05A55"/>
    <w:rsid w:val="00D065EC"/>
    <w:rsid w:val="00D103FB"/>
    <w:rsid w:val="00D17577"/>
    <w:rsid w:val="00D24599"/>
    <w:rsid w:val="00D2469C"/>
    <w:rsid w:val="00D26090"/>
    <w:rsid w:val="00D26BAA"/>
    <w:rsid w:val="00D3396C"/>
    <w:rsid w:val="00D36A68"/>
    <w:rsid w:val="00D404BA"/>
    <w:rsid w:val="00D4227E"/>
    <w:rsid w:val="00D4360C"/>
    <w:rsid w:val="00D5066E"/>
    <w:rsid w:val="00D51A42"/>
    <w:rsid w:val="00D545DB"/>
    <w:rsid w:val="00D5548E"/>
    <w:rsid w:val="00D63F44"/>
    <w:rsid w:val="00D644EE"/>
    <w:rsid w:val="00D70A5E"/>
    <w:rsid w:val="00D720F2"/>
    <w:rsid w:val="00D72D44"/>
    <w:rsid w:val="00D83587"/>
    <w:rsid w:val="00D83847"/>
    <w:rsid w:val="00D84443"/>
    <w:rsid w:val="00D8649D"/>
    <w:rsid w:val="00D9157E"/>
    <w:rsid w:val="00D9455B"/>
    <w:rsid w:val="00DA2AB1"/>
    <w:rsid w:val="00DA5179"/>
    <w:rsid w:val="00DA56E8"/>
    <w:rsid w:val="00DA6246"/>
    <w:rsid w:val="00DB17D3"/>
    <w:rsid w:val="00DC08B8"/>
    <w:rsid w:val="00DD1600"/>
    <w:rsid w:val="00DD462C"/>
    <w:rsid w:val="00DD6BD5"/>
    <w:rsid w:val="00DE0178"/>
    <w:rsid w:val="00DE7454"/>
    <w:rsid w:val="00E0737D"/>
    <w:rsid w:val="00E07D1C"/>
    <w:rsid w:val="00E12CB8"/>
    <w:rsid w:val="00E1461D"/>
    <w:rsid w:val="00E21CE0"/>
    <w:rsid w:val="00E24423"/>
    <w:rsid w:val="00E2614B"/>
    <w:rsid w:val="00E32A0E"/>
    <w:rsid w:val="00E332EB"/>
    <w:rsid w:val="00E34B1E"/>
    <w:rsid w:val="00E36B38"/>
    <w:rsid w:val="00E37BD4"/>
    <w:rsid w:val="00E40F58"/>
    <w:rsid w:val="00E45A99"/>
    <w:rsid w:val="00E45E80"/>
    <w:rsid w:val="00E51FB2"/>
    <w:rsid w:val="00E53902"/>
    <w:rsid w:val="00E560DB"/>
    <w:rsid w:val="00E5640F"/>
    <w:rsid w:val="00E627CB"/>
    <w:rsid w:val="00E630CE"/>
    <w:rsid w:val="00E63866"/>
    <w:rsid w:val="00E6692B"/>
    <w:rsid w:val="00E72B2A"/>
    <w:rsid w:val="00E907B1"/>
    <w:rsid w:val="00E9640D"/>
    <w:rsid w:val="00E96C66"/>
    <w:rsid w:val="00E96C7A"/>
    <w:rsid w:val="00E97A5A"/>
    <w:rsid w:val="00E97DBA"/>
    <w:rsid w:val="00EA129E"/>
    <w:rsid w:val="00EA272D"/>
    <w:rsid w:val="00EA2997"/>
    <w:rsid w:val="00EA3D8D"/>
    <w:rsid w:val="00EA7D12"/>
    <w:rsid w:val="00EB2F6E"/>
    <w:rsid w:val="00EB3E9C"/>
    <w:rsid w:val="00EC0E6B"/>
    <w:rsid w:val="00EC1B3C"/>
    <w:rsid w:val="00EC1DA0"/>
    <w:rsid w:val="00EC2BD2"/>
    <w:rsid w:val="00EC3EA2"/>
    <w:rsid w:val="00ED55AE"/>
    <w:rsid w:val="00ED7D72"/>
    <w:rsid w:val="00EE4953"/>
    <w:rsid w:val="00EE4EDD"/>
    <w:rsid w:val="00EE52F6"/>
    <w:rsid w:val="00EE6956"/>
    <w:rsid w:val="00EF1E41"/>
    <w:rsid w:val="00EF23EA"/>
    <w:rsid w:val="00EF6E80"/>
    <w:rsid w:val="00F007C2"/>
    <w:rsid w:val="00F020B7"/>
    <w:rsid w:val="00F06AC4"/>
    <w:rsid w:val="00F10C9A"/>
    <w:rsid w:val="00F16ACD"/>
    <w:rsid w:val="00F254FF"/>
    <w:rsid w:val="00F30BC1"/>
    <w:rsid w:val="00F33C46"/>
    <w:rsid w:val="00F343D0"/>
    <w:rsid w:val="00F35C97"/>
    <w:rsid w:val="00F369F4"/>
    <w:rsid w:val="00F372CF"/>
    <w:rsid w:val="00F409A8"/>
    <w:rsid w:val="00F432F8"/>
    <w:rsid w:val="00F44101"/>
    <w:rsid w:val="00F543BE"/>
    <w:rsid w:val="00F611B6"/>
    <w:rsid w:val="00F63976"/>
    <w:rsid w:val="00F6496F"/>
    <w:rsid w:val="00F77366"/>
    <w:rsid w:val="00F822A9"/>
    <w:rsid w:val="00F9213E"/>
    <w:rsid w:val="00F92C80"/>
    <w:rsid w:val="00F95546"/>
    <w:rsid w:val="00FA4A1F"/>
    <w:rsid w:val="00FA71B4"/>
    <w:rsid w:val="00FB083D"/>
    <w:rsid w:val="00FB1D8E"/>
    <w:rsid w:val="00FB31EE"/>
    <w:rsid w:val="00FC01E1"/>
    <w:rsid w:val="00FC36A5"/>
    <w:rsid w:val="00FC4653"/>
    <w:rsid w:val="00FC4DD2"/>
    <w:rsid w:val="00FD530A"/>
    <w:rsid w:val="00FD5AED"/>
    <w:rsid w:val="00FE234E"/>
    <w:rsid w:val="00FF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F7"/>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unhideWhenUsed/>
    <w:rsid w:val="00B729F0"/>
    <w:rPr>
      <w:sz w:val="20"/>
      <w:szCs w:val="20"/>
    </w:rPr>
  </w:style>
  <w:style w:type="character" w:customStyle="1" w:styleId="CommentTextChar">
    <w:name w:val="Comment Text Char"/>
    <w:basedOn w:val="DefaultParagraphFont"/>
    <w:link w:val="CommentText"/>
    <w:uiPriority w:val="99"/>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 w:type="character" w:styleId="LineNumber">
    <w:name w:val="line number"/>
    <w:basedOn w:val="DefaultParagraphFont"/>
    <w:uiPriority w:val="99"/>
    <w:semiHidden/>
    <w:unhideWhenUsed/>
    <w:rsid w:val="0011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calschls.org/reports-data/public-dashboards/" TargetMode="External"/><Relationship Id="rId2" Type="http://schemas.openxmlformats.org/officeDocument/2006/relationships/hyperlink" Target="https://williamsinstitute.law.ucla.edu/publications/transgender-higher-ed/" TargetMode="External"/><Relationship Id="rId1" Type="http://schemas.openxmlformats.org/officeDocument/2006/relationships/hyperlink" Target="https://williamsinstitute.law.ucla.edu/projects/higher-education/"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10.png"/><Relationship Id="rId42" Type="http://schemas.openxmlformats.org/officeDocument/2006/relationships/hyperlink" Target="https://vc.bridgew.edu/jiws/vol13/iss2/3" TargetMode="External"/><Relationship Id="rId47" Type="http://schemas.openxmlformats.org/officeDocument/2006/relationships/hyperlink" Target="https://doi.org/10.1177/%2007435584211000315" TargetMode="External"/><Relationship Id="rId63" Type="http://schemas.openxmlformats.org/officeDocument/2006/relationships/hyperlink" Target="https://doi.org/10.1037/sgd0000132" TargetMode="External"/><Relationship Id="rId68" Type="http://schemas.openxmlformats.org/officeDocument/2006/relationships/hyperlink" Target="https://doi.org/10.2307/1170786" TargetMode="External"/><Relationship Id="rId84" Type="http://schemas.openxmlformats.org/officeDocument/2006/relationships/hyperlink" Target="https://doi.org/10.1126/science.1198364" TargetMode="External"/><Relationship Id="rId89" Type="http://schemas.openxmlformats.org/officeDocument/2006/relationships/image" Target="media/image14.png"/><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hyperlink" Target="https://doi.org/10.1037/a0027180" TargetMode="External"/><Relationship Id="rId37" Type="http://schemas.openxmlformats.org/officeDocument/2006/relationships/hyperlink" Target="https://doi.org/10.1111/j.1532-7795.2010.00725.x" TargetMode="External"/><Relationship Id="rId53" Type="http://schemas.openxmlformats.org/officeDocument/2006/relationships/hyperlink" Target="https://doi.org/10.1007/s13394-020-00356-5" TargetMode="External"/><Relationship Id="rId58" Type="http://schemas.openxmlformats.org/officeDocument/2006/relationships/hyperlink" Target="https://doi.org/10.1080/19361653.2023.2264830" TargetMode="External"/><Relationship Id="rId74" Type="http://schemas.openxmlformats.org/officeDocument/2006/relationships/hyperlink" Target="https://doi.org/10.1080/19419899.2010.534490" TargetMode="External"/><Relationship Id="rId79" Type="http://schemas.openxmlformats.org/officeDocument/2006/relationships/hyperlink" Target="https://www.heri.ucla.edu/monographs/TheAmericanFreshman2019.pdf" TargetMode="External"/><Relationship Id="rId102" Type="http://schemas.openxmlformats.org/officeDocument/2006/relationships/image" Target="media/image27.png"/><Relationship Id="rId5" Type="http://schemas.openxmlformats.org/officeDocument/2006/relationships/webSettings" Target="webSettings.xml"/><Relationship Id="rId90" Type="http://schemas.openxmlformats.org/officeDocument/2006/relationships/image" Target="media/image15.png"/><Relationship Id="rId95" Type="http://schemas.openxmlformats.org/officeDocument/2006/relationships/image" Target="media/image20.png"/><Relationship Id="rId22" Type="http://schemas.openxmlformats.org/officeDocument/2006/relationships/image" Target="media/image11.png"/><Relationship Id="rId27" Type="http://schemas.openxmlformats.org/officeDocument/2006/relationships/hyperlink" Target="https://doi.org/%2010.1007/s12552-015-9146-5" TargetMode="External"/><Relationship Id="rId43" Type="http://schemas.openxmlformats.org/officeDocument/2006/relationships/hyperlink" Target="https://doi.org/10.1037/sgd0000131" TargetMode="External"/><Relationship Id="rId48" Type="http://schemas.openxmlformats.org/officeDocument/2006/relationships/hyperlink" Target="https://doi.org/%2010.1007/s10826-018-1168-3" TargetMode="External"/><Relationship Id="rId64" Type="http://schemas.openxmlformats.org/officeDocument/2006/relationships/hyperlink" Target="https://doi.org/10.1177/2167696812469187" TargetMode="External"/><Relationship Id="rId69" Type="http://schemas.openxmlformats.org/officeDocument/2006/relationships/hyperlink" Target="https://doi.org/10.1080/13613324.2021.1890561" TargetMode="External"/><Relationship Id="rId80" Type="http://schemas.openxmlformats.org/officeDocument/2006/relationships/hyperlink" Target="https://doi.org/10.1177/016146811812000407" TargetMode="External"/><Relationship Id="rId85" Type="http://schemas.openxmlformats.org/officeDocument/2006/relationships/hyperlink" Target="https://doi.org/10.1111/jora.12488"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11/j.1540-6237.2008.00587.x" TargetMode="External"/><Relationship Id="rId38" Type="http://schemas.openxmlformats.org/officeDocument/2006/relationships/hyperlink" Target="https://www.eqca.org/" TargetMode="External"/><Relationship Id="rId59" Type="http://schemas.openxmlformats.org/officeDocument/2006/relationships/hyperlink" Target="https://research.collegeboard.org/media/pdf/education-pays-2019-full-report.pdf" TargetMode="External"/><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oi.org/10.1080/19361653.2020.1813673" TargetMode="External"/><Relationship Id="rId54" Type="http://schemas.openxmlformats.org/officeDocument/2006/relationships/hyperlink" Target="https://www.glsen.org/sites/default/files/2022-10/NSCS-2021-Full-Report.pdf" TargetMode="External"/><Relationship Id="rId62" Type="http://schemas.openxmlformats.org/officeDocument/2006/relationships/hyperlink" Target="https://doi.org/10.1002/tea.21313" TargetMode="External"/><Relationship Id="rId70" Type="http://schemas.openxmlformats.org/officeDocument/2006/relationships/hyperlink" Target="https://doi.org/10.1080/00221546.2005.11772296" TargetMode="External"/><Relationship Id="rId75" Type="http://schemas.openxmlformats.org/officeDocument/2006/relationships/hyperlink" Target="https://doi.org/10.2190/fh61-ve7v-hhcx-0pur" TargetMode="External"/><Relationship Id="rId83" Type="http://schemas.openxmlformats.org/officeDocument/2006/relationships/hyperlink" Target="https://doi.org/10.1177/2156759x0801100503" TargetMode="External"/><Relationship Id="rId88" Type="http://schemas.openxmlformats.org/officeDocument/2006/relationships/image" Target="media/image13.png"/><Relationship Id="rId91" Type="http://schemas.openxmlformats.org/officeDocument/2006/relationships/image" Target="media/image16.png"/><Relationship Id="rId96"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hyperlink" Target="https://doi.org/10.1080/%2019361653.2014.840761" TargetMode="External"/><Relationship Id="rId36" Type="http://schemas.openxmlformats.org/officeDocument/2006/relationships/hyperlink" Target="https://doi.org/10.1016/j.socscimed.2011.02.045" TargetMode="External"/><Relationship Id="rId49" Type="http://schemas.openxmlformats.org/officeDocument/2006/relationships/hyperlink" Target="https://williamsinstitute.law.ucla.edu/wp-content/uploads/Survey-Measures-Trans-GenIUSS-Sep-2014.pdf" TargetMode="External"/><Relationship Id="rId57" Type="http://schemas.openxmlformats.org/officeDocument/2006/relationships/hyperlink" Target="https://doi.org/10.1615/jwomenminorscieneng.2017018836" TargetMode="External"/><Relationship Id="rId10" Type="http://schemas.microsoft.com/office/2016/09/relationships/commentsIds" Target="commentsIds.xml"/><Relationship Id="rId31" Type="http://schemas.openxmlformats.org/officeDocument/2006/relationships/hyperlink" Target="https://doi.org/10.1177/1363460713511094" TargetMode="External"/><Relationship Id="rId44" Type="http://schemas.openxmlformats.org/officeDocument/2006/relationships/hyperlink" Target="https://doi.org/10.1080/10474412.2018.1480376" TargetMode="External"/><Relationship Id="rId52" Type="http://schemas.openxmlformats.org/officeDocument/2006/relationships/hyperlink" Target="https://doi.org/10.1177/13591045211033187" TargetMode="External"/><Relationship Id="rId60" Type="http://schemas.openxmlformats.org/officeDocument/2006/relationships/hyperlink" Target="https://doi.org/10.1037/a0037990" TargetMode="External"/><Relationship Id="rId65" Type="http://schemas.openxmlformats.org/officeDocument/2006/relationships/hyperlink" Target="https://www.jstor.org/stable/90024241" TargetMode="External"/><Relationship Id="rId73" Type="http://schemas.openxmlformats.org/officeDocument/2006/relationships/hyperlink" Target="https://www.brookings.edu/wp-content/uploads/2023/02/20230123_CCF_CollegeEnrollment_FINAL2.pdf" TargetMode="External"/><Relationship Id="rId78" Type="http://schemas.openxmlformats.org/officeDocument/2006/relationships/hyperlink" Target="https://doi.org/10.1016/j.childyouth.2018.10.003" TargetMode="External"/><Relationship Id="rId81" Type="http://schemas.openxmlformats.org/officeDocument/2006/relationships/hyperlink" Target="https://doi.org/10.1111/j.1939-0025.2010.01067.x" TargetMode="External"/><Relationship Id="rId86" Type="http://schemas.openxmlformats.org/officeDocument/2006/relationships/hyperlink" Target="https://doi.org/10.1037/sgd0000266" TargetMode="External"/><Relationship Id="rId94" Type="http://schemas.openxmlformats.org/officeDocument/2006/relationships/image" Target="media/image19.png"/><Relationship Id="rId99" Type="http://schemas.openxmlformats.org/officeDocument/2006/relationships/image" Target="media/image24.png"/><Relationship Id="rId101" Type="http://schemas.openxmlformats.org/officeDocument/2006/relationships/image" Target="media/image26.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80/00131911.2020.1816907" TargetMode="External"/><Relationship Id="rId34" Type="http://schemas.openxmlformats.org/officeDocument/2006/relationships/hyperlink" Target="https://doi.org/10.1007/s10964-018-0866-x" TargetMode="External"/><Relationship Id="rId50" Type="http://schemas.openxmlformats.org/officeDocument/2006/relationships/hyperlink" Target="http://www.hamiltonproject.org/assets/legacy/files/downloads_%20and_links/Major_Decisions_Lifetime__Earnings_by_Major.pdf" TargetMode="External"/><Relationship Id="rId55" Type="http://schemas.openxmlformats.org/officeDocument/2006/relationships/hyperlink" Target="https://edpolicyinca.org/sites/default/files/R_Kurlaender_Aug19_01.pdf" TargetMode="External"/><Relationship Id="rId76" Type="http://schemas.openxmlformats.org/officeDocument/2006/relationships/hyperlink" Target="https://doi.org/10.1016/j.econedurev.2019.101933" TargetMode="External"/><Relationship Id="rId97" Type="http://schemas.openxmlformats.org/officeDocument/2006/relationships/image" Target="media/image22.png"/><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02/sem3.20075" TargetMode="External"/><Relationship Id="rId92"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s://data.calschls.org/resources/18th_%20Biennial_State_1921.pdf" TargetMode="External"/><Relationship Id="rId24" Type="http://schemas.openxmlformats.org/officeDocument/2006/relationships/header" Target="header2.xml"/><Relationship Id="rId40" Type="http://schemas.openxmlformats.org/officeDocument/2006/relationships/hyperlink" Target="https://doi.org/10.1016/j.ssresearch.2015.03.004" TargetMode="External"/><Relationship Id="rId45" Type="http://schemas.openxmlformats.org/officeDocument/2006/relationships/hyperlink" Target="https://doi.org/10.1080/19361653.2018.1429979" TargetMode="External"/><Relationship Id="rId66" Type="http://schemas.openxmlformats.org/officeDocument/2006/relationships/hyperlink" Target="https://williamsinstitute.law.ucla.edu/wp-content/uploads/LGBTQ-College-Grad-School-May-2022.pdf" TargetMode="External"/><Relationship Id="rId87" Type="http://schemas.openxmlformats.org/officeDocument/2006/relationships/hyperlink" Target="https://doi.org/10.1177/08912432211038689" TargetMode="External"/><Relationship Id="rId61" Type="http://schemas.openxmlformats.org/officeDocument/2006/relationships/hyperlink" Target="https://doi.org/10.1080/19361653.%202020.1727815" TargetMode="External"/><Relationship Id="rId82" Type="http://schemas.openxmlformats.org/officeDocument/2006/relationships/hyperlink" Target="https://doi.org/10.1007/978-1-4614-0586-3"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www.campuspride.org/wp-content/uploads/CampusPride_ChangingNature%20ofGender21stCentury.pdf" TargetMode="External"/><Relationship Id="rId35" Type="http://schemas.openxmlformats.org/officeDocument/2006/relationships/hyperlink" Target="https://doi.org/10.1353/rhe.2019.0096" TargetMode="External"/><Relationship Id="rId56" Type="http://schemas.openxmlformats.org/officeDocument/2006/relationships/hyperlink" Target="https://doi.org/10.3102/%200034654315617832" TargetMode="External"/><Relationship Id="rId77" Type="http://schemas.openxmlformats.org/officeDocument/2006/relationships/hyperlink" Target="https://doi.org/10.1332/251510820x15995647280686" TargetMode="External"/><Relationship Id="rId100" Type="http://schemas.openxmlformats.org/officeDocument/2006/relationships/image" Target="media/image25.png"/><Relationship Id="rId105"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177/003804070808100103" TargetMode="External"/><Relationship Id="rId72" Type="http://schemas.openxmlformats.org/officeDocument/2006/relationships/hyperlink" Target="https://doi.org/10.1353/eac.2011.0007" TargetMode="External"/><Relationship Id="rId93" Type="http://schemas.openxmlformats.org/officeDocument/2006/relationships/image" Target="media/image18.png"/><Relationship Id="rId98" Type="http://schemas.openxmlformats.org/officeDocument/2006/relationships/image" Target="media/image23.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hyperlink" Target="https://doi.org/10.1177/08959048231153600" TargetMode="External"/><Relationship Id="rId67" Type="http://schemas.openxmlformats.org/officeDocument/2006/relationships/hyperlink" Target="http://dx.doi.org/10.14301/llcs.v8i3.41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79</Pages>
  <Words>17132</Words>
  <Characters>102797</Characters>
  <Application>Microsoft Office Word</Application>
  <DocSecurity>0</DocSecurity>
  <Lines>3212</Lines>
  <Paragraphs>2067</Paragraphs>
  <ScaleCrop>false</ScaleCrop>
  <Company/>
  <LinksUpToDate>false</LinksUpToDate>
  <CharactersWithSpaces>117862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Sun</cp:lastModifiedBy>
  <cp:revision>7</cp:revision>
  <dcterms:created xsi:type="dcterms:W3CDTF">2026-03-17T01:37:00Z</dcterms:created>
  <dcterms:modified xsi:type="dcterms:W3CDTF">2026-03-18T00:26:00Z</dcterms:modified>
</cp:coreProperties>
</file>