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r>
        <w:t/>
      </w:r>
      <w:r>
        <w:rPr>
          <w:b w:val="true"/>
        </w:rPr>
        <w:t xml:space="preserve">Table 3 (R2 revision): Standardized General High School Experience by Gender Identity</w:t>
      </w:r>
    </w:p>
    <w:tbl>
      <w:tblPr>
        <w:tblStyle w:val="TableGrid"/>
        <w:tblBorders>
          <w:top w:val="single" w:color="000000" w:shadow="false"/>
          <w:left w:val="nil" w:color="000000" w:shadow="false"/>
          <w:bottom w:val="single" w:color="000000" w:shadow="false"/>
          <w:right w:val="nil" w:color="000000" w:shadow="false"/>
          <w:insideH w:val="nil" w:color="000000" w:shadow="false"/>
          <w:insideV w:val="nil" w:color="000000" w:shadow="fals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rPr>
                <w:b w:val="true"/>
              </w:rPr>
              <w:t xml:space="preserve"/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Std. mean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Diff. vs. cis man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Stars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Cisgender man (ref.)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2659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0.101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--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/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Cisgender woman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4269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-0.012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-0.113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Transgender man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59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-0.329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-0.429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Transgender woman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20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-0.300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-0.400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Nonbinary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267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-0.353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-0.454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Gender diverse/questioning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71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-0.634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-0.734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Prefer not to say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138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-0.373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-0.474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***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b w:val="true"/>
              </w:rPr>
              <w:t xml:space="preserve">Total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7483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>0.000</w:t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/>
            </w:r>
          </w:p>
        </w:tc>
        <w:tc>
          <w:tcPr>
            <w:tcW w:w="1872" w:type="dxa"/>
          </w:tcPr>
          <w:p>
            <w:pPr>
              <w:spacing w:after="0"/>
              <w:jc w:val="center"/>
            </w:pPr>
            <w:r>
              <w:t xml:space="preserve"/>
            </w:r>
          </w:p>
        </w:tc>
      </w:tr>
    </w:tbl>
    <w:p>
      <w:r>
        <w:t/>
      </w:r>
    </w:p>
    <w:p>
      <w:r>
        <w:t/>
      </w:r>
      <w:r>
        <w:t xml:space="preserve">Note. The general high school experience index has been standardized to mean 0 and standard deviation 1 over the standardization sample (n = 7483, raw mean = 3.84, raw SD = 4.30). Standardized means by gender identity are reported in column 3. Column 4 reports the difference in standard-deviation units relative to cisgender men, estimated via OLS regression with cisgender man as the omitted reference category. Stars indicate t-tests of the difference: * p&lt;0.10, ** p&lt;0.05, *** p&lt;0.01.</w:t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