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5ADEBC" w14:textId="1D680D1B" w:rsidR="00106F72" w:rsidRPr="00106F72" w:rsidRDefault="00106F72" w:rsidP="00106F72">
      <w:pPr>
        <w:jc w:val="center"/>
        <w:rPr>
          <w:b/>
          <w:bCs/>
          <w:sz w:val="28"/>
          <w:szCs w:val="28"/>
        </w:rPr>
      </w:pPr>
      <w:r w:rsidRPr="00106F72">
        <w:rPr>
          <w:b/>
          <w:bCs/>
          <w:sz w:val="28"/>
          <w:szCs w:val="28"/>
        </w:rPr>
        <w:t>Research Abstracts</w:t>
      </w:r>
    </w:p>
    <w:p w14:paraId="2DAEA853" w14:textId="77777777" w:rsidR="00106F72" w:rsidRDefault="00106F72" w:rsidP="00BF1A23">
      <w:pPr>
        <w:rPr>
          <w:u w:val="single"/>
        </w:rPr>
      </w:pPr>
    </w:p>
    <w:p w14:paraId="449AF69A" w14:textId="4E1F9BF3" w:rsidR="00BF1A23" w:rsidRPr="00BF1A23" w:rsidRDefault="00BF1A23" w:rsidP="00BF1A23">
      <w:pPr>
        <w:rPr>
          <w:u w:val="single"/>
        </w:rPr>
      </w:pPr>
      <w:r w:rsidRPr="00BF1A23">
        <w:rPr>
          <w:u w:val="single"/>
        </w:rPr>
        <w:t>Motivation (slide 3)</w:t>
      </w:r>
      <w:r>
        <w:rPr>
          <w:u w:val="single"/>
        </w:rPr>
        <w:t>, in alphabetical order</w:t>
      </w:r>
    </w:p>
    <w:p w14:paraId="1504D181" w14:textId="77777777" w:rsidR="00BF1A23" w:rsidRDefault="00BF1A23" w:rsidP="00BF1A23">
      <w:pPr>
        <w:rPr>
          <w:b/>
          <w:bCs/>
        </w:rPr>
      </w:pPr>
    </w:p>
    <w:p w14:paraId="6FD58A3C" w14:textId="42F680B4" w:rsidR="00BF1A23" w:rsidRDefault="00BF1A23" w:rsidP="00BF1A23">
      <w:r w:rsidRPr="00BF1A23">
        <w:rPr>
          <w:b/>
          <w:bCs/>
        </w:rPr>
        <w:t>Feldman</w:t>
      </w:r>
      <w:r w:rsidR="00051030">
        <w:rPr>
          <w:b/>
          <w:bCs/>
        </w:rPr>
        <w:t xml:space="preserve"> et al.</w:t>
      </w:r>
      <w:r w:rsidRPr="00BF1A23">
        <w:rPr>
          <w:b/>
          <w:bCs/>
        </w:rPr>
        <w:t>, 2022:</w:t>
      </w:r>
      <w:r>
        <w:t xml:space="preserve"> T</w:t>
      </w:r>
      <w:r w:rsidRPr="00BF1A23">
        <w:t>his study explore</w:t>
      </w:r>
      <w:r>
        <w:t>s</w:t>
      </w:r>
      <w:r w:rsidRPr="00BF1A23">
        <w:t xml:space="preserve"> subgroup differences in college aspirations among LGBTQ youth via bivariate and multivariable logistic regression models to </w:t>
      </w:r>
      <w:r>
        <w:t>understand</w:t>
      </w:r>
      <w:r w:rsidRPr="00BF1A23">
        <w:t xml:space="preserve"> how school factors (i.e., presence of GSAs and LGBTQ-specific teacher supportiveness) were associated with college aspirations among LGBTQ youth. </w:t>
      </w:r>
      <w:r>
        <w:t>Results indicate</w:t>
      </w:r>
      <w:r w:rsidRPr="00BF1A23">
        <w:t xml:space="preserve"> that transgender youth were less likely to aspire to go to college compared to cisgender counterparts. Additionally, more common sexual minority subgroups (e.g., gay/lesbian) were less likely to aspire to go to college compared to their counterparts with more emergent identity labels (e.g., asexual, queer). The presence of GSAs and higher reports of LGBTQ-supportive teachers were associated with increased odds of aspiring to go to college across all LGBTQ youth in our sample. These findings have implications for how schools and teachers prepare sexual and gender minorities for college. The findings imply that LGBTQ populations should not be treated as monolithic in their college readiness, preparation, and aspirations. </w:t>
      </w:r>
    </w:p>
    <w:p w14:paraId="5D909545" w14:textId="6FC87C57" w:rsidR="009B414B" w:rsidRDefault="00000000" w:rsidP="00BF1A23">
      <w:hyperlink r:id="rId6" w:history="1">
        <w:r w:rsidR="009B414B" w:rsidRPr="00B60FF4">
          <w:rPr>
            <w:rStyle w:val="Hyperlink"/>
          </w:rPr>
          <w:t>https://doi.org/10.1080/00131911.2020.1816907</w:t>
        </w:r>
      </w:hyperlink>
      <w:r w:rsidR="009B414B">
        <w:t xml:space="preserve"> </w:t>
      </w:r>
    </w:p>
    <w:p w14:paraId="66F12A5D" w14:textId="77777777" w:rsidR="003D1BCA" w:rsidRDefault="003D1BCA" w:rsidP="00BF1A23">
      <w:pPr>
        <w:rPr>
          <w:b/>
          <w:bCs/>
        </w:rPr>
      </w:pPr>
    </w:p>
    <w:p w14:paraId="4859DF70" w14:textId="3150BE42" w:rsidR="00BF1A23" w:rsidRDefault="00BF1A23" w:rsidP="00BF1A23">
      <w:proofErr w:type="spellStart"/>
      <w:r w:rsidRPr="00BF1A23">
        <w:rPr>
          <w:b/>
          <w:bCs/>
        </w:rPr>
        <w:t>Luh</w:t>
      </w:r>
      <w:proofErr w:type="spellEnd"/>
      <w:r w:rsidRPr="00BF1A23">
        <w:rPr>
          <w:b/>
          <w:bCs/>
        </w:rPr>
        <w:t xml:space="preserve"> et al., 2023:</w:t>
      </w:r>
      <w:r>
        <w:t xml:space="preserve"> </w:t>
      </w:r>
      <w:r w:rsidRPr="00BF1A23">
        <w:t>The</w:t>
      </w:r>
      <w:r>
        <w:t xml:space="preserve"> study</w:t>
      </w:r>
      <w:r w:rsidRPr="00BF1A23">
        <w:t xml:space="preserve"> proposes a multidimensional framework for</w:t>
      </w:r>
      <w:r>
        <w:t xml:space="preserve"> </w:t>
      </w:r>
      <w:r w:rsidRPr="00BF1A23">
        <w:t>assessing college readiness, developed to address the unique</w:t>
      </w:r>
      <w:r>
        <w:t xml:space="preserve"> </w:t>
      </w:r>
      <w:r w:rsidRPr="00BF1A23">
        <w:t>needs of college-aspirational and early-college LGBTQ students.</w:t>
      </w:r>
      <w:r>
        <w:t xml:space="preserve"> </w:t>
      </w:r>
      <w:r w:rsidRPr="00BF1A23">
        <w:t>It identifies four key areas relevant to supporting LGBTQ students’ success during the high school to college transition. The</w:t>
      </w:r>
      <w:r>
        <w:t xml:space="preserve"> </w:t>
      </w:r>
      <w:r w:rsidRPr="00BF1A23">
        <w:t>role of peer, family, school, and individual differences will b</w:t>
      </w:r>
      <w:r>
        <w:t xml:space="preserve">e </w:t>
      </w:r>
      <w:r w:rsidRPr="00BF1A23">
        <w:t>discussed relative to supporting positive</w:t>
      </w:r>
      <w:r>
        <w:t xml:space="preserve"> </w:t>
      </w:r>
      <w:r w:rsidRPr="00BF1A23">
        <w:t>academic, mental</w:t>
      </w:r>
      <w:r>
        <w:t xml:space="preserve"> </w:t>
      </w:r>
      <w:r w:rsidRPr="00BF1A23">
        <w:t>health, and social-behavioral outcomes among college-aspirational and early-college LGBTQ youth.</w:t>
      </w:r>
    </w:p>
    <w:p w14:paraId="5EF28844" w14:textId="3627F0D8" w:rsidR="009B414B" w:rsidRDefault="00000000" w:rsidP="00BF1A23">
      <w:hyperlink r:id="rId7" w:history="1">
        <w:r w:rsidR="009B414B" w:rsidRPr="00B60FF4">
          <w:rPr>
            <w:rStyle w:val="Hyperlink"/>
          </w:rPr>
          <w:t>https://doi.org/10.1080/19361653.2023.2264830</w:t>
        </w:r>
      </w:hyperlink>
      <w:r w:rsidR="009B414B">
        <w:t xml:space="preserve"> </w:t>
      </w:r>
    </w:p>
    <w:p w14:paraId="6103F515" w14:textId="77777777" w:rsidR="00BF1A23" w:rsidRDefault="00BF1A23" w:rsidP="00BF1A23"/>
    <w:p w14:paraId="2AD11901" w14:textId="11C5F963" w:rsidR="009B414B" w:rsidRDefault="003D1BCA" w:rsidP="009B414B">
      <w:r w:rsidRPr="00106F72">
        <w:rPr>
          <w:b/>
          <w:bCs/>
        </w:rPr>
        <w:t>Lynn et al., 2010:</w:t>
      </w:r>
      <w:r w:rsidR="00106F72">
        <w:t xml:space="preserve"> </w:t>
      </w:r>
      <w:r w:rsidR="00106F72" w:rsidRPr="00106F72">
        <w:t xml:space="preserve">The study examines teachers’ and administrators’ perspectives on the </w:t>
      </w:r>
      <w:r w:rsidR="009B414B">
        <w:t>academic and social outcomes</w:t>
      </w:r>
      <w:r w:rsidR="00106F72" w:rsidRPr="00106F72">
        <w:t xml:space="preserve"> </w:t>
      </w:r>
      <w:r w:rsidR="009B414B">
        <w:t>experienced by</w:t>
      </w:r>
      <w:r w:rsidR="00106F72" w:rsidRPr="00106F72">
        <w:t xml:space="preserve"> African American male high school students. At the time of the study, </w:t>
      </w:r>
      <w:proofErr w:type="gramStart"/>
      <w:r w:rsidR="00106F72" w:rsidRPr="00106F72">
        <w:t>a number of</w:t>
      </w:r>
      <w:proofErr w:type="gramEnd"/>
      <w:r w:rsidR="00106F72" w:rsidRPr="00106F72">
        <w:t xml:space="preserve"> </w:t>
      </w:r>
      <w:r w:rsidR="00106F72">
        <w:t xml:space="preserve">state-wide </w:t>
      </w:r>
      <w:r w:rsidR="00106F72" w:rsidRPr="00106F72">
        <w:t xml:space="preserve">initiatives </w:t>
      </w:r>
      <w:r w:rsidR="009B414B">
        <w:t xml:space="preserve">were </w:t>
      </w:r>
      <w:r w:rsidR="00106F72" w:rsidRPr="00106F72">
        <w:t xml:space="preserve">designed to address the minority achievement gap. </w:t>
      </w:r>
      <w:r w:rsidR="009B414B">
        <w:t xml:space="preserve">Through a series of focus groups and interviews with teachers, counselors, and administrators, along with school-based observations, </w:t>
      </w:r>
      <w:r w:rsidR="009B414B" w:rsidRPr="00106F72">
        <w:t>researchers</w:t>
      </w:r>
      <w:r w:rsidR="009B414B">
        <w:t xml:space="preserve"> </w:t>
      </w:r>
      <w:r w:rsidR="009B414B" w:rsidRPr="00106F72">
        <w:t xml:space="preserve">were interested </w:t>
      </w:r>
      <w:r w:rsidR="009B414B">
        <w:t>to learn what</w:t>
      </w:r>
      <w:r w:rsidR="009B414B" w:rsidRPr="00106F72">
        <w:t xml:space="preserve"> school personnel would say about </w:t>
      </w:r>
      <w:r w:rsidR="009B414B">
        <w:t>differences in academic and behavioral outcomes (e.g., standardized test performance, higher rates of suspension, among others. Findings revealed</w:t>
      </w:r>
      <w:r w:rsidR="009B414B" w:rsidRPr="009B414B">
        <w:t xml:space="preserve"> that school personnel overwhelmingly blamed students, their families, and their communities for the minority achievement gap. In short, the school was pervaded by a culture of defeat and hopelessness. Ongoing conversations with a smaller group of teachers committed to the success of African American male students revealed that the school was not a safe space for caring teachers who wanted to make a difference in the lives of their students.</w:t>
      </w:r>
    </w:p>
    <w:p w14:paraId="70E1EDE4" w14:textId="52851C77" w:rsidR="009B414B" w:rsidRPr="009B414B" w:rsidRDefault="00000000" w:rsidP="009B414B">
      <w:hyperlink r:id="rId8" w:history="1">
        <w:r w:rsidR="009B414B" w:rsidRPr="00B60FF4">
          <w:rPr>
            <w:rStyle w:val="Hyperlink"/>
          </w:rPr>
          <w:t>https://doi.org/10.1177/016146811011200106</w:t>
        </w:r>
      </w:hyperlink>
      <w:r w:rsidR="009B414B">
        <w:t xml:space="preserve"> </w:t>
      </w:r>
    </w:p>
    <w:p w14:paraId="79D65BF0" w14:textId="77777777" w:rsidR="003D1BCA" w:rsidRDefault="003D1BCA" w:rsidP="00BF1A23"/>
    <w:p w14:paraId="79B00E86" w14:textId="2F91F17C" w:rsidR="00740216" w:rsidRDefault="00BF1A23" w:rsidP="00BF1A23">
      <w:proofErr w:type="spellStart"/>
      <w:r w:rsidRPr="00BF1A23">
        <w:rPr>
          <w:b/>
          <w:bCs/>
        </w:rPr>
        <w:lastRenderedPageBreak/>
        <w:t>Uwah</w:t>
      </w:r>
      <w:proofErr w:type="spellEnd"/>
      <w:r w:rsidRPr="00BF1A23">
        <w:rPr>
          <w:b/>
          <w:bCs/>
        </w:rPr>
        <w:t xml:space="preserve"> et al., 2008:</w:t>
      </w:r>
      <w:r>
        <w:t xml:space="preserve"> </w:t>
      </w:r>
      <w:r w:rsidRPr="00BF1A23">
        <w:t>Using a correlation and multiple</w:t>
      </w:r>
      <w:r>
        <w:t xml:space="preserve"> </w:t>
      </w:r>
      <w:r w:rsidRPr="00BF1A23">
        <w:t xml:space="preserve">regression design, this </w:t>
      </w:r>
      <w:r>
        <w:t>study</w:t>
      </w:r>
      <w:r w:rsidRPr="00BF1A23">
        <w:t xml:space="preserve"> examined the</w:t>
      </w:r>
      <w:r>
        <w:t xml:space="preserve"> </w:t>
      </w:r>
      <w:r w:rsidRPr="00BF1A23">
        <w:t>relationship between perceptions of school belonging,</w:t>
      </w:r>
      <w:r>
        <w:t xml:space="preserve"> </w:t>
      </w:r>
      <w:r w:rsidRPr="00BF1A23">
        <w:t>educational aspirations</w:t>
      </w:r>
      <w:r>
        <w:t>,</w:t>
      </w:r>
      <w:r w:rsidRPr="00BF1A23">
        <w:t xml:space="preserve"> and academic self-efficacy</w:t>
      </w:r>
      <w:r>
        <w:t xml:space="preserve"> </w:t>
      </w:r>
      <w:r w:rsidRPr="00BF1A23">
        <w:t>among 40 African American male high school students. Results indicated that feeling encouraged to</w:t>
      </w:r>
      <w:r>
        <w:t xml:space="preserve"> </w:t>
      </w:r>
      <w:r w:rsidRPr="00BF1A23">
        <w:t>participate and educational aspirations were significant, positive predictors of academic self</w:t>
      </w:r>
      <w:r w:rsidR="003D1BCA">
        <w:t>-</w:t>
      </w:r>
      <w:r w:rsidRPr="00BF1A23">
        <w:t>effica</w:t>
      </w:r>
      <w:r>
        <w:t>cy.</w:t>
      </w:r>
    </w:p>
    <w:p w14:paraId="100D652A" w14:textId="2FD12642" w:rsidR="000A32F3" w:rsidRDefault="00000000" w:rsidP="00BF1A23">
      <w:hyperlink r:id="rId9" w:history="1">
        <w:r w:rsidR="000A32F3" w:rsidRPr="000A32F3">
          <w:rPr>
            <w:rStyle w:val="Hyperlink"/>
          </w:rPr>
          <w:t>https://doi.org/10.1177/2156759X0801100503</w:t>
        </w:r>
      </w:hyperlink>
      <w:r w:rsidR="000A32F3" w:rsidRPr="000A32F3">
        <w:t> </w:t>
      </w:r>
    </w:p>
    <w:p w14:paraId="0811FDE6" w14:textId="77777777" w:rsidR="003D1BCA" w:rsidRDefault="003D1BCA" w:rsidP="00BF1A23"/>
    <w:p w14:paraId="5C530A63" w14:textId="5EF07E09" w:rsidR="003D1BCA" w:rsidRDefault="003D1BCA" w:rsidP="00BF1A23">
      <w:pPr>
        <w:rPr>
          <w:u w:val="single"/>
        </w:rPr>
      </w:pPr>
      <w:r w:rsidRPr="003D1BCA">
        <w:rPr>
          <w:u w:val="single"/>
        </w:rPr>
        <w:t>Literature Review (slide 4), in alphabetical order</w:t>
      </w:r>
      <w:r>
        <w:rPr>
          <w:u w:val="single"/>
        </w:rPr>
        <w:t>, new articles only</w:t>
      </w:r>
    </w:p>
    <w:p w14:paraId="6A34E084" w14:textId="77777777" w:rsidR="003D1BCA" w:rsidRDefault="003D1BCA" w:rsidP="00BF1A23"/>
    <w:p w14:paraId="4D5DAEBE" w14:textId="019FAFAA" w:rsidR="003D1BCA" w:rsidRPr="003D1BCA" w:rsidRDefault="003D1BCA" w:rsidP="00BF1A23">
      <w:r w:rsidRPr="003D1BCA">
        <w:rPr>
          <w:b/>
          <w:bCs/>
        </w:rPr>
        <w:t>Aragon et al., 2014</w:t>
      </w:r>
      <w:r>
        <w:rPr>
          <w:b/>
          <w:bCs/>
        </w:rPr>
        <w:t xml:space="preserve">: </w:t>
      </w:r>
      <w:r w:rsidRPr="003D1BCA">
        <w:t>A total of 11,447 high school students were surveyed to test the relation between victimization and the educational outcomes of truancy, post–high school intentions, and grades for lesbian, gay, bisexual, transgender, and questioning (LGBTQ) and non-LGBTQ students. LGBTQ students reported statistically higher truancy, lower grades, greater expectations not to finish high school, and lower expectations to attend a four-year college. Victimization partially mediated these differences between LGBTQ and non-LGBTQ youth. These results highlight the role of victimization in partially accounting for academic disparities between LGBTQ and non-LGBTQ youth.</w:t>
      </w:r>
      <w:r>
        <w:rPr>
          <w:b/>
          <w:bCs/>
        </w:rPr>
        <w:t xml:space="preserve"> </w:t>
      </w:r>
      <w:hyperlink r:id="rId10" w:history="1">
        <w:r w:rsidRPr="00B60FF4">
          <w:rPr>
            <w:rStyle w:val="Hyperlink"/>
          </w:rPr>
          <w:t>https://doi.org/10.1080/19361653.2014.840761</w:t>
        </w:r>
      </w:hyperlink>
      <w:r>
        <w:t xml:space="preserve"> </w:t>
      </w:r>
    </w:p>
    <w:p w14:paraId="65AC49ED" w14:textId="77777777" w:rsidR="003D1BCA" w:rsidRDefault="003D1BCA" w:rsidP="00BF1A23"/>
    <w:p w14:paraId="46DAFD98" w14:textId="2733D4C9" w:rsidR="00387558" w:rsidRDefault="003D1BCA" w:rsidP="00BF1A23">
      <w:r w:rsidRPr="00387558">
        <w:rPr>
          <w:b/>
          <w:bCs/>
        </w:rPr>
        <w:t>Fish et al., 2020:</w:t>
      </w:r>
      <w:r w:rsidR="00387558">
        <w:t xml:space="preserve"> </w:t>
      </w:r>
      <w:r w:rsidR="00387558" w:rsidRPr="00387558">
        <w:t xml:space="preserve">This study investigated the experiences </w:t>
      </w:r>
      <w:r w:rsidR="00387558">
        <w:t xml:space="preserve">of LGBTQ youth </w:t>
      </w:r>
      <w:r w:rsidR="00387558" w:rsidRPr="00387558">
        <w:t>with the COVID-19 pandemic via Q Chat Space—a national online chat-based support program.</w:t>
      </w:r>
      <w:r w:rsidR="00387558">
        <w:t xml:space="preserve"> </w:t>
      </w:r>
      <w:r w:rsidR="00387558" w:rsidRPr="00387558">
        <w:t>Transcript data from 31 synchronous, text-based chats collected during the onset of state-based “social distancing” ordinances in Spring 2020 were analyzed.</w:t>
      </w:r>
      <w:r w:rsidR="00387558">
        <w:t xml:space="preserve"> </w:t>
      </w:r>
      <w:r w:rsidR="00387558" w:rsidRPr="00387558">
        <w:t>While encountering COVID-19–related stressors likely to be experienced by youth generally, participants' experiences were concomitantly imbued with LGBTQ-specific intrapersonal, interpersonal, and structural challenges. Difficulties included maintaining mental health, being isolated with unsupportive families, and loss of in-person identity-based socialization and support.</w:t>
      </w:r>
      <w:r w:rsidR="00387558">
        <w:t xml:space="preserve"> </w:t>
      </w:r>
      <w:r w:rsidR="00387558" w:rsidRPr="00387558">
        <w:t>Findings highlight the importance of synchronous, text-based online platforms to enable LGBTQ youth to feel safe to seek support while at home. Given the potential for long-term physical distancing, concerted efforts are required to provide necessary resources and support for LGBTQ youth during the COVID-19 pandemic.</w:t>
      </w:r>
    </w:p>
    <w:p w14:paraId="7323CCFB" w14:textId="00BF932F" w:rsidR="00387558" w:rsidRDefault="00000000" w:rsidP="00BF1A23">
      <w:hyperlink r:id="rId11" w:history="1">
        <w:r w:rsidR="00387558" w:rsidRPr="00B60FF4">
          <w:rPr>
            <w:rStyle w:val="Hyperlink"/>
          </w:rPr>
          <w:t>https://doi.org/10.1016/j.jadohealth.2020.06.002</w:t>
        </w:r>
      </w:hyperlink>
    </w:p>
    <w:p w14:paraId="4C5CA868" w14:textId="6CE87EE5" w:rsidR="00106F72" w:rsidRPr="00106F72" w:rsidRDefault="00106F72" w:rsidP="00BF1A23"/>
    <w:p w14:paraId="3CCB16B8" w14:textId="4F972E3A" w:rsidR="003D1BCA" w:rsidRDefault="003D1BCA" w:rsidP="00BF1A23">
      <w:r w:rsidRPr="00387558">
        <w:rPr>
          <w:b/>
          <w:bCs/>
        </w:rPr>
        <w:t>Kirsch et al., 2015:</w:t>
      </w:r>
      <w:r>
        <w:t xml:space="preserve"> This study</w:t>
      </w:r>
      <w:r w:rsidRPr="003D1BCA">
        <w:t xml:space="preserve"> compared a matched sample of heterosexual and lesbian, gay, and bisexual (LGB) students on 5 psychosocial adjustment composites, longitudinally across the transitional first year of college. Both LGB and heterosexual students experienced a significant increase in psychological distress over the first semester, along with significant decreases in psychological well-being and cognitive-affective strengths. Across the entire first year, LGB students demonstrated consistently greater psychological distress, greater cognitive-affective vulnerabilities, and less social well-being compared to heterosexual peers. This research indicates specific challenges that LGB students experience during the first year of university, suggesting opportunities for promoting successful transitions through this developmental milestone.</w:t>
      </w:r>
    </w:p>
    <w:p w14:paraId="2B2F9D97" w14:textId="101610DC" w:rsidR="003D1BCA" w:rsidRDefault="00000000" w:rsidP="003D1BCA">
      <w:hyperlink r:id="rId12" w:history="1">
        <w:r w:rsidR="003D1BCA" w:rsidRPr="003D1BCA">
          <w:rPr>
            <w:rStyle w:val="Hyperlink"/>
          </w:rPr>
          <w:t>https://doi.org/10.1353/</w:t>
        </w:r>
        <w:r w:rsidR="003D1BCA" w:rsidRPr="00B60FF4">
          <w:rPr>
            <w:rStyle w:val="Hyperlink"/>
          </w:rPr>
          <w:t>csd.2015.0017</w:t>
        </w:r>
      </w:hyperlink>
      <w:r w:rsidR="003D1BCA">
        <w:t xml:space="preserve"> </w:t>
      </w:r>
    </w:p>
    <w:p w14:paraId="74875733" w14:textId="77777777" w:rsidR="003D1BCA" w:rsidRDefault="003D1BCA" w:rsidP="00BF1A23"/>
    <w:p w14:paraId="1BDE34D4" w14:textId="15816A62" w:rsidR="003D1BCA" w:rsidRDefault="003D1BCA" w:rsidP="003D1BCA">
      <w:r w:rsidRPr="003D1BCA">
        <w:rPr>
          <w:b/>
          <w:bCs/>
        </w:rPr>
        <w:t>Marine, 2017:</w:t>
      </w:r>
      <w:r>
        <w:t xml:space="preserve"> </w:t>
      </w:r>
      <w:r w:rsidRPr="003D1BCA">
        <w:t>College access and graduation results in significant life advantages, including higher lifetime incomes, better physical and mental health outcomes, and greater rates of civic engagement. Unfortunately, trans* youth have been systematically prevented from full participation in post-secondary education due to genderist practices and policies. Employing a queer theoretical frame, this manuscript identifies three critical junctures in the college access process where genderist norms inhibit college access and persistence for trans* youth. Five specific strategies for queering college access by ending or minimizing the impact of genderism are advanced, including cultivating the role of school counseling personnel as advocates, reformation of admissions practices, and attention to fostering gender-inclusive co-curricular activities and student communities.</w:t>
      </w:r>
      <w:r>
        <w:t xml:space="preserve"> </w:t>
      </w:r>
      <w:hyperlink r:id="rId13" w:history="1">
        <w:r w:rsidRPr="003D1BCA">
          <w:rPr>
            <w:rStyle w:val="Hyperlink"/>
          </w:rPr>
          <w:t>https://doi.org/10.1080/09518398.2016.1268279</w:t>
        </w:r>
      </w:hyperlink>
      <w:r>
        <w:t xml:space="preserve"> </w:t>
      </w:r>
    </w:p>
    <w:p w14:paraId="0EE6D718" w14:textId="77777777" w:rsidR="00387558" w:rsidRDefault="00387558" w:rsidP="003D1BCA"/>
    <w:p w14:paraId="66360952" w14:textId="2A34BD6A" w:rsidR="00614DEF" w:rsidRDefault="00387558" w:rsidP="00387558">
      <w:r w:rsidRPr="00614DEF">
        <w:rPr>
          <w:b/>
          <w:bCs/>
        </w:rPr>
        <w:t>Marshal et al., 2011:</w:t>
      </w:r>
      <w:r w:rsidR="00614DEF">
        <w:rPr>
          <w:b/>
          <w:bCs/>
        </w:rPr>
        <w:t xml:space="preserve"> </w:t>
      </w:r>
      <w:r>
        <w:t>The p</w:t>
      </w:r>
      <w:r w:rsidRPr="00387558">
        <w:t>urpose</w:t>
      </w:r>
      <w:r>
        <w:t xml:space="preserve"> of this study was t</w:t>
      </w:r>
      <w:r w:rsidRPr="00387558">
        <w:t>o examine disparities between sexual minority youth (SMY) and heterosexual youth in rates of suicidality and depression symptoms.</w:t>
      </w:r>
      <w:r>
        <w:t xml:space="preserve"> </w:t>
      </w:r>
      <w:r w:rsidRPr="00387558">
        <w:t>Separate meta-analyses were conducted to examine suicidality and depression disparities. Studies were included if the average age of the participants was &lt;18 years, and if suicidality or depression symptoms were compared across SMY and heterosexual youth.</w:t>
      </w:r>
      <w:r>
        <w:t xml:space="preserve"> Results indicate that </w:t>
      </w:r>
      <w:r w:rsidRPr="00387558">
        <w:t xml:space="preserve">SMY reported significantly higher rates of suicidality and depression symptoms compared </w:t>
      </w:r>
      <w:r>
        <w:t>to</w:t>
      </w:r>
      <w:r w:rsidRPr="00387558">
        <w:t xml:space="preserve"> heterosexual youth. Effects did not vary across gender, recruitment source, and sexual orientation definition.</w:t>
      </w:r>
      <w:r>
        <w:t xml:space="preserve"> These differences </w:t>
      </w:r>
      <w:r w:rsidRPr="00387558">
        <w:t>may be influenced by negative experiences</w:t>
      </w:r>
      <w:r>
        <w:t>,</w:t>
      </w:r>
      <w:r w:rsidRPr="00387558">
        <w:t xml:space="preserve"> including discrimination and victimization.</w:t>
      </w:r>
      <w:r w:rsidR="00614DEF">
        <w:t xml:space="preserve"> </w:t>
      </w:r>
      <w:hyperlink r:id="rId14" w:history="1">
        <w:r w:rsidR="00614DEF" w:rsidRPr="00B60FF4">
          <w:rPr>
            <w:rStyle w:val="Hyperlink"/>
          </w:rPr>
          <w:t>https://doi.org/10.1016/j.jadohealth.2011.02.005</w:t>
        </w:r>
      </w:hyperlink>
    </w:p>
    <w:p w14:paraId="5929BA49" w14:textId="77777777" w:rsidR="00614DEF" w:rsidRDefault="00614DEF" w:rsidP="00387558"/>
    <w:p w14:paraId="3CB3892E" w14:textId="04F8F0BC" w:rsidR="00C636EC" w:rsidRDefault="00C636EC" w:rsidP="00C636EC">
      <w:r w:rsidRPr="00C636EC">
        <w:rPr>
          <w:b/>
          <w:bCs/>
        </w:rPr>
        <w:t>Wilkinson et al., 2021:</w:t>
      </w:r>
      <w:r>
        <w:t xml:space="preserve"> </w:t>
      </w:r>
      <w:r w:rsidRPr="00C636EC">
        <w:t>Using minority stress and structural symbolic interactionist frameworks,</w:t>
      </w:r>
      <w:r>
        <w:t xml:space="preserve"> t</w:t>
      </w:r>
      <w:r w:rsidRPr="00C636EC">
        <w:t xml:space="preserve">his study </w:t>
      </w:r>
      <w:r>
        <w:t>draws on the</w:t>
      </w:r>
      <w:r w:rsidRPr="00C636EC">
        <w:t xml:space="preserve"> </w:t>
      </w:r>
      <w:r>
        <w:t>H</w:t>
      </w:r>
      <w:r w:rsidRPr="00C636EC">
        <w:t xml:space="preserve">igh </w:t>
      </w:r>
      <w:r>
        <w:t>S</w:t>
      </w:r>
      <w:r w:rsidRPr="00C636EC">
        <w:t xml:space="preserve">chool Longitudinal </w:t>
      </w:r>
      <w:r>
        <w:t>S</w:t>
      </w:r>
      <w:r w:rsidRPr="00C636EC">
        <w:t>tudy of 2009</w:t>
      </w:r>
      <w:r>
        <w:t xml:space="preserve"> to</w:t>
      </w:r>
      <w:r w:rsidRPr="00C636EC">
        <w:t xml:space="preserve"> examine the association between gender identity and high school and college educational outcomes. </w:t>
      </w:r>
      <w:r>
        <w:t>Authors</w:t>
      </w:r>
      <w:r w:rsidRPr="00C636EC">
        <w:t xml:space="preserve"> compare the educational outcomes of gender-diverse youth—binary transgender, nonbinary, and gender unsure—with those of cisgender youth, and examine differences within the gender-diverse population. </w:t>
      </w:r>
      <w:r>
        <w:t>R</w:t>
      </w:r>
      <w:r w:rsidRPr="00C636EC">
        <w:t xml:space="preserve">esults indicate important differences in educational outcomes within the gender-diverse population: Whereas binary transgender and gender-unsure youth exhibit </w:t>
      </w:r>
      <w:r>
        <w:t xml:space="preserve">increased challenges in their </w:t>
      </w:r>
      <w:r w:rsidRPr="00C636EC">
        <w:t xml:space="preserve">educational </w:t>
      </w:r>
      <w:r>
        <w:t>trajectory</w:t>
      </w:r>
      <w:r w:rsidRPr="00C636EC">
        <w:t xml:space="preserve">, relative to cisgender youth, nonbinary youth do not. </w:t>
      </w:r>
      <w:r>
        <w:t xml:space="preserve">Further, the differences experienced by </w:t>
      </w:r>
      <w:r w:rsidRPr="00C636EC">
        <w:t xml:space="preserve">gender-unsure </w:t>
      </w:r>
      <w:r>
        <w:t>youth</w:t>
      </w:r>
      <w:r w:rsidRPr="00C636EC">
        <w:t xml:space="preserve"> </w:t>
      </w:r>
      <w:r>
        <w:t>persist</w:t>
      </w:r>
      <w:r w:rsidRPr="00C636EC">
        <w:t xml:space="preserve"> even after accounting for differences in social-structural location and social-psychological factors associated with minority stress. </w:t>
      </w:r>
    </w:p>
    <w:p w14:paraId="5BE0AE21" w14:textId="69C188D7" w:rsidR="003D1BCA" w:rsidRPr="003D1BCA" w:rsidRDefault="00000000" w:rsidP="00BF1A23">
      <w:hyperlink r:id="rId15" w:history="1">
        <w:r w:rsidR="00C636EC" w:rsidRPr="00B60FF4">
          <w:rPr>
            <w:rStyle w:val="Hyperlink"/>
          </w:rPr>
          <w:t>https://doi.org/10.1177/08912432211038689</w:t>
        </w:r>
      </w:hyperlink>
    </w:p>
    <w:sectPr w:rsidR="003D1BCA" w:rsidRPr="003D1BC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8F0785" w14:textId="77777777" w:rsidR="00DF1690" w:rsidRDefault="00DF1690" w:rsidP="003D1BCA">
      <w:r>
        <w:separator/>
      </w:r>
    </w:p>
  </w:endnote>
  <w:endnote w:type="continuationSeparator" w:id="0">
    <w:p w14:paraId="670B75B5" w14:textId="77777777" w:rsidR="00DF1690" w:rsidRDefault="00DF1690" w:rsidP="003D1B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0EB29A" w14:textId="77777777" w:rsidR="00DF1690" w:rsidRDefault="00DF1690" w:rsidP="003D1BCA">
      <w:r>
        <w:separator/>
      </w:r>
    </w:p>
  </w:footnote>
  <w:footnote w:type="continuationSeparator" w:id="0">
    <w:p w14:paraId="62F4D932" w14:textId="77777777" w:rsidR="00DF1690" w:rsidRDefault="00DF1690" w:rsidP="003D1BC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A23"/>
    <w:rsid w:val="00051030"/>
    <w:rsid w:val="000A32F3"/>
    <w:rsid w:val="00106F72"/>
    <w:rsid w:val="003633BB"/>
    <w:rsid w:val="00387558"/>
    <w:rsid w:val="003D1BCA"/>
    <w:rsid w:val="003F4609"/>
    <w:rsid w:val="0042706E"/>
    <w:rsid w:val="00614DEF"/>
    <w:rsid w:val="00692054"/>
    <w:rsid w:val="00740216"/>
    <w:rsid w:val="009B414B"/>
    <w:rsid w:val="00A36199"/>
    <w:rsid w:val="00A77130"/>
    <w:rsid w:val="00BF1A23"/>
    <w:rsid w:val="00C636EC"/>
    <w:rsid w:val="00DF16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BBEE77"/>
  <w15:chartTrackingRefBased/>
  <w15:docId w15:val="{198252EB-8324-624C-B451-785BF3AFF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1A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1A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1A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1A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1A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1A2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1A2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1A2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1A2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A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1A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1A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1A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1A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1A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1A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1A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1A23"/>
    <w:rPr>
      <w:rFonts w:eastAsiaTheme="majorEastAsia" w:cstheme="majorBidi"/>
      <w:color w:val="272727" w:themeColor="text1" w:themeTint="D8"/>
    </w:rPr>
  </w:style>
  <w:style w:type="paragraph" w:styleId="Title">
    <w:name w:val="Title"/>
    <w:basedOn w:val="Normal"/>
    <w:next w:val="Normal"/>
    <w:link w:val="TitleChar"/>
    <w:uiPriority w:val="10"/>
    <w:qFormat/>
    <w:rsid w:val="00BF1A2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A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A2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A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1A2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F1A23"/>
    <w:rPr>
      <w:i/>
      <w:iCs/>
      <w:color w:val="404040" w:themeColor="text1" w:themeTint="BF"/>
    </w:rPr>
  </w:style>
  <w:style w:type="paragraph" w:styleId="ListParagraph">
    <w:name w:val="List Paragraph"/>
    <w:basedOn w:val="Normal"/>
    <w:uiPriority w:val="34"/>
    <w:qFormat/>
    <w:rsid w:val="00BF1A23"/>
    <w:pPr>
      <w:ind w:left="720"/>
      <w:contextualSpacing/>
    </w:pPr>
  </w:style>
  <w:style w:type="character" w:styleId="IntenseEmphasis">
    <w:name w:val="Intense Emphasis"/>
    <w:basedOn w:val="DefaultParagraphFont"/>
    <w:uiPriority w:val="21"/>
    <w:qFormat/>
    <w:rsid w:val="00BF1A23"/>
    <w:rPr>
      <w:i/>
      <w:iCs/>
      <w:color w:val="0F4761" w:themeColor="accent1" w:themeShade="BF"/>
    </w:rPr>
  </w:style>
  <w:style w:type="paragraph" w:styleId="IntenseQuote">
    <w:name w:val="Intense Quote"/>
    <w:basedOn w:val="Normal"/>
    <w:next w:val="Normal"/>
    <w:link w:val="IntenseQuoteChar"/>
    <w:uiPriority w:val="30"/>
    <w:qFormat/>
    <w:rsid w:val="00BF1A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1A23"/>
    <w:rPr>
      <w:i/>
      <w:iCs/>
      <w:color w:val="0F4761" w:themeColor="accent1" w:themeShade="BF"/>
    </w:rPr>
  </w:style>
  <w:style w:type="character" w:styleId="IntenseReference">
    <w:name w:val="Intense Reference"/>
    <w:basedOn w:val="DefaultParagraphFont"/>
    <w:uiPriority w:val="32"/>
    <w:qFormat/>
    <w:rsid w:val="00BF1A23"/>
    <w:rPr>
      <w:b/>
      <w:bCs/>
      <w:smallCaps/>
      <w:color w:val="0F4761" w:themeColor="accent1" w:themeShade="BF"/>
      <w:spacing w:val="5"/>
    </w:rPr>
  </w:style>
  <w:style w:type="character" w:styleId="Hyperlink">
    <w:name w:val="Hyperlink"/>
    <w:basedOn w:val="DefaultParagraphFont"/>
    <w:uiPriority w:val="99"/>
    <w:unhideWhenUsed/>
    <w:rsid w:val="003D1BCA"/>
    <w:rPr>
      <w:color w:val="467886" w:themeColor="hyperlink"/>
      <w:u w:val="single"/>
    </w:rPr>
  </w:style>
  <w:style w:type="character" w:styleId="UnresolvedMention">
    <w:name w:val="Unresolved Mention"/>
    <w:basedOn w:val="DefaultParagraphFont"/>
    <w:uiPriority w:val="99"/>
    <w:semiHidden/>
    <w:unhideWhenUsed/>
    <w:rsid w:val="003D1BCA"/>
    <w:rPr>
      <w:color w:val="605E5C"/>
      <w:shd w:val="clear" w:color="auto" w:fill="E1DFDD"/>
    </w:rPr>
  </w:style>
  <w:style w:type="character" w:styleId="FollowedHyperlink">
    <w:name w:val="FollowedHyperlink"/>
    <w:basedOn w:val="DefaultParagraphFont"/>
    <w:uiPriority w:val="99"/>
    <w:semiHidden/>
    <w:unhideWhenUsed/>
    <w:rsid w:val="003D1BCA"/>
    <w:rPr>
      <w:color w:val="96607D" w:themeColor="followedHyperlink"/>
      <w:u w:val="single"/>
    </w:rPr>
  </w:style>
  <w:style w:type="paragraph" w:styleId="Header">
    <w:name w:val="header"/>
    <w:basedOn w:val="Normal"/>
    <w:link w:val="HeaderChar"/>
    <w:uiPriority w:val="99"/>
    <w:unhideWhenUsed/>
    <w:rsid w:val="003D1BCA"/>
    <w:pPr>
      <w:tabs>
        <w:tab w:val="center" w:pos="4680"/>
        <w:tab w:val="right" w:pos="9360"/>
      </w:tabs>
    </w:pPr>
  </w:style>
  <w:style w:type="character" w:customStyle="1" w:styleId="HeaderChar">
    <w:name w:val="Header Char"/>
    <w:basedOn w:val="DefaultParagraphFont"/>
    <w:link w:val="Header"/>
    <w:uiPriority w:val="99"/>
    <w:rsid w:val="003D1BCA"/>
  </w:style>
  <w:style w:type="paragraph" w:styleId="Footer">
    <w:name w:val="footer"/>
    <w:basedOn w:val="Normal"/>
    <w:link w:val="FooterChar"/>
    <w:uiPriority w:val="99"/>
    <w:unhideWhenUsed/>
    <w:rsid w:val="003D1BCA"/>
    <w:pPr>
      <w:tabs>
        <w:tab w:val="center" w:pos="4680"/>
        <w:tab w:val="right" w:pos="9360"/>
      </w:tabs>
    </w:pPr>
  </w:style>
  <w:style w:type="character" w:customStyle="1" w:styleId="FooterChar">
    <w:name w:val="Footer Char"/>
    <w:basedOn w:val="DefaultParagraphFont"/>
    <w:link w:val="Footer"/>
    <w:uiPriority w:val="99"/>
    <w:rsid w:val="003D1BCA"/>
  </w:style>
  <w:style w:type="paragraph" w:styleId="NormalWeb">
    <w:name w:val="Normal (Web)"/>
    <w:basedOn w:val="Normal"/>
    <w:uiPriority w:val="99"/>
    <w:semiHidden/>
    <w:unhideWhenUsed/>
    <w:rsid w:val="00106F7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3314991">
      <w:bodyDiv w:val="1"/>
      <w:marLeft w:val="0"/>
      <w:marRight w:val="0"/>
      <w:marTop w:val="0"/>
      <w:marBottom w:val="0"/>
      <w:divBdr>
        <w:top w:val="none" w:sz="0" w:space="0" w:color="auto"/>
        <w:left w:val="none" w:sz="0" w:space="0" w:color="auto"/>
        <w:bottom w:val="none" w:sz="0" w:space="0" w:color="auto"/>
        <w:right w:val="none" w:sz="0" w:space="0" w:color="auto"/>
      </w:divBdr>
      <w:divsChild>
        <w:div w:id="890574773">
          <w:marLeft w:val="0"/>
          <w:marRight w:val="0"/>
          <w:marTop w:val="0"/>
          <w:marBottom w:val="0"/>
          <w:divBdr>
            <w:top w:val="none" w:sz="0" w:space="0" w:color="auto"/>
            <w:left w:val="none" w:sz="0" w:space="0" w:color="auto"/>
            <w:bottom w:val="none" w:sz="0" w:space="0" w:color="auto"/>
            <w:right w:val="none" w:sz="0" w:space="0" w:color="auto"/>
          </w:divBdr>
          <w:divsChild>
            <w:div w:id="1796605947">
              <w:marLeft w:val="0"/>
              <w:marRight w:val="0"/>
              <w:marTop w:val="0"/>
              <w:marBottom w:val="0"/>
              <w:divBdr>
                <w:top w:val="none" w:sz="0" w:space="0" w:color="auto"/>
                <w:left w:val="none" w:sz="0" w:space="0" w:color="auto"/>
                <w:bottom w:val="none" w:sz="0" w:space="0" w:color="auto"/>
                <w:right w:val="none" w:sz="0" w:space="0" w:color="auto"/>
              </w:divBdr>
              <w:divsChild>
                <w:div w:id="136965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8383390">
      <w:bodyDiv w:val="1"/>
      <w:marLeft w:val="0"/>
      <w:marRight w:val="0"/>
      <w:marTop w:val="0"/>
      <w:marBottom w:val="0"/>
      <w:divBdr>
        <w:top w:val="none" w:sz="0" w:space="0" w:color="auto"/>
        <w:left w:val="none" w:sz="0" w:space="0" w:color="auto"/>
        <w:bottom w:val="none" w:sz="0" w:space="0" w:color="auto"/>
        <w:right w:val="none" w:sz="0" w:space="0" w:color="auto"/>
      </w:divBdr>
      <w:divsChild>
        <w:div w:id="1071849932">
          <w:marLeft w:val="0"/>
          <w:marRight w:val="0"/>
          <w:marTop w:val="0"/>
          <w:marBottom w:val="0"/>
          <w:divBdr>
            <w:top w:val="none" w:sz="0" w:space="0" w:color="auto"/>
            <w:left w:val="none" w:sz="0" w:space="0" w:color="auto"/>
            <w:bottom w:val="none" w:sz="0" w:space="0" w:color="auto"/>
            <w:right w:val="none" w:sz="0" w:space="0" w:color="auto"/>
          </w:divBdr>
          <w:divsChild>
            <w:div w:id="454980341">
              <w:marLeft w:val="0"/>
              <w:marRight w:val="0"/>
              <w:marTop w:val="0"/>
              <w:marBottom w:val="0"/>
              <w:divBdr>
                <w:top w:val="none" w:sz="0" w:space="0" w:color="auto"/>
                <w:left w:val="none" w:sz="0" w:space="0" w:color="auto"/>
                <w:bottom w:val="none" w:sz="0" w:space="0" w:color="auto"/>
                <w:right w:val="none" w:sz="0" w:space="0" w:color="auto"/>
              </w:divBdr>
              <w:divsChild>
                <w:div w:id="136775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346865">
      <w:bodyDiv w:val="1"/>
      <w:marLeft w:val="0"/>
      <w:marRight w:val="0"/>
      <w:marTop w:val="0"/>
      <w:marBottom w:val="0"/>
      <w:divBdr>
        <w:top w:val="none" w:sz="0" w:space="0" w:color="auto"/>
        <w:left w:val="none" w:sz="0" w:space="0" w:color="auto"/>
        <w:bottom w:val="none" w:sz="0" w:space="0" w:color="auto"/>
        <w:right w:val="none" w:sz="0" w:space="0" w:color="auto"/>
      </w:divBdr>
      <w:divsChild>
        <w:div w:id="3285113">
          <w:marLeft w:val="0"/>
          <w:marRight w:val="0"/>
          <w:marTop w:val="0"/>
          <w:marBottom w:val="0"/>
          <w:divBdr>
            <w:top w:val="none" w:sz="0" w:space="0" w:color="auto"/>
            <w:left w:val="none" w:sz="0" w:space="0" w:color="auto"/>
            <w:bottom w:val="none" w:sz="0" w:space="0" w:color="auto"/>
            <w:right w:val="none" w:sz="0" w:space="0" w:color="auto"/>
          </w:divBdr>
        </w:div>
        <w:div w:id="1616905112">
          <w:marLeft w:val="0"/>
          <w:marRight w:val="0"/>
          <w:marTop w:val="0"/>
          <w:marBottom w:val="0"/>
          <w:divBdr>
            <w:top w:val="none" w:sz="0" w:space="0" w:color="auto"/>
            <w:left w:val="none" w:sz="0" w:space="0" w:color="auto"/>
            <w:bottom w:val="none" w:sz="0" w:space="0" w:color="auto"/>
            <w:right w:val="none" w:sz="0" w:space="0" w:color="auto"/>
          </w:divBdr>
        </w:div>
        <w:div w:id="1934165686">
          <w:marLeft w:val="0"/>
          <w:marRight w:val="0"/>
          <w:marTop w:val="0"/>
          <w:marBottom w:val="0"/>
          <w:divBdr>
            <w:top w:val="none" w:sz="0" w:space="0" w:color="auto"/>
            <w:left w:val="none" w:sz="0" w:space="0" w:color="auto"/>
            <w:bottom w:val="none" w:sz="0" w:space="0" w:color="auto"/>
            <w:right w:val="none" w:sz="0" w:space="0" w:color="auto"/>
          </w:divBdr>
        </w:div>
        <w:div w:id="1994480580">
          <w:marLeft w:val="0"/>
          <w:marRight w:val="0"/>
          <w:marTop w:val="0"/>
          <w:marBottom w:val="0"/>
          <w:divBdr>
            <w:top w:val="none" w:sz="0" w:space="0" w:color="auto"/>
            <w:left w:val="none" w:sz="0" w:space="0" w:color="auto"/>
            <w:bottom w:val="none" w:sz="0" w:space="0" w:color="auto"/>
            <w:right w:val="none" w:sz="0" w:space="0" w:color="auto"/>
          </w:divBdr>
        </w:div>
      </w:divsChild>
    </w:div>
    <w:div w:id="617953182">
      <w:bodyDiv w:val="1"/>
      <w:marLeft w:val="0"/>
      <w:marRight w:val="0"/>
      <w:marTop w:val="0"/>
      <w:marBottom w:val="0"/>
      <w:divBdr>
        <w:top w:val="none" w:sz="0" w:space="0" w:color="auto"/>
        <w:left w:val="none" w:sz="0" w:space="0" w:color="auto"/>
        <w:bottom w:val="none" w:sz="0" w:space="0" w:color="auto"/>
        <w:right w:val="none" w:sz="0" w:space="0" w:color="auto"/>
      </w:divBdr>
      <w:divsChild>
        <w:div w:id="252784469">
          <w:marLeft w:val="0"/>
          <w:marRight w:val="0"/>
          <w:marTop w:val="120"/>
          <w:marBottom w:val="0"/>
          <w:divBdr>
            <w:top w:val="none" w:sz="0" w:space="0" w:color="auto"/>
            <w:left w:val="none" w:sz="0" w:space="0" w:color="auto"/>
            <w:bottom w:val="none" w:sz="0" w:space="0" w:color="auto"/>
            <w:right w:val="none" w:sz="0" w:space="0" w:color="auto"/>
          </w:divBdr>
        </w:div>
        <w:div w:id="1670520542">
          <w:marLeft w:val="0"/>
          <w:marRight w:val="0"/>
          <w:marTop w:val="120"/>
          <w:marBottom w:val="0"/>
          <w:divBdr>
            <w:top w:val="none" w:sz="0" w:space="0" w:color="auto"/>
            <w:left w:val="none" w:sz="0" w:space="0" w:color="auto"/>
            <w:bottom w:val="none" w:sz="0" w:space="0" w:color="auto"/>
            <w:right w:val="none" w:sz="0" w:space="0" w:color="auto"/>
          </w:divBdr>
        </w:div>
        <w:div w:id="1036394379">
          <w:marLeft w:val="0"/>
          <w:marRight w:val="0"/>
          <w:marTop w:val="120"/>
          <w:marBottom w:val="0"/>
          <w:divBdr>
            <w:top w:val="none" w:sz="0" w:space="0" w:color="auto"/>
            <w:left w:val="none" w:sz="0" w:space="0" w:color="auto"/>
            <w:bottom w:val="none" w:sz="0" w:space="0" w:color="auto"/>
            <w:right w:val="none" w:sz="0" w:space="0" w:color="auto"/>
          </w:divBdr>
        </w:div>
      </w:divsChild>
    </w:div>
    <w:div w:id="625359304">
      <w:bodyDiv w:val="1"/>
      <w:marLeft w:val="0"/>
      <w:marRight w:val="0"/>
      <w:marTop w:val="0"/>
      <w:marBottom w:val="0"/>
      <w:divBdr>
        <w:top w:val="none" w:sz="0" w:space="0" w:color="auto"/>
        <w:left w:val="none" w:sz="0" w:space="0" w:color="auto"/>
        <w:bottom w:val="none" w:sz="0" w:space="0" w:color="auto"/>
        <w:right w:val="none" w:sz="0" w:space="0" w:color="auto"/>
      </w:divBdr>
      <w:divsChild>
        <w:div w:id="1064643366">
          <w:marLeft w:val="0"/>
          <w:marRight w:val="0"/>
          <w:marTop w:val="0"/>
          <w:marBottom w:val="0"/>
          <w:divBdr>
            <w:top w:val="none" w:sz="0" w:space="0" w:color="auto"/>
            <w:left w:val="none" w:sz="0" w:space="0" w:color="auto"/>
            <w:bottom w:val="none" w:sz="0" w:space="0" w:color="auto"/>
            <w:right w:val="none" w:sz="0" w:space="0" w:color="auto"/>
          </w:divBdr>
        </w:div>
        <w:div w:id="1861897924">
          <w:marLeft w:val="0"/>
          <w:marRight w:val="0"/>
          <w:marTop w:val="0"/>
          <w:marBottom w:val="0"/>
          <w:divBdr>
            <w:top w:val="none" w:sz="0" w:space="0" w:color="auto"/>
            <w:left w:val="none" w:sz="0" w:space="0" w:color="auto"/>
            <w:bottom w:val="none" w:sz="0" w:space="0" w:color="auto"/>
            <w:right w:val="none" w:sz="0" w:space="0" w:color="auto"/>
          </w:divBdr>
        </w:div>
        <w:div w:id="1654019061">
          <w:marLeft w:val="0"/>
          <w:marRight w:val="0"/>
          <w:marTop w:val="0"/>
          <w:marBottom w:val="0"/>
          <w:divBdr>
            <w:top w:val="none" w:sz="0" w:space="0" w:color="auto"/>
            <w:left w:val="none" w:sz="0" w:space="0" w:color="auto"/>
            <w:bottom w:val="none" w:sz="0" w:space="0" w:color="auto"/>
            <w:right w:val="none" w:sz="0" w:space="0" w:color="auto"/>
          </w:divBdr>
        </w:div>
        <w:div w:id="287971844">
          <w:marLeft w:val="0"/>
          <w:marRight w:val="0"/>
          <w:marTop w:val="0"/>
          <w:marBottom w:val="0"/>
          <w:divBdr>
            <w:top w:val="none" w:sz="0" w:space="0" w:color="auto"/>
            <w:left w:val="none" w:sz="0" w:space="0" w:color="auto"/>
            <w:bottom w:val="none" w:sz="0" w:space="0" w:color="auto"/>
            <w:right w:val="none" w:sz="0" w:space="0" w:color="auto"/>
          </w:divBdr>
        </w:div>
      </w:divsChild>
    </w:div>
    <w:div w:id="763722855">
      <w:bodyDiv w:val="1"/>
      <w:marLeft w:val="0"/>
      <w:marRight w:val="0"/>
      <w:marTop w:val="0"/>
      <w:marBottom w:val="0"/>
      <w:divBdr>
        <w:top w:val="none" w:sz="0" w:space="0" w:color="auto"/>
        <w:left w:val="none" w:sz="0" w:space="0" w:color="auto"/>
        <w:bottom w:val="none" w:sz="0" w:space="0" w:color="auto"/>
        <w:right w:val="none" w:sz="0" w:space="0" w:color="auto"/>
      </w:divBdr>
      <w:divsChild>
        <w:div w:id="2003002997">
          <w:marLeft w:val="0"/>
          <w:marRight w:val="0"/>
          <w:marTop w:val="0"/>
          <w:marBottom w:val="0"/>
          <w:divBdr>
            <w:top w:val="none" w:sz="0" w:space="0" w:color="auto"/>
            <w:left w:val="none" w:sz="0" w:space="0" w:color="auto"/>
            <w:bottom w:val="none" w:sz="0" w:space="0" w:color="auto"/>
            <w:right w:val="none" w:sz="0" w:space="0" w:color="auto"/>
          </w:divBdr>
          <w:divsChild>
            <w:div w:id="462965651">
              <w:marLeft w:val="0"/>
              <w:marRight w:val="0"/>
              <w:marTop w:val="0"/>
              <w:marBottom w:val="0"/>
              <w:divBdr>
                <w:top w:val="none" w:sz="0" w:space="0" w:color="auto"/>
                <w:left w:val="none" w:sz="0" w:space="0" w:color="auto"/>
                <w:bottom w:val="none" w:sz="0" w:space="0" w:color="auto"/>
                <w:right w:val="none" w:sz="0" w:space="0" w:color="auto"/>
              </w:divBdr>
              <w:divsChild>
                <w:div w:id="353502372">
                  <w:marLeft w:val="0"/>
                  <w:marRight w:val="0"/>
                  <w:marTop w:val="0"/>
                  <w:marBottom w:val="0"/>
                  <w:divBdr>
                    <w:top w:val="none" w:sz="0" w:space="0" w:color="auto"/>
                    <w:left w:val="none" w:sz="0" w:space="0" w:color="auto"/>
                    <w:bottom w:val="none" w:sz="0" w:space="0" w:color="auto"/>
                    <w:right w:val="none" w:sz="0" w:space="0" w:color="auto"/>
                  </w:divBdr>
                  <w:divsChild>
                    <w:div w:id="89365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6500177">
      <w:bodyDiv w:val="1"/>
      <w:marLeft w:val="0"/>
      <w:marRight w:val="0"/>
      <w:marTop w:val="0"/>
      <w:marBottom w:val="0"/>
      <w:divBdr>
        <w:top w:val="none" w:sz="0" w:space="0" w:color="auto"/>
        <w:left w:val="none" w:sz="0" w:space="0" w:color="auto"/>
        <w:bottom w:val="none" w:sz="0" w:space="0" w:color="auto"/>
        <w:right w:val="none" w:sz="0" w:space="0" w:color="auto"/>
      </w:divBdr>
      <w:divsChild>
        <w:div w:id="886064538">
          <w:marLeft w:val="0"/>
          <w:marRight w:val="0"/>
          <w:marTop w:val="0"/>
          <w:marBottom w:val="0"/>
          <w:divBdr>
            <w:top w:val="none" w:sz="0" w:space="0" w:color="auto"/>
            <w:left w:val="none" w:sz="0" w:space="0" w:color="auto"/>
            <w:bottom w:val="none" w:sz="0" w:space="0" w:color="auto"/>
            <w:right w:val="none" w:sz="0" w:space="0" w:color="auto"/>
          </w:divBdr>
          <w:divsChild>
            <w:div w:id="1163274454">
              <w:marLeft w:val="0"/>
              <w:marRight w:val="0"/>
              <w:marTop w:val="0"/>
              <w:marBottom w:val="0"/>
              <w:divBdr>
                <w:top w:val="none" w:sz="0" w:space="0" w:color="auto"/>
                <w:left w:val="none" w:sz="0" w:space="0" w:color="auto"/>
                <w:bottom w:val="none" w:sz="0" w:space="0" w:color="auto"/>
                <w:right w:val="none" w:sz="0" w:space="0" w:color="auto"/>
              </w:divBdr>
              <w:divsChild>
                <w:div w:id="1012492117">
                  <w:marLeft w:val="0"/>
                  <w:marRight w:val="0"/>
                  <w:marTop w:val="0"/>
                  <w:marBottom w:val="0"/>
                  <w:divBdr>
                    <w:top w:val="none" w:sz="0" w:space="0" w:color="auto"/>
                    <w:left w:val="none" w:sz="0" w:space="0" w:color="auto"/>
                    <w:bottom w:val="none" w:sz="0" w:space="0" w:color="auto"/>
                    <w:right w:val="none" w:sz="0" w:space="0" w:color="auto"/>
                  </w:divBdr>
                  <w:divsChild>
                    <w:div w:id="26800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1812522">
      <w:bodyDiv w:val="1"/>
      <w:marLeft w:val="0"/>
      <w:marRight w:val="0"/>
      <w:marTop w:val="0"/>
      <w:marBottom w:val="0"/>
      <w:divBdr>
        <w:top w:val="none" w:sz="0" w:space="0" w:color="auto"/>
        <w:left w:val="none" w:sz="0" w:space="0" w:color="auto"/>
        <w:bottom w:val="none" w:sz="0" w:space="0" w:color="auto"/>
        <w:right w:val="none" w:sz="0" w:space="0" w:color="auto"/>
      </w:divBdr>
    </w:div>
    <w:div w:id="1596552123">
      <w:bodyDiv w:val="1"/>
      <w:marLeft w:val="0"/>
      <w:marRight w:val="0"/>
      <w:marTop w:val="0"/>
      <w:marBottom w:val="0"/>
      <w:divBdr>
        <w:top w:val="none" w:sz="0" w:space="0" w:color="auto"/>
        <w:left w:val="none" w:sz="0" w:space="0" w:color="auto"/>
        <w:bottom w:val="none" w:sz="0" w:space="0" w:color="auto"/>
        <w:right w:val="none" w:sz="0" w:space="0" w:color="auto"/>
      </w:divBdr>
      <w:divsChild>
        <w:div w:id="1747726869">
          <w:marLeft w:val="0"/>
          <w:marRight w:val="0"/>
          <w:marTop w:val="120"/>
          <w:marBottom w:val="0"/>
          <w:divBdr>
            <w:top w:val="none" w:sz="0" w:space="0" w:color="auto"/>
            <w:left w:val="none" w:sz="0" w:space="0" w:color="auto"/>
            <w:bottom w:val="none" w:sz="0" w:space="0" w:color="auto"/>
            <w:right w:val="none" w:sz="0" w:space="0" w:color="auto"/>
          </w:divBdr>
        </w:div>
        <w:div w:id="1543981594">
          <w:marLeft w:val="0"/>
          <w:marRight w:val="0"/>
          <w:marTop w:val="120"/>
          <w:marBottom w:val="0"/>
          <w:divBdr>
            <w:top w:val="none" w:sz="0" w:space="0" w:color="auto"/>
            <w:left w:val="none" w:sz="0" w:space="0" w:color="auto"/>
            <w:bottom w:val="none" w:sz="0" w:space="0" w:color="auto"/>
            <w:right w:val="none" w:sz="0" w:space="0" w:color="auto"/>
          </w:divBdr>
        </w:div>
        <w:div w:id="1889873345">
          <w:marLeft w:val="0"/>
          <w:marRight w:val="0"/>
          <w:marTop w:val="120"/>
          <w:marBottom w:val="0"/>
          <w:divBdr>
            <w:top w:val="none" w:sz="0" w:space="0" w:color="auto"/>
            <w:left w:val="none" w:sz="0" w:space="0" w:color="auto"/>
            <w:bottom w:val="none" w:sz="0" w:space="0" w:color="auto"/>
            <w:right w:val="none" w:sz="0" w:space="0" w:color="auto"/>
          </w:divBdr>
        </w:div>
      </w:divsChild>
    </w:div>
    <w:div w:id="1670715658">
      <w:bodyDiv w:val="1"/>
      <w:marLeft w:val="0"/>
      <w:marRight w:val="0"/>
      <w:marTop w:val="0"/>
      <w:marBottom w:val="0"/>
      <w:divBdr>
        <w:top w:val="none" w:sz="0" w:space="0" w:color="auto"/>
        <w:left w:val="none" w:sz="0" w:space="0" w:color="auto"/>
        <w:bottom w:val="none" w:sz="0" w:space="0" w:color="auto"/>
        <w:right w:val="none" w:sz="0" w:space="0" w:color="auto"/>
      </w:divBdr>
      <w:divsChild>
        <w:div w:id="1563981928">
          <w:marLeft w:val="0"/>
          <w:marRight w:val="0"/>
          <w:marTop w:val="0"/>
          <w:marBottom w:val="0"/>
          <w:divBdr>
            <w:top w:val="none" w:sz="0" w:space="0" w:color="auto"/>
            <w:left w:val="none" w:sz="0" w:space="0" w:color="auto"/>
            <w:bottom w:val="none" w:sz="0" w:space="0" w:color="auto"/>
            <w:right w:val="none" w:sz="0" w:space="0" w:color="auto"/>
          </w:divBdr>
          <w:divsChild>
            <w:div w:id="1129981370">
              <w:marLeft w:val="0"/>
              <w:marRight w:val="0"/>
              <w:marTop w:val="0"/>
              <w:marBottom w:val="0"/>
              <w:divBdr>
                <w:top w:val="none" w:sz="0" w:space="0" w:color="auto"/>
                <w:left w:val="none" w:sz="0" w:space="0" w:color="auto"/>
                <w:bottom w:val="none" w:sz="0" w:space="0" w:color="auto"/>
                <w:right w:val="none" w:sz="0" w:space="0" w:color="auto"/>
              </w:divBdr>
              <w:divsChild>
                <w:div w:id="1873953475">
                  <w:marLeft w:val="0"/>
                  <w:marRight w:val="0"/>
                  <w:marTop w:val="0"/>
                  <w:marBottom w:val="0"/>
                  <w:divBdr>
                    <w:top w:val="none" w:sz="0" w:space="0" w:color="auto"/>
                    <w:left w:val="none" w:sz="0" w:space="0" w:color="auto"/>
                    <w:bottom w:val="none" w:sz="0" w:space="0" w:color="auto"/>
                    <w:right w:val="none" w:sz="0" w:space="0" w:color="auto"/>
                  </w:divBdr>
                  <w:divsChild>
                    <w:div w:id="77444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4886563">
      <w:bodyDiv w:val="1"/>
      <w:marLeft w:val="0"/>
      <w:marRight w:val="0"/>
      <w:marTop w:val="0"/>
      <w:marBottom w:val="0"/>
      <w:divBdr>
        <w:top w:val="none" w:sz="0" w:space="0" w:color="auto"/>
        <w:left w:val="none" w:sz="0" w:space="0" w:color="auto"/>
        <w:bottom w:val="none" w:sz="0" w:space="0" w:color="auto"/>
        <w:right w:val="none" w:sz="0" w:space="0" w:color="auto"/>
      </w:divBdr>
      <w:divsChild>
        <w:div w:id="1949896361">
          <w:marLeft w:val="0"/>
          <w:marRight w:val="0"/>
          <w:marTop w:val="0"/>
          <w:marBottom w:val="0"/>
          <w:divBdr>
            <w:top w:val="none" w:sz="0" w:space="0" w:color="auto"/>
            <w:left w:val="none" w:sz="0" w:space="0" w:color="auto"/>
            <w:bottom w:val="none" w:sz="0" w:space="0" w:color="auto"/>
            <w:right w:val="none" w:sz="0" w:space="0" w:color="auto"/>
          </w:divBdr>
          <w:divsChild>
            <w:div w:id="786700576">
              <w:marLeft w:val="0"/>
              <w:marRight w:val="0"/>
              <w:marTop w:val="0"/>
              <w:marBottom w:val="0"/>
              <w:divBdr>
                <w:top w:val="none" w:sz="0" w:space="0" w:color="auto"/>
                <w:left w:val="none" w:sz="0" w:space="0" w:color="auto"/>
                <w:bottom w:val="none" w:sz="0" w:space="0" w:color="auto"/>
                <w:right w:val="none" w:sz="0" w:space="0" w:color="auto"/>
              </w:divBdr>
              <w:divsChild>
                <w:div w:id="585459907">
                  <w:marLeft w:val="0"/>
                  <w:marRight w:val="0"/>
                  <w:marTop w:val="0"/>
                  <w:marBottom w:val="0"/>
                  <w:divBdr>
                    <w:top w:val="none" w:sz="0" w:space="0" w:color="auto"/>
                    <w:left w:val="none" w:sz="0" w:space="0" w:color="auto"/>
                    <w:bottom w:val="none" w:sz="0" w:space="0" w:color="auto"/>
                    <w:right w:val="none" w:sz="0" w:space="0" w:color="auto"/>
                  </w:divBdr>
                  <w:divsChild>
                    <w:div w:id="212599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4081221">
      <w:bodyDiv w:val="1"/>
      <w:marLeft w:val="0"/>
      <w:marRight w:val="0"/>
      <w:marTop w:val="0"/>
      <w:marBottom w:val="0"/>
      <w:divBdr>
        <w:top w:val="none" w:sz="0" w:space="0" w:color="auto"/>
        <w:left w:val="none" w:sz="0" w:space="0" w:color="auto"/>
        <w:bottom w:val="none" w:sz="0" w:space="0" w:color="auto"/>
        <w:right w:val="none" w:sz="0" w:space="0" w:color="auto"/>
      </w:divBdr>
      <w:divsChild>
        <w:div w:id="981270647">
          <w:marLeft w:val="0"/>
          <w:marRight w:val="0"/>
          <w:marTop w:val="0"/>
          <w:marBottom w:val="0"/>
          <w:divBdr>
            <w:top w:val="none" w:sz="0" w:space="0" w:color="auto"/>
            <w:left w:val="none" w:sz="0" w:space="0" w:color="auto"/>
            <w:bottom w:val="none" w:sz="0" w:space="0" w:color="auto"/>
            <w:right w:val="none" w:sz="0" w:space="0" w:color="auto"/>
          </w:divBdr>
          <w:divsChild>
            <w:div w:id="389889640">
              <w:marLeft w:val="0"/>
              <w:marRight w:val="0"/>
              <w:marTop w:val="0"/>
              <w:marBottom w:val="0"/>
              <w:divBdr>
                <w:top w:val="none" w:sz="0" w:space="0" w:color="auto"/>
                <w:left w:val="none" w:sz="0" w:space="0" w:color="auto"/>
                <w:bottom w:val="none" w:sz="0" w:space="0" w:color="auto"/>
                <w:right w:val="none" w:sz="0" w:space="0" w:color="auto"/>
              </w:divBdr>
              <w:divsChild>
                <w:div w:id="42017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785811">
      <w:bodyDiv w:val="1"/>
      <w:marLeft w:val="0"/>
      <w:marRight w:val="0"/>
      <w:marTop w:val="0"/>
      <w:marBottom w:val="0"/>
      <w:divBdr>
        <w:top w:val="none" w:sz="0" w:space="0" w:color="auto"/>
        <w:left w:val="none" w:sz="0" w:space="0" w:color="auto"/>
        <w:bottom w:val="none" w:sz="0" w:space="0" w:color="auto"/>
        <w:right w:val="none" w:sz="0" w:space="0" w:color="auto"/>
      </w:divBdr>
      <w:divsChild>
        <w:div w:id="103617470">
          <w:marLeft w:val="0"/>
          <w:marRight w:val="0"/>
          <w:marTop w:val="0"/>
          <w:marBottom w:val="0"/>
          <w:divBdr>
            <w:top w:val="none" w:sz="0" w:space="0" w:color="auto"/>
            <w:left w:val="none" w:sz="0" w:space="0" w:color="auto"/>
            <w:bottom w:val="none" w:sz="0" w:space="0" w:color="auto"/>
            <w:right w:val="none" w:sz="0" w:space="0" w:color="auto"/>
          </w:divBdr>
          <w:divsChild>
            <w:div w:id="298802496">
              <w:marLeft w:val="0"/>
              <w:marRight w:val="0"/>
              <w:marTop w:val="0"/>
              <w:marBottom w:val="0"/>
              <w:divBdr>
                <w:top w:val="none" w:sz="0" w:space="0" w:color="auto"/>
                <w:left w:val="none" w:sz="0" w:space="0" w:color="auto"/>
                <w:bottom w:val="none" w:sz="0" w:space="0" w:color="auto"/>
                <w:right w:val="none" w:sz="0" w:space="0" w:color="auto"/>
              </w:divBdr>
              <w:divsChild>
                <w:div w:id="505825269">
                  <w:marLeft w:val="0"/>
                  <w:marRight w:val="0"/>
                  <w:marTop w:val="0"/>
                  <w:marBottom w:val="0"/>
                  <w:divBdr>
                    <w:top w:val="none" w:sz="0" w:space="0" w:color="auto"/>
                    <w:left w:val="none" w:sz="0" w:space="0" w:color="auto"/>
                    <w:bottom w:val="none" w:sz="0" w:space="0" w:color="auto"/>
                    <w:right w:val="none" w:sz="0" w:space="0" w:color="auto"/>
                  </w:divBdr>
                  <w:divsChild>
                    <w:div w:id="200620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77/016146811011200106" TargetMode="External"/><Relationship Id="rId13" Type="http://schemas.openxmlformats.org/officeDocument/2006/relationships/hyperlink" Target="https://doi.org/10.1080/09518398.2016.1268279" TargetMode="External"/><Relationship Id="rId3" Type="http://schemas.openxmlformats.org/officeDocument/2006/relationships/webSettings" Target="webSettings.xml"/><Relationship Id="rId7" Type="http://schemas.openxmlformats.org/officeDocument/2006/relationships/hyperlink" Target="https://doi.org/10.1080/19361653.2023.2264830" TargetMode="External"/><Relationship Id="rId12" Type="http://schemas.openxmlformats.org/officeDocument/2006/relationships/hyperlink" Target="https://doi.org/10.1353/csd.2015.0017"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doi.org/10.1080/00131911.2020.1816907" TargetMode="External"/><Relationship Id="rId11" Type="http://schemas.openxmlformats.org/officeDocument/2006/relationships/hyperlink" Target="https://doi.org/10.1016/j.jadohealth.2020.06.002" TargetMode="External"/><Relationship Id="rId5" Type="http://schemas.openxmlformats.org/officeDocument/2006/relationships/endnotes" Target="endnotes.xml"/><Relationship Id="rId15" Type="http://schemas.openxmlformats.org/officeDocument/2006/relationships/hyperlink" Target="https://doi.org/10.1177/08912432211038689" TargetMode="External"/><Relationship Id="rId10" Type="http://schemas.openxmlformats.org/officeDocument/2006/relationships/hyperlink" Target="https://doi.org/10.1080/19361653.2014.840761" TargetMode="External"/><Relationship Id="rId4" Type="http://schemas.openxmlformats.org/officeDocument/2006/relationships/footnotes" Target="footnotes.xml"/><Relationship Id="rId9" Type="http://schemas.openxmlformats.org/officeDocument/2006/relationships/hyperlink" Target="https://doi.org/10.1177/2156759X0801100503" TargetMode="External"/><Relationship Id="rId14" Type="http://schemas.openxmlformats.org/officeDocument/2006/relationships/hyperlink" Target="https://doi.org/10.1016/j.jadohealth.2011.02.0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1408</Words>
  <Characters>8027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Alexandria M Hurtt</dc:creator>
  <cp:keywords/>
  <dc:description/>
  <cp:lastModifiedBy>Alexandria M Hurtt</cp:lastModifiedBy>
  <cp:revision>2</cp:revision>
  <dcterms:created xsi:type="dcterms:W3CDTF">2024-03-04T00:35:00Z</dcterms:created>
  <dcterms:modified xsi:type="dcterms:W3CDTF">2024-03-04T00:35:00Z</dcterms:modified>
</cp:coreProperties>
</file>