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executive-summary"/>
    <w:p>
      <w:pPr>
        <w:pStyle w:val="Heading1"/>
      </w:pPr>
      <w:r>
        <w:t xml:space="preserve">Executive Summary</w:t>
      </w:r>
    </w:p>
    <w:p>
      <w:pPr>
        <w:pStyle w:val="FirstParagraph"/>
      </w:pPr>
      <w:r>
        <w:rPr>
          <w:b/>
          <w:bCs/>
        </w:rPr>
        <w:t xml:space="preserve">Navigating the Transition to College: LGBTQ+ Students’ High School Experiences and Academic Plans</w:t>
      </w:r>
    </w:p>
    <w:p>
      <w:pPr>
        <w:pStyle w:val="BodyText"/>
      </w:pPr>
      <w:r>
        <w:t xml:space="preserve">Christina Sun, Alexandria Hurtt, and Michal Kurlaender | University of California, Davis</w:t>
      </w:r>
    </w:p>
    <w:p>
      <w:r>
        <w:pict>
          <v:rect style="width:0;height:1.5pt" o:hralign="center" o:hrstd="t" o:hr="t"/>
        </w:pict>
      </w:r>
    </w:p>
    <w:p>
      <w:pPr>
        <w:pStyle w:val="FirstParagraph"/>
      </w:pPr>
      <w:r>
        <w:t xml:space="preserve">This study addresses a gap in research on the diversity of experience across gender identity and sexual orientation during the high school to college transition. These questions are urgent given recent federal rollbacks of LGBTQ+ protections, including executive orders withdrawing recognition of transgender identities and restrictions on Title IX. As other states have restricted discussion of sexual orientation and gender identity in schools, California has strengthened protections, underscoring the importance of state-level data and action.</w:t>
      </w:r>
    </w:p>
    <w:p>
      <w:pPr>
        <w:pStyle w:val="BodyText"/>
      </w:pPr>
      <w:r>
        <w:t xml:space="preserve">We draw on a survey of 9,230 California high school seniors conducted in May 2023 in partnership with the California Student Aid Commission (CSAC), disaggregating results by gender identity (cisgender, transgender, nonbinary, gender diverse/questioning) and sexual orientation. Our analytic sample includes 7,522 respondents.</w:t>
      </w:r>
    </w:p>
    <w:bookmarkStart w:id="9" w:name="key-findings"/>
    <w:p>
      <w:pPr>
        <w:pStyle w:val="Heading2"/>
      </w:pPr>
      <w:r>
        <w:t xml:space="preserve">Key Findings</w:t>
      </w:r>
    </w:p>
    <w:p>
      <w:pPr>
        <w:pStyle w:val="FirstParagraph"/>
      </w:pPr>
      <w:r>
        <w:rPr>
          <w:b/>
          <w:bCs/>
        </w:rPr>
        <w:t xml:space="preserve">Trans and gender expansive students and sexual minority students report substantially less positive high school experiences than their cisgender and heterosexual peers.</w:t>
      </w:r>
      <w:r>
        <w:t xml:space="preserve"> </w:t>
      </w:r>
      <w:r>
        <w:t xml:space="preserve">On a composite index of six items (academic performance, social experience, belonging, teacher care, college advising, and college preparedness), cisgender men scored highest (mean = 4.3 on a -12 to 12 scale), followed by cisgender women (3.8), while gender diverse/questioning students scored lowest (1.1). By sexual orientation, all non-heterosexual groups reported significantly lower scores than straight/heterosexual students (mean = 4.1), with bisexual/pansexual/omnisexual students (3.1) and those who preferred not to disclose (2.9) showing the largest gaps. These differences are robust to demographic controls.</w:t>
      </w:r>
    </w:p>
    <w:p>
      <w:pPr>
        <w:pStyle w:val="BodyText"/>
      </w:pPr>
      <w:r>
        <w:rPr>
          <w:b/>
          <w:bCs/>
        </w:rPr>
        <w:t xml:space="preserve">Identity-based bullying is pervasive among LGBTQ+ students and partly, but not fully, explains the high school experience gap.</w:t>
      </w:r>
      <w:r>
        <w:t xml:space="preserve"> </w:t>
      </w:r>
      <w:r>
        <w:t xml:space="preserve">While 84% of cisgender men reported no bullying in the past year, only 35% of transgender students reported the same. By sexual orientation, only about 61% of gay/lesbian and 62% of bisexual/pansexual/omnisexual students reported no bullying, compared to 82% of straight/heterosexual students. Among bullied students, 100% of transgender students (</w:t>
      </w:r>
      <w:r>
        <w:rPr>
          <w:i/>
          <w:iCs/>
        </w:rPr>
        <w:t xml:space="preserve">n</w:t>
      </w:r>
      <w:r>
        <w:t xml:space="preserve"> </w:t>
      </w:r>
      <w:r>
        <w:t xml:space="preserve">= 42) and 97% of gay or lesbian students attributed it to their gender identity or sexual orientation, compared to 35% of cisgender men and 28% of straight/heterosexual students. Controlling for bullying attenuates the high school experience gaps but does not eliminate them for most groups. A notable exception: for gay or lesbian students, the high school experience gap is fully explained by bullying, while for bisexual/pansexual/omnisexual students, significant disparities persist even after accounting for bullying.</w:t>
      </w:r>
    </w:p>
    <w:p>
      <w:pPr>
        <w:pStyle w:val="BlockText"/>
      </w:pPr>
      <w:r>
        <w:rPr>
          <w:b/>
          <w:bCs/>
        </w:rPr>
        <w:t xml:space="preserve">[Include Figure 3: Frequency of Bullying/Harassment in the Past Year]</w:t>
      </w:r>
    </w:p>
    <w:p>
      <w:pPr>
        <w:pStyle w:val="BlockText"/>
      </w:pPr>
      <w:r>
        <w:rPr>
          <w:b/>
          <w:bCs/>
        </w:rPr>
        <w:t xml:space="preserve">[Include Figure 4: Bullying Attributed to Gender Identity or Sexual Orientation]</w:t>
      </w:r>
    </w:p>
    <w:p>
      <w:pPr>
        <w:pStyle w:val="FirstParagraph"/>
      </w:pPr>
      <w:r>
        <w:rPr>
          <w:b/>
          <w:bCs/>
        </w:rPr>
        <w:t xml:space="preserve">Worries about discrimination persist after controlling for bullying, reflecting anticipatory concerns about future discrimination.</w:t>
      </w:r>
      <w:r>
        <w:t xml:space="preserve"> </w:t>
      </w:r>
      <w:r>
        <w:t xml:space="preserve">Trans and gender expansive students report significantly higher discrimination worries than cisgender peers, and all non-heterosexual groups report higher discrimination worries than straight/heterosexual students. These differences are not explained by past bullying experiences, consistent with the minority stress framework. Within the trans and gender expansive population, binary-identifying transgender students report higher discrimination worries than nonbinary and gender diverse/questioning students, highlighting important heterogeneity that would be obscured by treating LGBTQ+ students as a single group. Worries about financial burdens do not differ by gender identity or sexual orientation.</w:t>
      </w:r>
    </w:p>
    <w:p>
      <w:pPr>
        <w:pStyle w:val="BlockText"/>
      </w:pPr>
      <w:r>
        <w:rPr>
          <w:b/>
          <w:bCs/>
        </w:rPr>
        <w:t xml:space="preserve">[Include Figure 6: Regression of Worries about Discrimination on Gender Identity]</w:t>
      </w:r>
    </w:p>
    <w:p>
      <w:pPr>
        <w:pStyle w:val="FirstParagraph"/>
      </w:pPr>
      <w:r>
        <w:rPr>
          <w:b/>
          <w:bCs/>
        </w:rPr>
        <w:t xml:space="preserve">Despite less positive high school experiences, LGBTQ+ students maintain elevated educational aspirations.</w:t>
      </w:r>
      <w:r>
        <w:t xml:space="preserve"> </w:t>
      </w:r>
      <w:r>
        <w:t xml:space="preserve">Trans and gender expansive students planned to enroll in four-year colleges and pursue advanced degrees at higher rates than cisgender peers (nonbinary: OR = 1.80; transgender men: OR = 1.74). By sexual orientation, gay or lesbian and bisexual/pansexual/omnisexual students were also significantly more likely to plan four-year enrollment and to report higher degree aspirations. Trans and gender expansive students were also more likely to intend to study humanities and the arts (25–31% vs. 11% overall).</w:t>
      </w:r>
    </w:p>
    <w:p>
      <w:pPr>
        <w:pStyle w:val="BlockText"/>
      </w:pPr>
      <w:r>
        <w:rPr>
          <w:b/>
          <w:bCs/>
        </w:rPr>
        <w:t xml:space="preserve">[Include Figure 12: Plans for Degree Completion by Gender Identity]</w:t>
      </w:r>
    </w:p>
    <w:p>
      <w:pPr>
        <w:pStyle w:val="FirstParagraph"/>
      </w:pPr>
      <w:r>
        <w:rPr>
          <w:b/>
          <w:bCs/>
        </w:rPr>
        <w:t xml:space="preserve">Qualitative responses reveal both fear of discrimination and hope that college will offer a more affirming environment.</w:t>
      </w:r>
      <w:r>
        <w:t xml:space="preserve"> </w:t>
      </w:r>
      <w:r>
        <w:t xml:space="preserve">Nearly one-quarter of trans and gender expansive students identified social challenges as a primary college concern, including fears of transphobia. Yet over 36% expressed excitement about finding community and accessing gender-affirming resources. One trans woman noted college offered</w:t>
      </w:r>
      <w:r>
        <w:t xml:space="preserve"> </w:t>
      </w:r>
      <w:r>
        <w:t xml:space="preserve">“the ability to transition my gender identity, as my parents are opposed to it.”</w:t>
      </w:r>
    </w:p>
    <w:bookmarkEnd w:id="9"/>
    <w:bookmarkStart w:id="10" w:name="policy-implications"/>
    <w:p>
      <w:pPr>
        <w:pStyle w:val="Heading2"/>
      </w:pPr>
      <w:r>
        <w:t xml:space="preserve">Policy Implications</w:t>
      </w:r>
    </w:p>
    <w:p>
      <w:pPr>
        <w:numPr>
          <w:ilvl w:val="0"/>
          <w:numId w:val="1001"/>
        </w:numPr>
      </w:pPr>
      <w:r>
        <w:rPr>
          <w:b/>
          <w:bCs/>
        </w:rPr>
        <w:t xml:space="preserve">Targeted anti-bullying interventions.</w:t>
      </w:r>
      <w:r>
        <w:t xml:space="preserve"> </w:t>
      </w:r>
      <w:r>
        <w:t xml:space="preserve">Generic programs are insufficient. California’s Seth’s Law (AB 9) enumerates sexual orientation and gender identity as protected categories, yet identity-based victimization persists. Districts need additional resources and accountability, including expanded support for GSAs and staff professional development.</w:t>
      </w:r>
    </w:p>
    <w:p>
      <w:pPr>
        <w:numPr>
          <w:ilvl w:val="0"/>
          <w:numId w:val="1001"/>
        </w:numPr>
      </w:pPr>
      <w:r>
        <w:rPr>
          <w:b/>
          <w:bCs/>
        </w:rPr>
        <w:t xml:space="preserve">Individualized transition supports.</w:t>
      </w:r>
      <w:r>
        <w:t xml:space="preserve"> </w:t>
      </w:r>
      <w:r>
        <w:t xml:space="preserve">The variation in experiences across both gender identity and sexual orientation subgroups reinforces the need for individualized supports rather than one-size-fits-all approaches. For example, bullying fully explains the high school experience gap for gay or lesbian students but not for bisexual/pansexual students, and transgender students report higher discrimination worries than other non-cisgender students. Bridge programs, mentoring, and campus resources should address the specific concerns these students reported: discrimination, community-building, and gender-affirming services.</w:t>
      </w:r>
    </w:p>
    <w:p>
      <w:pPr>
        <w:numPr>
          <w:ilvl w:val="0"/>
          <w:numId w:val="1001"/>
        </w:numPr>
      </w:pPr>
      <w:r>
        <w:rPr>
          <w:b/>
          <w:bCs/>
        </w:rPr>
        <w:t xml:space="preserve">Continued data disaggregation.</w:t>
      </w:r>
      <w:r>
        <w:t xml:space="preserve"> </w:t>
      </w:r>
      <w:r>
        <w:t xml:space="preserve">Partnership with CSAC allowed us to identify disparities invisible in datasets that treat LGBTQ+ students as a monolithic group. This level of detail is essential for monitoring school climate, though it must be balanced with robust privacy protections.</w:t>
      </w:r>
    </w:p>
    <w:p>
      <w:pPr>
        <w:pStyle w:val="FirstParagraph"/>
      </w:pPr>
      <w:r>
        <w:rPr>
          <w:b/>
          <w:bCs/>
        </w:rPr>
        <w:t xml:space="preserve">Caveats.</w:t>
      </w:r>
      <w:r>
        <w:t xml:space="preserve"> </w:t>
      </w:r>
      <w:r>
        <w:t xml:space="preserve">Our sample is restricted to college-intending seniors who filed financial aid applications; the disparities documented here likely understate those in the broader population. Small subgroup sizes (e.g., transgender women,</w:t>
      </w:r>
      <w:r>
        <w:t xml:space="preserve"> </w:t>
      </w:r>
      <w:r>
        <w:rPr>
          <w:i/>
          <w:iCs/>
        </w:rPr>
        <w:t xml:space="preserve">n</w:t>
      </w:r>
      <w:r>
        <w:t xml:space="preserve"> </w:t>
      </w:r>
      <w:r>
        <w:t xml:space="preserve">= 20) limit precision for some categories.</w:t>
      </w:r>
    </w:p>
    <w:p>
      <w:r>
        <w:pict>
          <v:rect style="width:0;height:1.5pt" o:hralign="center" o:hrstd="t" o:hr="t"/>
        </w:pict>
      </w:r>
    </w:p>
    <w:p>
      <w:pPr>
        <w:pStyle w:val="FirstParagraph"/>
      </w:pPr>
      <w:r>
        <w:rPr>
          <w:i/>
          <w:iCs/>
        </w:rPr>
        <w:t xml:space="preserve">Data source: May 2023 survey of California high school seniors, in partnership with CSAC. Analytic sample: n = 7,522.</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2026-03-19T04:15:00Z</dcterms:created>
  <dcterms:modified xsi:type="dcterms:W3CDTF">2026-03-19T04:15:00Z</dcterms:modified>
</cp:coreProperties>
</file>

<file path=docProps/custom.xml><?xml version="1.0" encoding="utf-8"?>
<Properties xmlns="http://schemas.openxmlformats.org/officeDocument/2006/custom-properties" xmlns:vt="http://schemas.openxmlformats.org/officeDocument/2006/docPropsVTypes"/>
</file>