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953074" w:rsidRDefault="00B978AA" w:rsidP="006A4E85">
      <w:pPr>
        <w:pStyle w:val="Title"/>
        <w:jc w:val="center"/>
        <w:rPr>
          <w:rFonts w:asciiTheme="majorHAnsi" w:hAnsiTheme="majorHAnsi" w:cstheme="majorHAnsi"/>
          <w:b/>
          <w:bCs/>
          <w:sz w:val="24"/>
          <w:szCs w:val="24"/>
        </w:rPr>
      </w:pPr>
      <w:r>
        <w:rPr>
          <w:rFonts w:asciiTheme="majorHAnsi" w:hAnsiTheme="majorHAnsi" w:cstheme="majorHAnsi"/>
          <w:b/>
          <w:bCs/>
          <w:sz w:val="24"/>
          <w:szCs w:val="24"/>
        </w:rPr>
        <w:t xml:space="preserve">Navigating the Transition to College: </w:t>
      </w:r>
      <w:commentRangeStart w:id="0"/>
      <w:commentRangeStart w:id="1"/>
      <w:r>
        <w:rPr>
          <w:rFonts w:asciiTheme="majorHAnsi" w:hAnsiTheme="majorHAnsi" w:cstheme="majorHAnsi"/>
          <w:b/>
          <w:bCs/>
          <w:sz w:val="24"/>
          <w:szCs w:val="24"/>
        </w:rPr>
        <w:t xml:space="preserve">LGBTQ+ </w:t>
      </w:r>
      <w:commentRangeEnd w:id="0"/>
      <w:r>
        <w:rPr>
          <w:rStyle w:val="CommentReference"/>
          <w:rFonts w:asciiTheme="majorHAnsi" w:hAnsiTheme="majorHAnsi" w:cstheme="majorHAnsi"/>
          <w:b/>
          <w:bCs/>
          <w:sz w:val="24"/>
          <w:szCs w:val="24"/>
        </w:rPr>
        <w:commentReference w:id="0"/>
      </w:r>
      <w:commentRangeEnd w:id="1"/>
      <w:r>
        <w:rPr>
          <w:rStyle w:val="CommentReference"/>
          <w:rFonts w:asciiTheme="majorHAnsi" w:hAnsiTheme="majorHAnsi" w:cstheme="majorHAnsi"/>
          <w:b/>
          <w:bCs/>
          <w:sz w:val="24"/>
          <w:szCs w:val="24"/>
        </w:rPr>
        <w:commentReference w:id="1"/>
      </w:r>
      <w:r>
        <w:rPr>
          <w:rFonts w:asciiTheme="majorHAnsi" w:hAnsiTheme="majorHAnsi" w:cstheme="majorHAnsi"/>
          <w:b/>
          <w:bCs/>
          <w:sz w:val="24"/>
          <w:szCs w:val="24"/>
        </w:rPr>
        <w:t>Students’ High School Experiences and Academic Plans</w:t>
      </w:r>
    </w:p>
    <w:p w14:paraId="7439AD65" w14:textId="77777777" w:rsidR="00BD041A" w:rsidRPr="00953074" w:rsidRDefault="00BD041A">
      <w:pPr>
        <w:jc w:val="center"/>
        <w:rPr>
          <w:rFonts w:asciiTheme="majorHAnsi" w:hAnsiTheme="majorHAnsi" w:cstheme="majorHAnsi"/>
          <w:b/>
          <w:bCs/>
        </w:rPr>
      </w:pPr>
    </w:p>
    <w:p w14:paraId="2518AF03" w14:textId="03E27BB3" w:rsidR="004B10E6" w:rsidRPr="00953074" w:rsidRDefault="003803B1" w:rsidP="003803B1">
      <w:pPr>
        <w:jc w:val="center"/>
        <w:rPr>
          <w:rFonts w:asciiTheme="majorHAnsi" w:hAnsiTheme="majorHAnsi" w:cstheme="majorHAnsi"/>
        </w:rPr>
      </w:pPr>
      <w:bookmarkStart w:id="2" w:name="_avl6ylu06or1" w:colFirst="0" w:colLast="0"/>
      <w:bookmarkEnd w:id="2"/>
      <w:r>
        <w:rPr>
          <w:rFonts w:asciiTheme="majorHAnsi" w:hAnsiTheme="majorHAnsi" w:cstheme="majorHAnsi"/>
          <w:i/>
          <w:iCs/>
        </w:rPr>
        <w:t>Authors</w:t>
      </w:r>
      <w:r>
        <w:rPr>
          <w:rFonts w:asciiTheme="majorHAnsi" w:hAnsiTheme="majorHAnsi" w:cstheme="majorHAnsi"/>
        </w:rPr>
        <w:t>: Christina Sun, Alexandria Hurtt, and Michal Kurlaender</w:t>
      </w:r>
    </w:p>
    <w:p w14:paraId="15BE25E0" w14:textId="77777777" w:rsidR="003803B1" w:rsidRPr="00953074" w:rsidRDefault="003803B1" w:rsidP="003803B1">
      <w:pPr>
        <w:rPr>
          <w:rFonts w:asciiTheme="majorHAnsi" w:hAnsiTheme="majorHAnsi" w:cstheme="majorHAnsi"/>
        </w:rPr>
      </w:pPr>
    </w:p>
    <w:p w14:paraId="4D3020B3" w14:textId="61634F09" w:rsidR="004B10E6" w:rsidRPr="00953074" w:rsidRDefault="00602BF5" w:rsidP="0071788A">
      <w:pPr>
        <w:spacing w:after="240"/>
        <w:jc w:val="center"/>
        <w:rPr>
          <w:rFonts w:asciiTheme="majorHAnsi" w:hAnsiTheme="majorHAnsi" w:cstheme="majorHAnsi"/>
          <w:b/>
          <w:bCs/>
        </w:rPr>
      </w:pPr>
      <w:r>
        <w:rPr>
          <w:rFonts w:asciiTheme="majorHAnsi" w:hAnsiTheme="majorHAnsi" w:cstheme="majorHAnsi"/>
          <w:b/>
          <w:bCs/>
        </w:rPr>
        <w:t>Abstract</w:t>
      </w:r>
    </w:p>
    <w:p w14:paraId="7439AD68" w14:textId="7451A0A7" w:rsidR="00BD041A" w:rsidRPr="00953074" w:rsidRDefault="00602BF5" w:rsidP="003803B1">
      <w:pPr>
        <w:spacing w:after="240" w:line="276" w:lineRule="auto"/>
        <w:ind w:firstLine="720"/>
        <w:rPr>
          <w:rFonts w:asciiTheme="majorHAnsi" w:hAnsiTheme="majorHAnsi" w:cstheme="majorHAnsi"/>
        </w:rPr>
      </w:pPr>
      <w:commentRangeStart w:id="3"/>
      <w:commentRangeStart w:id="4"/>
      <w:r>
        <w:rPr>
          <w:rFonts w:asciiTheme="majorHAnsi" w:hAnsiTheme="majorHAnsi" w:cstheme="majorHAnsi"/>
          <w:color w:val="000000"/>
        </w:rPr>
        <w:t xml:space="preserve">Limited research considers the diversity of experience </w:t>
      </w:r>
      <w:commentRangeStart w:id="5"/>
      <w:r>
        <w:rPr>
          <w:rFonts w:asciiTheme="majorHAnsi" w:hAnsiTheme="majorHAnsi" w:cstheme="majorHAnsi"/>
          <w:color w:val="000000"/>
        </w:rPr>
        <w:t>across</w:t>
      </w:r>
      <w:commentRangeEnd w:id="5"/>
      <w:r>
        <w:rPr>
          <w:rStyle w:val="CommentReference"/>
          <w:rFonts w:asciiTheme="majorHAnsi" w:hAnsiTheme="majorHAnsi" w:cstheme="majorHAnsi"/>
          <w:color w:val="000000"/>
          <w:sz w:val="24"/>
          <w:szCs w:val="24"/>
        </w:rPr>
        <w:commentReference w:id="5"/>
      </w:r>
      <w:r>
        <w:rPr>
          <w:rFonts w:asciiTheme="majorHAnsi" w:hAnsiTheme="majorHAnsi" w:cstheme="majorHAnsi"/>
          <w:color w:val="000000"/>
        </w:rPr>
        <w:t xml:space="preserve"> gender identity and sexual orientation during the transition from high school to college. Drawing</w:t>
      </w:r>
      <w:r>
        <w:rPr>
          <w:rFonts w:asciiTheme="majorHAnsi" w:hAnsiTheme="majorHAnsi" w:cstheme="majorHAnsi"/>
          <w:b/>
          <w:bCs/>
          <w:color w:val="000000"/>
        </w:rPr>
        <w:t xml:space="preserve"> </w:t>
      </w:r>
      <w:r>
        <w:rPr>
          <w:rFonts w:asciiTheme="majorHAnsi" w:hAnsiTheme="majorHAnsi" w:cstheme="majorHAnsi"/>
          <w:color w:val="000000"/>
        </w:rPr>
        <w:t>on the results of a large-scale survey (</w:t>
      </w:r>
      <w:r>
        <w:rPr>
          <w:rFonts w:asciiTheme="majorHAnsi" w:hAnsiTheme="majorHAnsi" w:cstheme="majorHAnsi"/>
          <w:i/>
          <w:iCs/>
          <w:color w:val="000000"/>
        </w:rPr>
        <w:t>n</w:t>
      </w:r>
      <w:r>
        <w:rPr>
          <w:rFonts w:asciiTheme="majorHAnsi" w:hAnsiTheme="majorHAnsi" w:cstheme="majorHAnsi"/>
          <w:color w:val="000000"/>
        </w:rPr>
        <w:t xml:space="preserve"> = 9,230) of California high school sen</w:t>
      </w:r>
      <w:r>
        <w:rPr>
          <w:rFonts w:asciiTheme="majorHAnsi" w:hAnsiTheme="majorHAnsi" w:cstheme="majorHAnsi"/>
        </w:rPr>
        <w:t xml:space="preserve">iors, </w:t>
      </w:r>
      <w:r>
        <w:rPr>
          <w:rFonts w:asciiTheme="majorHAnsi" w:hAnsiTheme="majorHAnsi" w:cstheme="majorHAnsi"/>
          <w:color w:val="000000"/>
        </w:rPr>
        <w:t xml:space="preserve">we examine LGBTQ+ </w:t>
      </w:r>
      <w:r>
        <w:rPr>
          <w:rFonts w:asciiTheme="majorHAnsi" w:hAnsiTheme="majorHAnsi" w:cstheme="majorHAnsi"/>
        </w:rPr>
        <w:t>students’ high school experiences and college expectations</w:t>
      </w:r>
      <w:r>
        <w:rPr>
          <w:rFonts w:asciiTheme="majorHAnsi" w:hAnsiTheme="majorHAnsi" w:cstheme="majorHAnsi"/>
          <w:color w:val="000000"/>
        </w:rPr>
        <w:t xml:space="preserve">, </w:t>
      </w:r>
      <w:r>
        <w:rPr>
          <w:rFonts w:asciiTheme="majorHAnsi" w:hAnsiTheme="majorHAnsi" w:cstheme="majorHAnsi"/>
        </w:rPr>
        <w:t>including</w:t>
      </w:r>
      <w:r>
        <w:rPr>
          <w:rFonts w:asciiTheme="majorHAnsi" w:hAnsiTheme="majorHAnsi" w:cstheme="majorHAnsi"/>
          <w:color w:val="000000"/>
        </w:rPr>
        <w:t xml:space="preserve"> their concerns about college</w:t>
      </w:r>
      <w:r>
        <w:rPr>
          <w:rFonts w:asciiTheme="majorHAnsi" w:hAnsiTheme="majorHAnsi" w:cstheme="majorHAnsi"/>
        </w:rPr>
        <w:t xml:space="preserve"> prior to </w:t>
      </w:r>
      <w:r>
        <w:rPr>
          <w:rFonts w:asciiTheme="majorHAnsi" w:hAnsiTheme="majorHAnsi" w:cstheme="majorHAnsi"/>
          <w:color w:val="000000"/>
        </w:rPr>
        <w:t xml:space="preserve">matriculation. </w:t>
      </w:r>
      <w:commentRangeStart w:id="6"/>
      <w:commentRangeStart w:id="7"/>
      <w:commentRangeStart w:id="8"/>
      <w:r>
        <w:rPr>
          <w:rFonts w:asciiTheme="majorHAnsi" w:hAnsiTheme="majorHAnsi" w:cstheme="majorHAnsi"/>
          <w:color w:val="000000"/>
        </w:rPr>
        <w:t xml:space="preserve">Findings reveal there is a statistically significant difference between the high school experiences of cisgender students and </w:t>
      </w:r>
      <w:r>
        <w:rPr>
          <w:rFonts w:asciiTheme="majorHAnsi" w:hAnsiTheme="majorHAnsi" w:cstheme="majorHAnsi"/>
        </w:rPr>
        <w:t>transgender</w:t>
      </w:r>
      <w:r>
        <w:rPr>
          <w:rFonts w:asciiTheme="majorHAnsi" w:hAnsiTheme="majorHAnsi" w:cstheme="majorHAnsi"/>
          <w:color w:val="000000"/>
        </w:rPr>
        <w:t xml:space="preserve"> and gender expansi</w:t>
      </w:r>
      <w:r>
        <w:rPr>
          <w:rFonts w:asciiTheme="majorHAnsi" w:hAnsiTheme="majorHAnsi" w:cstheme="majorHAnsi"/>
        </w:rPr>
        <w:t xml:space="preserve">ve </w:t>
      </w:r>
      <w:r>
        <w:rPr>
          <w:rFonts w:asciiTheme="majorHAnsi" w:hAnsiTheme="majorHAnsi" w:cstheme="majorHAnsi"/>
          <w:color w:val="000000"/>
        </w:rPr>
        <w:t>students, who, on average, report less positive experiences overall and substantially higher rates of identity-based bullying.</w:t>
      </w:r>
      <w:commentRangeEnd w:id="6"/>
      <w:r>
        <w:rPr>
          <w:rStyle w:val="CommentReference"/>
          <w:rFonts w:asciiTheme="majorHAnsi" w:hAnsiTheme="majorHAnsi" w:cstheme="majorHAnsi"/>
          <w:color w:val="000000"/>
          <w:sz w:val="24"/>
          <w:szCs w:val="24"/>
        </w:rPr>
        <w:commentReference w:id="6"/>
      </w:r>
      <w:commentRangeEnd w:id="7"/>
      <w:r>
        <w:rPr>
          <w:rStyle w:val="CommentReference"/>
          <w:rFonts w:asciiTheme="majorHAnsi" w:hAnsiTheme="majorHAnsi" w:cstheme="majorHAnsi"/>
          <w:color w:val="000000"/>
          <w:sz w:val="24"/>
          <w:szCs w:val="24"/>
        </w:rPr>
        <w:commentReference w:id="7"/>
      </w:r>
      <w:commentRangeEnd w:id="8"/>
      <w:r>
        <w:rPr>
          <w:rStyle w:val="CommentReference"/>
          <w:rFonts w:asciiTheme="majorHAnsi" w:hAnsiTheme="majorHAnsi" w:cstheme="majorHAnsi"/>
          <w:color w:val="000000"/>
          <w:sz w:val="24"/>
          <w:szCs w:val="24"/>
        </w:rPr>
        <w:commentReference w:id="8"/>
      </w:r>
      <w:r>
        <w:rPr>
          <w:rFonts w:asciiTheme="majorHAnsi" w:hAnsiTheme="majorHAnsi" w:cstheme="majorHAnsi"/>
          <w:color w:val="000000"/>
        </w:rPr>
        <w:t xml:space="preserve"> While </w:t>
      </w:r>
      <w:r>
        <w:rPr>
          <w:rFonts w:asciiTheme="majorHAnsi" w:hAnsiTheme="majorHAnsi" w:cstheme="majorHAnsi"/>
        </w:rPr>
        <w:t>transgender and gender expansive</w:t>
      </w:r>
      <w:r>
        <w:rPr>
          <w:rFonts w:asciiTheme="majorHAnsi" w:hAnsiTheme="majorHAnsi" w:cstheme="majorHAnsi"/>
          <w:color w:val="000000"/>
        </w:rPr>
        <w:t xml:space="preserve"> students maintained higher levels of worry about discrimination compared to cisgender students, binary-identifying transgender students </w:t>
      </w:r>
      <w:r>
        <w:rPr>
          <w:rFonts w:asciiTheme="majorHAnsi" w:hAnsiTheme="majorHAnsi" w:cstheme="majorHAnsi"/>
        </w:rPr>
        <w:t>were</w:t>
      </w:r>
      <w:r>
        <w:rPr>
          <w:rFonts w:asciiTheme="majorHAnsi" w:hAnsiTheme="majorHAnsi" w:cstheme="majorHAnsi"/>
          <w:color w:val="000000"/>
        </w:rPr>
        <w:t xml:space="preserve"> more likely to report concerns about discrimination compared to nonbinary and other gender diverse students. D</w:t>
      </w:r>
      <w:r>
        <w:rPr>
          <w:rFonts w:asciiTheme="majorHAnsi" w:hAnsiTheme="majorHAnsi" w:cstheme="majorHAnsi"/>
        </w:rPr>
        <w:t>espite heightened concerns about discrimination, transgender and gender expansive</w:t>
      </w:r>
      <w:r>
        <w:rPr>
          <w:rFonts w:asciiTheme="majorHAnsi" w:hAnsiTheme="majorHAnsi" w:cstheme="majorHAnsi"/>
          <w:color w:val="000000"/>
        </w:rPr>
        <w:t xml:space="preserve"> students planned to enroll in college</w:t>
      </w:r>
      <w:r>
        <w:rPr>
          <w:rFonts w:asciiTheme="majorHAnsi" w:hAnsiTheme="majorHAnsi" w:cstheme="majorHAnsi"/>
        </w:rPr>
        <w:t>.</w:t>
      </w:r>
      <w:r>
        <w:rPr>
          <w:rFonts w:asciiTheme="majorHAnsi" w:hAnsiTheme="majorHAnsi" w:cstheme="majorHAnsi"/>
          <w:color w:val="000000"/>
        </w:rPr>
        <w:t xml:space="preserve"> </w:t>
      </w:r>
      <w:r>
        <w:rPr>
          <w:rFonts w:asciiTheme="majorHAnsi" w:hAnsiTheme="majorHAnsi" w:cstheme="majorHAnsi"/>
        </w:rPr>
        <w:t>These results carry implications for California education policy, including the need for targeted anti-bullying interventions, transition supports that build on student resilience, and continued collection and disaggregation of data by gender identity and sexual orientation.</w:t>
      </w:r>
      <w:commentRangeEnd w:id="3"/>
      <w:r w:rsidRPr="00953074">
        <w:rPr>
          <w:rStyle w:val="CommentReference"/>
          <w:rFonts w:asciiTheme="majorHAnsi" w:hAnsiTheme="majorHAnsi" w:cstheme="majorHAnsi"/>
          <w:sz w:val="24"/>
          <w:szCs w:val="24"/>
        </w:rPr>
        <w:commentReference w:id="3"/>
      </w:r>
      <w:commentRangeEnd w:id="4"/>
      <w:r w:rsidRPr="00953074">
        <w:rPr>
          <w:rStyle w:val="CommentReference"/>
          <w:rFonts w:asciiTheme="majorHAnsi" w:hAnsiTheme="majorHAnsi" w:cstheme="majorHAnsi"/>
          <w:sz w:val="24"/>
          <w:szCs w:val="24"/>
        </w:rPr>
        <w:commentReference w:id="4"/>
      </w:r>
    </w:p>
    <w:p w14:paraId="4AC81D2C" w14:textId="5ECC6C2E" w:rsidR="003803B1" w:rsidRPr="00953074" w:rsidRDefault="003803B1" w:rsidP="0071788A">
      <w:pPr>
        <w:spacing w:after="240"/>
        <w:jc w:val="center"/>
        <w:rPr>
          <w:rFonts w:asciiTheme="majorHAnsi" w:hAnsiTheme="majorHAnsi" w:cstheme="majorHAnsi"/>
          <w:b/>
          <w:bCs/>
        </w:rPr>
      </w:pPr>
      <w:commentRangeStart w:id="9"/>
      <w:commentRangeStart w:id="10"/>
      <w:r>
        <w:rPr>
          <w:rFonts w:asciiTheme="majorHAnsi" w:hAnsiTheme="majorHAnsi" w:cstheme="majorHAnsi"/>
          <w:b/>
          <w:bCs/>
        </w:rPr>
        <w:t>Acknowledgements</w:t>
      </w:r>
      <w:commentRangeEnd w:id="9"/>
      <w:r w:rsidRPr="00953074">
        <w:rPr>
          <w:rStyle w:val="CommentReference"/>
          <w:rFonts w:asciiTheme="majorHAnsi" w:hAnsiTheme="majorHAnsi" w:cstheme="majorHAnsi"/>
          <w:b/>
          <w:bCs/>
          <w:sz w:val="24"/>
          <w:szCs w:val="24"/>
        </w:rPr>
        <w:commentReference w:id="9"/>
      </w:r>
      <w:commentRangeEnd w:id="10"/>
      <w:r w:rsidRPr="00953074">
        <w:rPr>
          <w:rStyle w:val="CommentReference"/>
          <w:rFonts w:asciiTheme="majorHAnsi" w:hAnsiTheme="majorHAnsi" w:cstheme="majorHAnsi"/>
          <w:b/>
          <w:bCs/>
          <w:sz w:val="24"/>
          <w:szCs w:val="24"/>
        </w:rPr>
        <w:commentReference w:id="10"/>
      </w:r>
    </w:p>
    <w:p w14:paraId="4F73B13D" w14:textId="35CA2A7C" w:rsidR="003803B1" w:rsidRPr="00953074" w:rsidRDefault="003803B1" w:rsidP="003803B1">
      <w:pPr>
        <w:spacing w:line="276" w:lineRule="auto"/>
        <w:rPr>
          <w:rFonts w:asciiTheme="majorHAnsi" w:hAnsiTheme="majorHAnsi" w:cstheme="majorHAnsi"/>
        </w:rPr>
      </w:pPr>
      <w:r>
        <w:rPr>
          <w:rFonts w:asciiTheme="majorHAnsi" w:hAnsiTheme="majorHAnsi" w:cstheme="majorHAnsi"/>
        </w:rPr>
        <w:t xml:space="preserve">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Sherrie Reed, Paco Martorell, Scott Carrell, Kairo Weber, Baiyu Zhou, </w:t>
      </w:r>
      <w:r>
        <w:rPr>
          <w:rFonts w:asciiTheme="majorHAnsi" w:hAnsiTheme="majorHAnsi" w:cstheme="majorHAnsi"/>
          <w:lang w:val="en-US"/>
        </w:rPr>
        <w:t xml:space="preserve">Maria Charles, </w:t>
      </w:r>
      <w:r>
        <w:rPr>
          <w:rFonts w:asciiTheme="majorHAnsi" w:hAnsiTheme="majorHAnsi" w:cstheme="majorHAnsi"/>
        </w:rPr>
        <w:t>and Laurel Westbrook for their expertise and support in the construction of the survey, analysis, and/or review of findings.</w:t>
      </w:r>
      <w:r>
        <w:rPr>
          <w:rFonts w:asciiTheme="majorHAnsi" w:hAnsiTheme="majorHAnsi" w:cstheme="majorHAnsi"/>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11" w:name="_ii9xsju3ahgq" w:colFirst="0" w:colLast="0"/>
      <w:bookmarkEnd w:id="11"/>
      <w:commentRangeStart w:id="12"/>
      <w:commentRangeStart w:id="13"/>
      <w:r>
        <w:rPr>
          <w:rFonts w:asciiTheme="majorHAnsi" w:hAnsiTheme="majorHAnsi" w:cstheme="majorHAnsi"/>
          <w:b/>
          <w:bCs/>
          <w:sz w:val="24"/>
          <w:szCs w:val="24"/>
        </w:rPr>
        <w:lastRenderedPageBreak/>
        <w:t>Introduction</w:t>
      </w:r>
      <w:commentRangeEnd w:id="12"/>
      <w:r w:rsidRPr="00B621E1">
        <w:rPr>
          <w:rStyle w:val="CommentReference"/>
          <w:rFonts w:asciiTheme="majorHAnsi" w:hAnsiTheme="majorHAnsi" w:cstheme="majorHAnsi"/>
          <w:b/>
          <w:bCs/>
          <w:sz w:val="24"/>
          <w:szCs w:val="24"/>
        </w:rPr>
        <w:commentReference w:id="12"/>
      </w:r>
      <w:commentRangeEnd w:id="13"/>
      <w:r w:rsidRPr="00B621E1">
        <w:rPr>
          <w:rStyle w:val="CommentReference"/>
          <w:rFonts w:asciiTheme="majorHAnsi" w:hAnsiTheme="majorHAnsi" w:cstheme="majorHAnsi"/>
          <w:b/>
          <w:bCs/>
          <w:sz w:val="24"/>
          <w:szCs w:val="24"/>
        </w:rPr>
        <w:commentReference w:id="13"/>
      </w:r>
    </w:p>
    <w:p w14:paraId="1BBF4742" w14:textId="5AF2B256"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A critical choice students make in high school is whether to pursue a postsecondary education. This choice is shaped by students’ experiences in high school (Kurlaender et al., 2019; Reed et al., 2023; Uwah et al., 2008), which can influence their educational aspirations and expectations (Bergerson, 2009)— important predictors of later educational attainment (Jacob &amp; Wilder, 2010; Sewell et al., 1969). Moreover, research has long documented differences in aspirations and expectations across student groups (Bergerson, 2009), including race/ethnicity, gender, and first-generation status (Kao &amp; Tienda, 1998; Mau &amp; Bikos, 2000; McCarron &amp; Inkelas, 2006; Solorzano, 1992; Trusty, 2002), with recent studies drawing on more expansive definitions of gender identity and sexual orientation (Aragon et al., 2014; Feldman et al., 2022). </w:t>
      </w:r>
    </w:p>
    <w:p w14:paraId="141D73D7" w14:textId="2A8635C2"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Beemyn, 2012; Nicolazzo, 2017; Watson et al., 2019), each of which likely experience school and the college-going process differently, it is important to interrogate </w:t>
      </w:r>
      <w:r>
        <w:rPr>
          <w:rFonts w:asciiTheme="majorHAnsi" w:hAnsiTheme="majorHAnsi" w:cstheme="majorHAnsi"/>
          <w:color w:val="000000"/>
        </w:rPr>
        <w:t xml:space="preserve">the extent to which college aspirations and expectations differ by gender identity and sexual orientation. Moreover, as LGBTQ+ students </w:t>
      </w:r>
      <w:r>
        <w:rPr>
          <w:rFonts w:asciiTheme="majorHAnsi" w:hAnsiTheme="majorHAnsi" w:cstheme="majorHAnsi"/>
        </w:rPr>
        <w:t xml:space="preserve">frequently report experiencing harassment and discrimination in high school—often related to their sexual orientation, gender identity, and/or how they express their gender (Kosciw et al., 2021)—this may impact their specific academic aspirations and broader considerations about college, as school victimization can lead to </w:t>
      </w:r>
      <w:r>
        <w:rPr>
          <w:rFonts w:asciiTheme="majorHAnsi" w:hAnsiTheme="majorHAnsi" w:cstheme="majorHAnsi"/>
          <w:color w:val="000000"/>
        </w:rPr>
        <w:t>lower levels of school belonging and self-esteem,</w:t>
      </w:r>
      <w:r>
        <w:rPr>
          <w:rFonts w:asciiTheme="majorHAnsi" w:hAnsiTheme="majorHAnsi" w:cstheme="majorHAnsi"/>
        </w:rPr>
        <w:t xml:space="preserve"> </w:t>
      </w:r>
      <w:r>
        <w:rPr>
          <w:rFonts w:asciiTheme="majorHAnsi" w:hAnsiTheme="majorHAnsi" w:cstheme="majorHAnsi"/>
          <w:color w:val="000000"/>
        </w:rPr>
        <w:t>high rates of absenteeism</w:t>
      </w:r>
      <w:r>
        <w:rPr>
          <w:rFonts w:asciiTheme="majorHAnsi" w:hAnsiTheme="majorHAnsi" w:cstheme="majorHAnsi"/>
        </w:rPr>
        <w:t>, and diminished academic outcomes, including college enrollment (Aragon et al., 2014; Heck et al., 2014; Kosciw et al., 2013; Sansone, 2019). In this case, how differences in LGBTQ+ students’ secondary experiences may affect their educational trajectories is also important to examine, particularly as federal protections for LGBTQ+ students have been rolled back in the current administration (Schultz, 2025). This work thus aims to examine associations between gender identity and specific academic aspirations (e.g., type of college, intended field of study) and college concerns among college-bound 12</w:t>
      </w:r>
      <w:r>
        <w:rPr>
          <w:rFonts w:asciiTheme="majorHAnsi" w:hAnsiTheme="majorHAnsi" w:cstheme="majorHAnsi"/>
          <w:vertAlign w:val="superscript"/>
        </w:rPr>
        <w:t>th</w:t>
      </w:r>
      <w:r>
        <w:rPr>
          <w:rFonts w:asciiTheme="majorHAnsi" w:hAnsiTheme="majorHAnsi" w:cstheme="majorHAnsi"/>
        </w:rPr>
        <w:t xml:space="preserve"> graders in California. In addition, we evaluate whether any </w:t>
      </w:r>
      <w:r>
        <w:rPr>
          <w:rFonts w:asciiTheme="majorHAnsi" w:hAnsiTheme="majorHAnsi" w:cstheme="majorHAnsi"/>
        </w:rPr>
        <w:lastRenderedPageBreak/>
        <w:t>differences in students’ aspirations and expectations may be attributable, at least in part, to differences in high school experiences, including whether a student faced harassment or bullying.</w:t>
      </w:r>
    </w:p>
    <w:p w14:paraId="7439AD6E" w14:textId="79C91CC1" w:rsidR="00BD041A" w:rsidRPr="00B621E1" w:rsidRDefault="00482F21" w:rsidP="003803B1">
      <w:pPr>
        <w:spacing w:line="360" w:lineRule="auto"/>
        <w:ind w:firstLine="720"/>
        <w:rPr>
          <w:rFonts w:asciiTheme="majorHAnsi" w:hAnsiTheme="majorHAnsi" w:cstheme="majorHAnsi"/>
        </w:rPr>
      </w:pPr>
      <w:r>
        <w:rPr>
          <w:rFonts w:asciiTheme="majorHAnsi" w:hAnsiTheme="majorHAnsi" w:cstheme="majorHAnsi"/>
        </w:rPr>
        <w:t xml:space="preserve">Therefore, this study explores the following research questions: (1) Do students’ college aspirations and expectations differ by gender identity and sexual orientation? and (2) if so, to what extent are these observed differences attributable to students’ high school experiences? Drawing on the results of a large-scale survey conducted in partnership with the state agency responsible for administering financial aid in California, we explore patterns in high school experiences and college expectations (including academic plans, concerns, and excitements) to investigate what LGBTQ+ students, particularly those that identify as transgender and gender expansive, consider ahead of the college transition. We specifically highlight trans and gender expansive students as they often face distinct social challenges cisgender LGB+ students may not experience at the same rate (James et al., 2016). In this case, by examining trans and gender expansive students in addition to other subgroups of the LGBTQ+ community, we can analyze potential inequalities students may experience and how this might influence the college transition process. </w:t>
      </w:r>
    </w:p>
    <w:p w14:paraId="7439AD6F" w14:textId="5BD17C6D"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14"/>
      <w:r>
        <w:rPr>
          <w:rFonts w:asciiTheme="majorHAnsi" w:hAnsiTheme="majorHAnsi" w:cstheme="majorHAnsi"/>
        </w:rPr>
        <w:t>.</w:t>
      </w:r>
      <w:commentRangeEnd w:id="14"/>
      <w:r w:rsidRPr="00B621E1">
        <w:rPr>
          <w:rStyle w:val="CommentReference"/>
          <w:rFonts w:asciiTheme="majorHAnsi" w:hAnsiTheme="majorHAnsi" w:cstheme="majorHAnsi"/>
          <w:sz w:val="24"/>
          <w:szCs w:val="24"/>
        </w:rPr>
        <w:commentReference w:id="14"/>
      </w:r>
    </w:p>
    <w:p w14:paraId="7439AD70" w14:textId="45C5BC39"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This paper is organized as follows: First, we broadly review scholarship on gender identity and sexual orientation. We then situate our analysis within frameworks that center students’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B621E1" w:rsidRDefault="00602BF5" w:rsidP="003803B1">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lastRenderedPageBreak/>
        <w:t>Defining Gender Identity and Sexual Orientation</w:t>
      </w:r>
    </w:p>
    <w:p w14:paraId="7439AD72" w14:textId="2B6F0620" w:rsidR="00BD041A" w:rsidRPr="00B621E1" w:rsidRDefault="00B729F0" w:rsidP="003803B1">
      <w:pPr>
        <w:spacing w:line="360" w:lineRule="auto"/>
        <w:ind w:firstLine="720"/>
        <w:rPr>
          <w:rFonts w:asciiTheme="majorHAnsi" w:hAnsiTheme="majorHAnsi" w:cstheme="majorHAnsi"/>
        </w:rPr>
      </w:pPr>
      <w:r>
        <w:rPr>
          <w:rFonts w:asciiTheme="majorHAnsi" w:hAnsiTheme="majorHAnsi" w:cstheme="majorHAnsi"/>
        </w:rPr>
        <w:t xml:space="preserve">Students 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Pr>
          <w:rFonts w:asciiTheme="majorHAnsi" w:hAnsiTheme="majorHAnsi" w:cstheme="majorHAnsi"/>
          <w:i/>
          <w:iCs/>
        </w:rPr>
        <w:t>questioning</w:t>
      </w:r>
      <w:r>
        <w:rPr>
          <w:rFonts w:asciiTheme="majorHAnsi" w:hAnsiTheme="majorHAnsi" w:cstheme="majorHAnsi"/>
        </w:rPr>
        <w:t xml:space="preserve"> and </w:t>
      </w:r>
      <w:r>
        <w:rPr>
          <w:rFonts w:asciiTheme="majorHAnsi" w:hAnsiTheme="majorHAnsi" w:cstheme="majorHAnsi"/>
          <w:i/>
          <w:iCs/>
        </w:rPr>
        <w:t>unsure</w:t>
      </w:r>
      <w:r>
        <w:rPr>
          <w:rFonts w:asciiTheme="majorHAnsi" w:hAnsiTheme="majorHAnsi" w:cstheme="majorHAnsi"/>
        </w:rPr>
        <w:t xml:space="preserve"> commonly reported terms for both gender identity and sexual orientation (Watson et al., 2019; White et al., 2018).</w:t>
      </w:r>
      <w:commentRangeStart w:id="15"/>
      <w:commentRangeStart w:id="16"/>
      <w:r>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15"/>
      <w:r w:rsidRPr="00B621E1">
        <w:rPr>
          <w:rStyle w:val="CommentReference"/>
          <w:rFonts w:asciiTheme="majorHAnsi" w:hAnsiTheme="majorHAnsi" w:cstheme="majorHAnsi"/>
          <w:sz w:val="24"/>
          <w:szCs w:val="24"/>
        </w:rPr>
        <w:commentReference w:id="15"/>
      </w:r>
      <w:commentRangeEnd w:id="16"/>
      <w:r w:rsidRPr="00B621E1">
        <w:rPr>
          <w:rStyle w:val="CommentReference"/>
          <w:rFonts w:asciiTheme="majorHAnsi" w:hAnsiTheme="majorHAnsi" w:cstheme="majorHAnsi"/>
          <w:sz w:val="24"/>
          <w:szCs w:val="24"/>
        </w:rPr>
        <w:commentReference w:id="16"/>
      </w: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t>Theoretical Background and Prior Literature</w:t>
      </w:r>
    </w:p>
    <w:p w14:paraId="7439AD74" w14:textId="7432A72B" w:rsidR="00BD041A" w:rsidRPr="00B621E1" w:rsidRDefault="00602BF5" w:rsidP="003803B1">
      <w:pPr>
        <w:spacing w:line="360" w:lineRule="auto"/>
        <w:ind w:firstLine="720"/>
        <w:rPr>
          <w:rFonts w:asciiTheme="majorHAnsi" w:eastAsia="Arial" w:hAnsiTheme="majorHAnsi" w:cstheme="majorHAnsi"/>
        </w:rPr>
      </w:pPr>
      <w:r>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can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w:t>
      </w:r>
      <w:commentRangeStart w:id="17"/>
      <w:commentRangeStart w:id="18"/>
      <w:r>
        <w:rPr>
          <w:rFonts w:asciiTheme="majorHAnsi" w:hAnsiTheme="majorHAnsi" w:cstheme="majorHAnsi"/>
          <w:highlight w:val="yellow"/>
        </w:rPr>
        <w:t>trajectory</w:t>
      </w:r>
      <w:commentRangeEnd w:id="18"/>
      <w:r>
        <w:rPr>
          <w:rStyle w:val="CommentReference"/>
          <w:rFonts w:asciiTheme="majorHAnsi" w:hAnsiTheme="majorHAnsi" w:cstheme="majorHAnsi"/>
          <w:sz w:val="24"/>
          <w:szCs w:val="24"/>
          <w:highlight w:val="yellow"/>
        </w:rPr>
        <w:commentReference w:id="18"/>
      </w:r>
      <w:r>
        <w:rPr>
          <w:rFonts w:asciiTheme="majorHAnsi" w:hAnsiTheme="majorHAnsi" w:cstheme="majorHAnsi"/>
          <w:highlight w:val="yellow"/>
        </w:rPr>
        <w:t xml:space="preserve"> (CITE).</w:t>
      </w:r>
      <w:commentRangeEnd w:id="17"/>
      <w:r>
        <w:rPr>
          <w:rStyle w:val="CommentReference"/>
          <w:rFonts w:asciiTheme="majorHAnsi" w:hAnsiTheme="majorHAnsi" w:cstheme="majorHAnsi"/>
          <w:sz w:val="24"/>
          <w:szCs w:val="24"/>
        </w:rPr>
        <w:commentReference w:id="17"/>
      </w:r>
      <w:r>
        <w:rPr>
          <w:rFonts w:asciiTheme="majorHAnsi" w:hAnsiTheme="majorHAnsi" w:cstheme="majorHAnsi"/>
        </w:rPr>
        <w:t xml:space="preserve"> Moreover, high school academic performance is associated with one’s aspirations to both two- and four-</w:t>
      </w:r>
      <w:r>
        <w:rPr>
          <w:rFonts w:asciiTheme="majorHAnsi" w:hAnsiTheme="majorHAnsi" w:cstheme="majorHAnsi"/>
        </w:rPr>
        <w:lastRenderedPageBreak/>
        <w:t xml:space="preserve">year colleges (DesJardins et al., 2019), suggesting that students’ perceptions of their chances of admission and success also guide their postsecondary ambitions. </w:t>
      </w:r>
    </w:p>
    <w:p w14:paraId="7439AD75" w14:textId="6CCCC73F"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Pr>
          <w:rFonts w:asciiTheme="majorHAnsi" w:hAnsiTheme="majorHAnsi" w:cstheme="majorHAnsi"/>
        </w:rPr>
        <w:t>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Skobba et al., 2018). In this case,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 possess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6DBCE57D"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w:t>
      </w:r>
      <w:r>
        <w:rPr>
          <w:rFonts w:asciiTheme="majorHAnsi" w:hAnsiTheme="majorHAnsi" w:cstheme="majorHAnsi"/>
        </w:rPr>
        <w:lastRenderedPageBreak/>
        <w:t>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affect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 high school experiences influence their future educational behavior (Gong &amp; Toutkoushian, 2024).</w:t>
      </w:r>
    </w:p>
    <w:p w14:paraId="7439AD77" w14:textId="77777777"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065C4A5F" w:rsidR="00BD041A" w:rsidRPr="00B621E1" w:rsidRDefault="00602BF5" w:rsidP="003803B1">
      <w:pPr>
        <w:spacing w:line="360" w:lineRule="auto"/>
        <w:ind w:firstLine="720"/>
        <w:rPr>
          <w:rFonts w:asciiTheme="majorHAnsi" w:hAnsiTheme="majorHAnsi" w:cstheme="majorHAnsi"/>
          <w:strike/>
        </w:rPr>
      </w:pPr>
      <w:r>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19"/>
      <w:r>
        <w:rPr>
          <w:rFonts w:asciiTheme="majorHAnsi" w:hAnsiTheme="majorHAnsi" w:cstheme="majorHAnsi"/>
        </w:rPr>
        <w:t xml:space="preserve"> faced harassment or social exclusion i</w:t>
      </w:r>
      <w:commentRangeEnd w:id="19"/>
      <w:r>
        <w:rPr>
          <w:rStyle w:val="CommentReference"/>
          <w:rFonts w:asciiTheme="majorHAnsi" w:hAnsiTheme="majorHAnsi" w:cstheme="majorHAnsi"/>
          <w:sz w:val="24"/>
          <w:szCs w:val="24"/>
        </w:rPr>
        <w:commentReference w:id="19"/>
      </w:r>
      <w:r>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w:t>
      </w:r>
      <w:r>
        <w:rPr>
          <w:rFonts w:asciiTheme="majorHAnsi" w:hAnsiTheme="majorHAnsi" w:cstheme="majorHAnsi"/>
        </w:rPr>
        <w:lastRenderedPageBreak/>
        <w:t xml:space="preserve">discomfort or </w:t>
      </w:r>
      <w:commentRangeStart w:id="20"/>
      <w:r>
        <w:rPr>
          <w:rFonts w:asciiTheme="majorHAnsi" w:hAnsiTheme="majorHAnsi" w:cstheme="majorHAnsi"/>
        </w:rPr>
        <w:t>hostility</w:t>
      </w:r>
      <w:commentRangeEnd w:id="20"/>
      <w:r>
        <w:rPr>
          <w:rStyle w:val="CommentReference"/>
          <w:rFonts w:asciiTheme="majorHAnsi" w:hAnsiTheme="majorHAnsi" w:cstheme="majorHAnsi"/>
          <w:sz w:val="24"/>
          <w:szCs w:val="24"/>
        </w:rPr>
        <w:commentReference w:id="20"/>
      </w:r>
      <w:r>
        <w:rPr>
          <w:rFonts w:asciiTheme="majorHAnsi" w:hAnsiTheme="majorHAnsi" w:cstheme="majorHAnsi"/>
        </w:rPr>
        <w:t>) (O’Neill &amp; Conron et al., 2022).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21" w:name="_5ky22jfqr96o" w:colFirst="0" w:colLast="0"/>
      <w:bookmarkEnd w:id="21"/>
      <w:commentRangeStart w:id="22"/>
      <w:commentRangeStart w:id="23"/>
      <w:r>
        <w:rPr>
          <w:rFonts w:asciiTheme="majorHAnsi" w:hAnsiTheme="majorHAnsi" w:cstheme="majorHAnsi"/>
          <w:b/>
          <w:bCs/>
          <w:sz w:val="24"/>
          <w:szCs w:val="24"/>
        </w:rPr>
        <w:t>Data and Methods</w:t>
      </w:r>
      <w:commentRangeEnd w:id="22"/>
      <w:r w:rsidRPr="00B621E1">
        <w:rPr>
          <w:rStyle w:val="CommentReference"/>
          <w:rFonts w:asciiTheme="majorHAnsi" w:hAnsiTheme="majorHAnsi" w:cstheme="majorHAnsi"/>
          <w:b/>
          <w:bCs/>
          <w:sz w:val="24"/>
          <w:szCs w:val="24"/>
        </w:rPr>
        <w:commentReference w:id="22"/>
      </w:r>
      <w:commentRangeEnd w:id="23"/>
      <w:r w:rsidRPr="00B621E1">
        <w:rPr>
          <w:rStyle w:val="CommentReference"/>
          <w:rFonts w:asciiTheme="majorHAnsi" w:hAnsiTheme="majorHAnsi" w:cstheme="majorHAnsi"/>
          <w:b/>
          <w:bCs/>
          <w:sz w:val="24"/>
          <w:szCs w:val="24"/>
        </w:rPr>
        <w:commentReference w:id="23"/>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24" w:name="_ygz5vxudccsk" w:colFirst="0" w:colLast="0"/>
      <w:bookmarkEnd w:id="24"/>
      <w:commentRangeStart w:id="25"/>
      <w:r>
        <w:rPr>
          <w:rFonts w:asciiTheme="majorHAnsi" w:hAnsiTheme="majorHAnsi" w:cstheme="majorHAnsi"/>
          <w:b/>
          <w:bCs/>
          <w:sz w:val="24"/>
          <w:szCs w:val="28"/>
        </w:rPr>
        <w:t>Survey Instrument and Sample Characteristics</w:t>
      </w:r>
      <w:commentRangeEnd w:id="25"/>
      <w:r w:rsidRPr="00B621E1">
        <w:rPr>
          <w:rStyle w:val="CommentReference"/>
          <w:rFonts w:asciiTheme="majorHAnsi" w:hAnsiTheme="majorHAnsi" w:cstheme="majorHAnsi"/>
          <w:b/>
          <w:bCs/>
          <w:sz w:val="24"/>
          <w:szCs w:val="28"/>
        </w:rPr>
        <w:commentReference w:id="25"/>
      </w:r>
    </w:p>
    <w:p w14:paraId="058755F4" w14:textId="7298B396" w:rsidR="008B078D" w:rsidRDefault="00602BF5" w:rsidP="008B078D">
      <w:pPr>
        <w:spacing w:line="360" w:lineRule="auto"/>
        <w:ind w:firstLine="720"/>
        <w:rPr>
          <w:rFonts w:asciiTheme="majorHAnsi" w:hAnsiTheme="majorHAnsi" w:cstheme="majorHAnsi"/>
          <w:b/>
          <w:bCs/>
        </w:rPr>
      </w:pPr>
      <w:r>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Pr>
          <w:rStyle w:val="FootnoteReference"/>
          <w:rFonts w:asciiTheme="majorHAnsi" w:hAnsiTheme="majorHAnsi" w:cstheme="majorHAnsi"/>
        </w:rPr>
        <w:footnoteReference w:id="1"/>
      </w:r>
      <w:r>
        <w:rPr>
          <w:rFonts w:asciiTheme="majorHAnsi" w:hAnsiTheme="majorHAnsi" w:cstheme="majorHAnsi"/>
        </w:rPr>
        <w:t xml:space="preserve"> </w:t>
      </w:r>
      <w:commentRangeStart w:id="26"/>
      <w:commentRangeStart w:id="27"/>
      <w:r>
        <w:rPr>
          <w:rFonts w:asciiTheme="majorHAnsi" w:hAnsiTheme="majorHAnsi" w:cstheme="majorHAnsi"/>
        </w:rPr>
        <w:t>A</w:t>
      </w:r>
      <w:commentRangeEnd w:id="26"/>
      <w:r>
        <w:rPr>
          <w:rStyle w:val="CommentReference"/>
          <w:rFonts w:asciiTheme="majorHAnsi" w:hAnsiTheme="majorHAnsi" w:cstheme="majorHAnsi"/>
          <w:sz w:val="24"/>
          <w:szCs w:val="24"/>
        </w:rPr>
        <w:commentReference w:id="26"/>
      </w:r>
      <w:commentRangeEnd w:id="27"/>
      <w:r>
        <w:rPr>
          <w:rStyle w:val="CommentReference"/>
          <w:rFonts w:asciiTheme="majorHAnsi" w:hAnsiTheme="majorHAnsi" w:cstheme="majorHAnsi"/>
          <w:sz w:val="24"/>
          <w:szCs w:val="24"/>
        </w:rPr>
        <w:commentReference w:id="27"/>
      </w:r>
      <w:r>
        <w:rPr>
          <w:rFonts w:asciiTheme="majorHAnsi" w:hAnsiTheme="majorHAnsi" w:cstheme="majorHAnsi"/>
        </w:rPr>
        <w:t xml:space="preserve"> total of </w:t>
      </w:r>
      <w:r>
        <w:rPr>
          <w:rFonts w:asciiTheme="majorHAnsi" w:hAnsiTheme="majorHAnsi" w:cstheme="majorHAnsi"/>
          <w:highlight w:val="yellow"/>
        </w:rPr>
        <w:t>XX [number]</w:t>
      </w:r>
      <w:r>
        <w:rPr>
          <w:rFonts w:asciiTheme="majorHAnsi" w:hAnsiTheme="majorHAnsi" w:cstheme="majorHAnsi"/>
        </w:rPr>
        <w:t xml:space="preserve"> students went sent an invitation to participate in the survey through CSAC; 10,221 completed surveys, including 9,230 respondents who indicated they planned to go to college, 170 who did not plan to attend, 294 that were unsure, and 527 who did not </w:t>
      </w:r>
      <w:commentRangeStart w:id="28"/>
      <w:r>
        <w:rPr>
          <w:rFonts w:asciiTheme="majorHAnsi" w:hAnsiTheme="majorHAnsi" w:cstheme="majorHAnsi"/>
          <w:highlight w:val="yellow"/>
        </w:rPr>
        <w:t>respond</w:t>
      </w:r>
      <w:commentRangeEnd w:id="28"/>
      <w:r>
        <w:rPr>
          <w:rStyle w:val="CommentReference"/>
          <w:rFonts w:asciiTheme="majorHAnsi" w:hAnsiTheme="majorHAnsi" w:cstheme="majorHAnsi"/>
          <w:sz w:val="24"/>
          <w:szCs w:val="24"/>
          <w:highlight w:val="yellow"/>
        </w:rPr>
        <w:commentReference w:id="28"/>
      </w:r>
      <w:r>
        <w:rPr>
          <w:rFonts w:asciiTheme="majorHAnsi" w:hAnsiTheme="majorHAnsi" w:cstheme="majorHAnsi"/>
          <w:highlight w:val="yellow"/>
        </w:rPr>
        <w:t xml:space="preserve"> to the….</w:t>
      </w:r>
      <w:r>
        <w:rPr>
          <w:rFonts w:asciiTheme="majorHAnsi" w:hAnsiTheme="majorHAnsi" w:cstheme="majorHAnsi"/>
        </w:rPr>
        <w:t xml:space="preserve"> Our response </w:t>
      </w:r>
      <w:commentRangeStart w:id="29"/>
      <w:r>
        <w:rPr>
          <w:rFonts w:asciiTheme="majorHAnsi" w:hAnsiTheme="majorHAnsi" w:cstheme="majorHAnsi"/>
        </w:rPr>
        <w:t>rate</w:t>
      </w:r>
      <w:commentRangeEnd w:id="29"/>
      <w:r>
        <w:rPr>
          <w:rStyle w:val="CommentReference"/>
          <w:rFonts w:asciiTheme="majorHAnsi" w:hAnsiTheme="majorHAnsi" w:cstheme="majorHAnsi"/>
          <w:sz w:val="24"/>
          <w:szCs w:val="24"/>
        </w:rPr>
        <w:commentReference w:id="29"/>
      </w:r>
      <w:r>
        <w:rPr>
          <w:rFonts w:asciiTheme="majorHAnsi" w:hAnsiTheme="majorHAnsi" w:cstheme="majorHAnsi"/>
        </w:rPr>
        <w:t xml:space="preserve"> was </w:t>
      </w:r>
      <w:r>
        <w:rPr>
          <w:rFonts w:asciiTheme="majorHAnsi" w:hAnsiTheme="majorHAnsi" w:cstheme="majorHAnsi"/>
          <w:highlight w:val="yellow"/>
        </w:rPr>
        <w:t>XX percent</w:t>
      </w:r>
      <w:r>
        <w:rPr>
          <w:rFonts w:asciiTheme="majorHAnsi" w:hAnsiTheme="majorHAnsi" w:cstheme="majorHAnsi"/>
        </w:rPr>
        <w:t xml:space="preserve">. Students reported on varying dimensions of their high school experiences; the support they received in preparation for college; their academic interests and plans for postsecondary enrollment; and their concerns about college. Detailed information on gender identity and sexual orientation was also collected. Overall, 9,230 respondents completed surveys who indicated they were high school seniors and intended to enroll in college that fall. After excluding respondents who were missing information about gender identity (n = 1,708), sexual orientation (n = 1,749), race/ethnicity (n = 1,617), or parental education (n = 1,647), our final </w:t>
      </w:r>
      <w:r>
        <w:rPr>
          <w:rFonts w:asciiTheme="majorHAnsi" w:hAnsiTheme="majorHAnsi" w:cstheme="majorHAnsi"/>
        </w:rPr>
        <w:lastRenderedPageBreak/>
        <w:t xml:space="preserve">analytic sample included 7,522 </w:t>
      </w:r>
      <w:commentRangeStart w:id="30"/>
      <w:r>
        <w:rPr>
          <w:rFonts w:asciiTheme="majorHAnsi" w:hAnsiTheme="majorHAnsi" w:cstheme="majorHAnsi"/>
        </w:rPr>
        <w:t>participants</w:t>
      </w:r>
      <w:commentRangeEnd w:id="30"/>
      <w:r>
        <w:rPr>
          <w:rStyle w:val="CommentReference"/>
          <w:rFonts w:asciiTheme="majorHAnsi" w:hAnsiTheme="majorHAnsi" w:cstheme="majorHAnsi"/>
          <w:sz w:val="24"/>
          <w:szCs w:val="24"/>
        </w:rPr>
        <w:commentReference w:id="30"/>
      </w:r>
      <w:r>
        <w:rPr>
          <w:rFonts w:asciiTheme="majorHAnsi" w:hAnsiTheme="majorHAnsi" w:cstheme="majorHAnsi"/>
        </w:rPr>
        <w:t>.</w:t>
      </w:r>
      <w:commentRangeStart w:id="31"/>
      <w:r>
        <w:rPr>
          <w:rFonts w:asciiTheme="majorHAnsi" w:hAnsiTheme="majorHAnsi" w:cstheme="majorHAnsi"/>
        </w:rPr>
        <w:t xml:space="preserve"> </w:t>
      </w:r>
      <w:commentRangeEnd w:id="31"/>
      <w:r>
        <w:rPr>
          <w:rStyle w:val="CommentReference"/>
          <w:rFonts w:asciiTheme="majorHAnsi" w:hAnsiTheme="majorHAnsi" w:cstheme="majorHAnsi"/>
          <w:sz w:val="24"/>
          <w:szCs w:val="24"/>
        </w:rPr>
        <w:commentReference w:id="31"/>
      </w:r>
      <w:r>
        <w:rPr>
          <w:rFonts w:asciiTheme="majorHAnsi" w:hAnsiTheme="majorHAnsi" w:cstheme="majorHAnsi"/>
        </w:rPr>
        <w:t xml:space="preserve">Table 1 reports the demographic characteristics of our analytical sample. </w:t>
      </w:r>
    </w:p>
    <w:p w14:paraId="11C20F85" w14:textId="77777777" w:rsidR="008B078D" w:rsidRDefault="008B078D" w:rsidP="008B078D">
      <w:pPr>
        <w:spacing w:line="360" w:lineRule="auto"/>
        <w:ind w:firstLine="720"/>
        <w:rPr>
          <w:rFonts w:asciiTheme="majorHAnsi" w:hAnsiTheme="majorHAnsi" w:cstheme="majorHAnsi"/>
        </w:rPr>
      </w:pPr>
      <w:r>
        <w:rPr>
          <w:rFonts w:asciiTheme="majorHAnsi" w:hAnsiTheme="majorHAnsi" w:cstheme="majorHAnsi"/>
        </w:rPr>
        <w:t xml:space="preserve">Compared to California’s 2022–23 statewide 12th grade enrollment (see Appendix Table A2),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with caution. </w:t>
      </w:r>
    </w:p>
    <w:p w14:paraId="5DD11584" w14:textId="3E9EEE04" w:rsidR="008B078D" w:rsidRPr="008B078D" w:rsidRDefault="008B078D" w:rsidP="008B078D">
      <w:pPr>
        <w:spacing w:line="360" w:lineRule="auto"/>
        <w:ind w:firstLine="720"/>
        <w:rPr>
          <w:rFonts w:asciiTheme="majorHAnsi" w:hAnsiTheme="majorHAnsi" w:cstheme="majorHAnsi"/>
        </w:rPr>
      </w:pPr>
      <w:r>
        <w:rPr>
          <w:rFonts w:asciiTheme="majorHAnsi" w:hAnsiTheme="majorHAnsi" w:cstheme="majorHAnsi"/>
        </w:rPr>
        <w:t>Further, because survey participation was entirely voluntary, our sample is self-selected, meaning that patterns in who chose to respond—and how they responded—may not generalize to the full population of college-bound seniors who filed a FAFSA or CADAA. Importantly, because our sample is limited to students who completed a financial aid application and intended to enroll in college, it excludes seniors who did not pursue postsecondary education. To the extent that negative high school experiences, such as identity-based victimization, contribute to disengagement from schooling or lower college-going rates, our sample may be positively selected, and the disparities documented here may understate those experienced by the broader population of LGBTQ+ high school students in California. We therefore interpret our findings as descriptive of the experiences reported by this sample rather than as estimates of population parameters.</w:t>
      </w:r>
    </w:p>
    <w:p w14:paraId="39210A70" w14:textId="77777777" w:rsidR="008B078D" w:rsidRDefault="008B078D" w:rsidP="00784751">
      <w:pPr>
        <w:widowControl w:val="0"/>
        <w:spacing w:line="360" w:lineRule="auto"/>
        <w:rPr>
          <w:rFonts w:asciiTheme="majorHAnsi" w:hAnsiTheme="majorHAnsi" w:cstheme="majorHAnsi"/>
          <w:b/>
          <w:bCs/>
        </w:rPr>
      </w:pPr>
    </w:p>
    <w:p w14:paraId="7F578E37" w14:textId="77777777" w:rsidR="000E6523" w:rsidRDefault="000E6523">
      <w:pPr>
        <w:rPr>
          <w:rFonts w:asciiTheme="majorHAnsi" w:hAnsiTheme="majorHAnsi" w:cstheme="majorHAnsi"/>
          <w:b/>
          <w:bCs/>
        </w:rPr>
      </w:pPr>
      <w:r>
        <w:rPr>
          <w:rFonts w:asciiTheme="majorHAnsi" w:hAnsiTheme="majorHAnsi" w:cstheme="majorHAnsi"/>
          <w:b/>
          <w:bCs/>
        </w:rPr>
        <w:br w:type="page"/>
      </w:r>
    </w:p>
    <w:p w14:paraId="7439AD7C" w14:textId="672E8956" w:rsidR="00BD041A" w:rsidRPr="00B621E1" w:rsidRDefault="00602BF5" w:rsidP="00784751">
      <w:pPr>
        <w:widowControl w:val="0"/>
        <w:spacing w:line="360" w:lineRule="auto"/>
        <w:rPr>
          <w:rFonts w:asciiTheme="majorHAnsi" w:hAnsiTheme="majorHAnsi" w:cstheme="majorHAnsi"/>
          <w:b/>
          <w:bCs/>
        </w:rPr>
      </w:pPr>
      <w:r>
        <w:rPr>
          <w:rFonts w:asciiTheme="majorHAnsi" w:hAnsiTheme="majorHAnsi" w:cstheme="majorHAnsi"/>
          <w:b/>
          <w:bCs/>
        </w:rPr>
        <w:lastRenderedPageBreak/>
        <w:t>Table 1</w:t>
      </w:r>
    </w:p>
    <w:p w14:paraId="05D22B9B" w14:textId="171AD580" w:rsidR="00F06AC4" w:rsidRPr="00B621E1" w:rsidRDefault="00F06AC4" w:rsidP="00F06AC4">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(N = 7,522), </w:t>
      </w:r>
      <w:commentRangeStart w:id="32"/>
      <w:r>
        <w:rPr>
          <w:rFonts w:asciiTheme="majorHAnsi" w:hAnsiTheme="majorHAnsi" w:cstheme="majorHAnsi"/>
          <w:i/>
          <w:iCs/>
          <w:color w:val="000000"/>
          <w:lang w:val="en"/>
        </w:rPr>
        <w:t>2023</w:t>
      </w:r>
      <w:commentRangeEnd w:id="32"/>
      <w:r w:rsidRPr="00B621E1">
        <w:rPr>
          <w:rStyle w:val="CommentReference"/>
          <w:rFonts w:asciiTheme="majorHAnsi" w:hAnsiTheme="majorHAnsi" w:cstheme="majorHAnsi"/>
          <w:b/>
          <w:bCs/>
          <w:color w:val="000000"/>
          <w:sz w:val="24"/>
          <w:szCs w:val="24"/>
        </w:rPr>
        <w:commentReference w:id="32"/>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35.6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commentRangeStart w:id="33"/>
            <w:commentRangeStart w:id="34"/>
            <w:r>
              <w:rPr>
                <w:rFonts w:asciiTheme="majorHAnsi" w:hAnsiTheme="majorHAnsi" w:cstheme="majorHAnsi"/>
                <w:sz w:val="22"/>
                <w:szCs w:val="22"/>
              </w:rPr>
              <w:t xml:space="preserve">   Prefer not to say</w:t>
            </w:r>
            <w:commentRangeEnd w:id="33"/>
            <w:r w:rsidRPr="00B621E1">
              <w:rPr>
                <w:rStyle w:val="CommentReference"/>
                <w:rFonts w:asciiTheme="majorHAnsi" w:hAnsiTheme="majorHAnsi" w:cstheme="majorHAnsi"/>
                <w:sz w:val="22"/>
                <w:szCs w:val="22"/>
              </w:rPr>
              <w:commentReference w:id="33"/>
            </w:r>
            <w:commentRangeEnd w:id="34"/>
            <w:r w:rsidRPr="00B621E1">
              <w:rPr>
                <w:rStyle w:val="CommentReference"/>
                <w:rFonts w:asciiTheme="majorHAnsi" w:hAnsiTheme="majorHAnsi" w:cstheme="majorHAnsi"/>
                <w:sz w:val="22"/>
                <w:szCs w:val="22"/>
              </w:rPr>
              <w:commentReference w:id="34"/>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69.4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White/non-Hispanic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12.9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19.2</w:t>
            </w:r>
          </w:p>
        </w:tc>
      </w:tr>
      <w:tr w:rsidR="00BD041A" w:rsidRPr="00B621E1" w14:paraId="7439AE0D" w14:textId="77777777">
        <w:tc>
          <w:tcPr>
            <w:tcW w:w="5108" w:type="dxa"/>
            <w:tcBorders>
              <w:left w:val="nil"/>
              <w:bottom w:val="single" w:sz="4" w:space="0" w:color="000000"/>
              <w:right w:val="nil"/>
            </w:tcBorders>
            <w:vAlign w:val="center"/>
          </w:tcPr>
          <w:p w14:paraId="7439AE0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bl>
    <w:p w14:paraId="657EBBCF" w14:textId="77777777" w:rsidR="00C43786" w:rsidRPr="006159A0" w:rsidRDefault="00C43786" w:rsidP="003803B1">
      <w:pPr>
        <w:spacing w:line="360" w:lineRule="auto"/>
        <w:rPr>
          <w:rFonts w:asciiTheme="majorHAnsi" w:hAnsiTheme="majorHAnsi" w:cstheme="majorHAnsi"/>
        </w:rPr>
      </w:pPr>
      <w:r>
        <w:rPr>
          <w:rFonts w:asciiTheme="majorHAnsi" w:hAnsiTheme="majorHAnsi" w:cstheme="majorHAnsi"/>
        </w:rPr>
        <w:br w:type="page"/>
      </w:r>
    </w:p>
    <w:p w14:paraId="18E551A5" w14:textId="1B518220" w:rsidR="007C3F1C"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lastRenderedPageBreak/>
        <w:t>To collect data on gender identity, we adopted the two-step approach recommended by the GenIUSS group (Herman, 2014) given its high sensitivity and specificity in accurately discriminating between transgender and cisgender respondents (</w:t>
      </w:r>
      <w:commentRangeStart w:id="35"/>
      <w:r>
        <w:rPr>
          <w:rFonts w:asciiTheme="majorHAnsi" w:hAnsiTheme="majorHAnsi" w:cstheme="majorHAnsi"/>
        </w:rPr>
        <w:t>Herman, 2014</w:t>
      </w:r>
      <w:commentRangeEnd w:id="35"/>
      <w:r>
        <w:rPr>
          <w:rStyle w:val="CommentReference"/>
          <w:rFonts w:asciiTheme="majorHAnsi" w:hAnsiTheme="majorHAnsi" w:cstheme="majorHAnsi"/>
          <w:sz w:val="24"/>
          <w:szCs w:val="24"/>
        </w:rPr>
        <w:commentReference w:id="35"/>
      </w:r>
      <w:r>
        <w:rPr>
          <w:rFonts w:asciiTheme="majorHAnsi" w:hAnsiTheme="majorHAnsi" w:cstheme="majorHAnsi"/>
        </w:rPr>
        <w:t>; Saperstein &amp; Westbrook, 2021).</w:t>
      </w:r>
      <w:r>
        <w:rPr>
          <w:rFonts w:asciiTheme="majorHAnsi" w:hAnsiTheme="majorHAnsi" w:cstheme="majorHAnsi"/>
          <w:color w:val="512DA8"/>
        </w:rPr>
        <w:t xml:space="preserve"> </w:t>
      </w:r>
      <w:r>
        <w:rPr>
          <w:rFonts w:asciiTheme="majorHAnsi" w:hAnsiTheme="majorHAnsi" w:cstheme="majorHAnsi"/>
        </w:rPr>
        <w:t xml:space="preserve">This approach includes two questions: (1) What is your sex assigned at birth, on your original birth certificate?, with </w:t>
      </w:r>
      <w:r>
        <w:rPr>
          <w:rFonts w:asciiTheme="majorHAnsi" w:hAnsiTheme="majorHAnsi" w:cstheme="majorHAnsi"/>
          <w:i/>
          <w:iCs/>
        </w:rPr>
        <w:t xml:space="preserve">male </w:t>
      </w:r>
      <w:r>
        <w:rPr>
          <w:rFonts w:asciiTheme="majorHAnsi" w:hAnsiTheme="majorHAnsi" w:cstheme="majorHAnsi"/>
        </w:rPr>
        <w:t xml:space="preserve">and </w:t>
      </w:r>
      <w:r>
        <w:rPr>
          <w:rFonts w:asciiTheme="majorHAnsi" w:hAnsiTheme="majorHAnsi" w:cstheme="majorHAnsi"/>
          <w:i/>
          <w:iCs/>
        </w:rPr>
        <w:t>female</w:t>
      </w:r>
      <w:r>
        <w:rPr>
          <w:rFonts w:asciiTheme="majorHAnsi" w:hAnsiTheme="majorHAnsi" w:cstheme="majorHAnsi"/>
        </w:rPr>
        <w:t xml:space="preserve"> as response options; and (2) What is your current gender identity?, with </w:t>
      </w:r>
      <w:r>
        <w:rPr>
          <w:rFonts w:asciiTheme="majorHAnsi" w:hAnsiTheme="majorHAnsi" w:cstheme="majorHAnsi"/>
          <w:i/>
          <w:iCs/>
        </w:rPr>
        <w:t>woman</w:t>
      </w:r>
      <w:r>
        <w:rPr>
          <w:rFonts w:asciiTheme="majorHAnsi" w:hAnsiTheme="majorHAnsi" w:cstheme="majorHAnsi"/>
        </w:rPr>
        <w:t xml:space="preserve">, </w:t>
      </w:r>
      <w:r>
        <w:rPr>
          <w:rFonts w:asciiTheme="majorHAnsi" w:hAnsiTheme="majorHAnsi" w:cstheme="majorHAnsi"/>
          <w:i/>
          <w:iCs/>
        </w:rPr>
        <w:t>man</w:t>
      </w:r>
      <w:r>
        <w:rPr>
          <w:rFonts w:asciiTheme="majorHAnsi" w:hAnsiTheme="majorHAnsi" w:cstheme="majorHAnsi"/>
        </w:rPr>
        <w:t xml:space="preserve">, </w:t>
      </w:r>
      <w:r>
        <w:rPr>
          <w:rFonts w:asciiTheme="majorHAnsi" w:hAnsiTheme="majorHAnsi" w:cstheme="majorHAnsi"/>
          <w:i/>
          <w:iCs/>
        </w:rPr>
        <w:t>nonbinary</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as response options. Respondents who chose</w:t>
      </w:r>
      <w:commentRangeStart w:id="36"/>
      <w:r>
        <w:rPr>
          <w:rFonts w:asciiTheme="majorHAnsi" w:hAnsiTheme="majorHAnsi" w:cstheme="majorHAnsi"/>
        </w:rPr>
        <w:t xml:space="preserve"> </w:t>
      </w:r>
      <w:r>
        <w:rPr>
          <w:rFonts w:asciiTheme="majorHAnsi" w:hAnsiTheme="majorHAnsi" w:cstheme="majorHAnsi"/>
          <w:i/>
          <w:iCs/>
        </w:rPr>
        <w:t>other</w:t>
      </w:r>
      <w:r>
        <w:rPr>
          <w:rFonts w:asciiTheme="majorHAnsi" w:hAnsiTheme="majorHAnsi" w:cstheme="majorHAnsi"/>
        </w:rPr>
        <w:t xml:space="preserve"> also had the option to write in a response.</w:t>
      </w:r>
      <w:commentRangeEnd w:id="36"/>
      <w:r>
        <w:rPr>
          <w:rStyle w:val="CommentReference"/>
          <w:rFonts w:asciiTheme="majorHAnsi" w:hAnsiTheme="majorHAnsi" w:cstheme="majorHAnsi"/>
          <w:sz w:val="24"/>
          <w:szCs w:val="24"/>
        </w:rPr>
        <w:commentReference w:id="36"/>
      </w:r>
      <w:r>
        <w:rPr>
          <w:rFonts w:asciiTheme="majorHAnsi" w:hAnsiTheme="majorHAnsi" w:cstheme="majorHAnsi"/>
        </w:rPr>
        <w:t xml:space="preserve"> Using these survey items, we classify respondents into one of the following umbrella categories: </w:t>
      </w:r>
      <w:r>
        <w:rPr>
          <w:rFonts w:asciiTheme="majorHAnsi" w:hAnsiTheme="majorHAnsi" w:cstheme="majorHAnsi"/>
          <w:i/>
          <w:iCs/>
        </w:rPr>
        <w:t>cisgender</w:t>
      </w:r>
      <w:r>
        <w:rPr>
          <w:rFonts w:asciiTheme="majorHAnsi" w:hAnsiTheme="majorHAnsi" w:cstheme="majorHAnsi"/>
        </w:rPr>
        <w:t xml:space="preserve">, </w:t>
      </w:r>
      <w:r>
        <w:rPr>
          <w:rFonts w:asciiTheme="majorHAnsi" w:hAnsiTheme="majorHAnsi" w:cstheme="majorHAnsi"/>
          <w:i/>
          <w:iCs/>
        </w:rPr>
        <w:t>transgender and gender expansiv</w:t>
      </w:r>
      <w:r>
        <w:rPr>
          <w:rFonts w:asciiTheme="majorHAnsi" w:hAnsiTheme="majorHAnsi" w:cstheme="majorHAnsi"/>
        </w:rPr>
        <w:t xml:space="preserve">e (Robinson &amp; Cooper, 2024), and </w:t>
      </w:r>
      <w:r>
        <w:rPr>
          <w:rFonts w:asciiTheme="majorHAnsi" w:hAnsiTheme="majorHAnsi" w:cstheme="majorHAnsi"/>
          <w:i/>
          <w:iCs/>
        </w:rPr>
        <w:t>prefer not to say</w:t>
      </w:r>
      <w:r>
        <w:rPr>
          <w:rFonts w:asciiTheme="majorHAnsi" w:hAnsiTheme="majorHAnsi" w:cstheme="majorHAnsi"/>
        </w:rPr>
        <w:t xml:space="preserve">. Respondents who reported that their sex assigned at birth aligned with their current gender identity (e.g., male and man; female and woman) were categorized as </w:t>
      </w:r>
      <w:r>
        <w:rPr>
          <w:rFonts w:asciiTheme="majorHAnsi" w:hAnsiTheme="majorHAnsi" w:cstheme="majorHAnsi"/>
          <w:i/>
          <w:iCs/>
        </w:rPr>
        <w:t>cisgender</w:t>
      </w:r>
      <w:r>
        <w:rPr>
          <w:rFonts w:asciiTheme="majorHAnsi" w:hAnsiTheme="majorHAnsi" w:cstheme="majorHAnsi"/>
        </w:rPr>
        <w:t xml:space="preserve">, while respondents who reported their sex assigned at birth differed from their current gender identity were categorized as </w:t>
      </w:r>
      <w:r>
        <w:rPr>
          <w:rFonts w:asciiTheme="majorHAnsi" w:hAnsiTheme="majorHAnsi" w:cstheme="majorHAnsi"/>
          <w:i/>
          <w:iCs/>
        </w:rPr>
        <w:t>trans(gender) and gender expansive</w:t>
      </w:r>
      <w:r>
        <w:rPr>
          <w:rFonts w:asciiTheme="majorHAnsi" w:hAnsiTheme="majorHAnsi" w:cstheme="majorHAnsi"/>
        </w:rPr>
        <w:t xml:space="preserve">. The Human Rights Campaign uses the term </w:t>
      </w:r>
      <w:r>
        <w:rPr>
          <w:rFonts w:asciiTheme="majorHAnsi" w:hAnsiTheme="majorHAnsi" w:cstheme="majorHAnsi"/>
          <w:i/>
          <w:iCs/>
        </w:rPr>
        <w:t>trans(gender) and gender expansive</w:t>
      </w:r>
      <w:r>
        <w:rPr>
          <w:rFonts w:asciiTheme="majorHAnsi" w:hAnsiTheme="majorHAnsi" w:cstheme="majorHAns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43B3CD3B"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We further classify trans and gender expansive students into the following sub-categories, which we utilize in our analysis: </w:t>
      </w:r>
      <w:r>
        <w:rPr>
          <w:rFonts w:asciiTheme="majorHAnsi" w:hAnsiTheme="majorHAnsi" w:cstheme="majorHAnsi"/>
          <w:i/>
          <w:iCs/>
        </w:rPr>
        <w:t xml:space="preserve">transgender men, transgender women, nonbinary, </w:t>
      </w:r>
      <w:r>
        <w:rPr>
          <w:rFonts w:asciiTheme="majorHAnsi" w:hAnsiTheme="majorHAnsi" w:cstheme="majorHAnsi"/>
        </w:rPr>
        <w:t>and</w:t>
      </w:r>
      <w:r>
        <w:rPr>
          <w:rFonts w:asciiTheme="majorHAnsi" w:hAnsiTheme="majorHAnsi" w:cstheme="majorHAnsi"/>
          <w:i/>
          <w:iCs/>
        </w:rPr>
        <w:t xml:space="preserve"> gender diverse/questioning. </w:t>
      </w:r>
      <w:r>
        <w:rPr>
          <w:rFonts w:asciiTheme="majorHAnsi" w:hAnsiTheme="majorHAnsi" w:cstheme="majorHAnsi"/>
        </w:rPr>
        <w:t xml:space="preserve">For example, students who reported their sex assigned at birth as female or male and who identified as a man or a woman were categorized as </w:t>
      </w:r>
      <w:r>
        <w:rPr>
          <w:rFonts w:asciiTheme="majorHAnsi" w:hAnsiTheme="majorHAnsi" w:cstheme="majorHAnsi"/>
          <w:i/>
          <w:iCs/>
        </w:rPr>
        <w:t xml:space="preserve">binary-identifying transgender men </w:t>
      </w:r>
      <w:r>
        <w:rPr>
          <w:rFonts w:asciiTheme="majorHAnsi" w:hAnsiTheme="majorHAnsi" w:cstheme="majorHAnsi"/>
        </w:rPr>
        <w:t>and</w:t>
      </w:r>
      <w:r>
        <w:rPr>
          <w:rFonts w:asciiTheme="majorHAnsi" w:hAnsiTheme="majorHAnsi" w:cstheme="majorHAnsi"/>
          <w:i/>
          <w:iCs/>
        </w:rPr>
        <w:t xml:space="preserve"> women</w:t>
      </w:r>
      <w:r>
        <w:rPr>
          <w:rFonts w:asciiTheme="majorHAnsi" w:hAnsiTheme="majorHAnsi" w:cstheme="majorHAnsi"/>
        </w:rPr>
        <w:t>,</w:t>
      </w:r>
      <w:r>
        <w:rPr>
          <w:rFonts w:asciiTheme="majorHAnsi" w:hAnsiTheme="majorHAnsi" w:cstheme="majorHAnsi"/>
          <w:i/>
          <w:iCs/>
        </w:rPr>
        <w:t xml:space="preserve"> </w:t>
      </w:r>
      <w:r>
        <w:rPr>
          <w:rFonts w:asciiTheme="majorHAnsi" w:hAnsiTheme="majorHAnsi" w:cstheme="majorHAnsi"/>
        </w:rPr>
        <w:t>respectively</w:t>
      </w:r>
      <w:r>
        <w:rPr>
          <w:rFonts w:asciiTheme="majorHAnsi" w:hAnsiTheme="majorHAnsi" w:cstheme="majorHAnsi"/>
          <w:i/>
          <w:iCs/>
        </w:rPr>
        <w:t xml:space="preserve">. </w:t>
      </w:r>
      <w:r>
        <w:rPr>
          <w:rFonts w:asciiTheme="majorHAnsi" w:hAnsiTheme="majorHAnsi" w:cstheme="majorHAnsi"/>
        </w:rPr>
        <w:t xml:space="preserve">Students who selected </w:t>
      </w:r>
      <w:r>
        <w:rPr>
          <w:rFonts w:asciiTheme="majorHAnsi" w:hAnsiTheme="majorHAnsi" w:cstheme="majorHAnsi"/>
          <w:i/>
          <w:iCs/>
        </w:rPr>
        <w:t xml:space="preserve">nonbinary </w:t>
      </w:r>
      <w:r>
        <w:rPr>
          <w:rFonts w:asciiTheme="majorHAnsi" w:hAnsiTheme="majorHAnsi" w:cstheme="majorHAnsi"/>
        </w:rPr>
        <w:t>or wrote in responses that included the term “nonbinary” in their written responses</w:t>
      </w:r>
      <w:r>
        <w:rPr>
          <w:rFonts w:asciiTheme="majorHAnsi" w:hAnsiTheme="majorHAnsi" w:cstheme="majorHAnsi"/>
          <w:i/>
          <w:iCs/>
        </w:rPr>
        <w:t xml:space="preserve"> </w:t>
      </w:r>
      <w:r>
        <w:rPr>
          <w:rFonts w:asciiTheme="majorHAnsi" w:hAnsiTheme="majorHAnsi" w:cstheme="majorHAnsi"/>
        </w:rPr>
        <w:t xml:space="preserve">were categorized as </w:t>
      </w:r>
      <w:r>
        <w:rPr>
          <w:rFonts w:asciiTheme="majorHAnsi" w:hAnsiTheme="majorHAnsi" w:cstheme="majorHAnsi"/>
          <w:i/>
          <w:iCs/>
        </w:rPr>
        <w:t>nonbinary</w:t>
      </w:r>
      <w:r>
        <w:rPr>
          <w:rFonts w:asciiTheme="majorHAnsi" w:hAnsiTheme="majorHAnsi" w:cstheme="majorHAnsi"/>
        </w:rPr>
        <w:t>, regardless of sex assigned at birth</w:t>
      </w:r>
      <w:r>
        <w:rPr>
          <w:rFonts w:asciiTheme="majorHAnsi" w:hAnsiTheme="majorHAnsi" w:cstheme="majorHAnsi"/>
          <w:i/>
          <w:iCs/>
        </w:rPr>
        <w:t>.</w:t>
      </w:r>
      <w:r>
        <w:rPr>
          <w:rFonts w:asciiTheme="majorHAnsi" w:hAnsiTheme="majorHAnsi" w:cstheme="majorHAnsi"/>
        </w:rPr>
        <w:t xml:space="preserve"> Students who wrote in other diverse gender identities (e.g., genderfluid) are captured by the term </w:t>
      </w:r>
      <w:r>
        <w:rPr>
          <w:rFonts w:asciiTheme="majorHAnsi" w:hAnsiTheme="majorHAnsi" w:cstheme="majorHAnsi"/>
          <w:i/>
          <w:iCs/>
        </w:rPr>
        <w:t>gender diverse/questioning</w:t>
      </w:r>
      <w:r>
        <w:rPr>
          <w:rFonts w:asciiTheme="majorHAnsi" w:hAnsiTheme="majorHAnsi" w:cstheme="majorHAnsi"/>
        </w:rPr>
        <w:t xml:space="preserve">. Our analysis revealed some significant differences between the </w:t>
      </w:r>
      <w:r>
        <w:rPr>
          <w:rFonts w:asciiTheme="majorHAnsi" w:hAnsiTheme="majorHAnsi" w:cstheme="majorHAnsi"/>
        </w:rPr>
        <w:lastRenderedPageBreak/>
        <w:t xml:space="preserve">experiences of nonbinary and gender diverse/questioning students, which provides additional support for these distinctions. Finally, students who chose </w:t>
      </w:r>
      <w:r>
        <w:rPr>
          <w:rFonts w:asciiTheme="majorHAnsi" w:hAnsiTheme="majorHAnsi" w:cstheme="majorHAnsi"/>
          <w:i/>
          <w:iCs/>
        </w:rPr>
        <w:t>prefer not to say</w:t>
      </w:r>
      <w:r>
        <w:rPr>
          <w:rFonts w:asciiTheme="majorHAnsi" w:hAnsiTheme="majorHAnsi" w:cstheme="majorHAnsi"/>
        </w:rPr>
        <w:t xml:space="preserve"> or wrote in </w:t>
      </w:r>
      <w:commentRangeStart w:id="37"/>
      <w:r>
        <w:rPr>
          <w:rFonts w:asciiTheme="majorHAnsi" w:hAnsiTheme="majorHAnsi" w:cstheme="majorHAnsi"/>
        </w:rPr>
        <w:t xml:space="preserve">malicious </w:t>
      </w:r>
      <w:commentRangeEnd w:id="37"/>
      <w:r>
        <w:rPr>
          <w:rStyle w:val="CommentReference"/>
          <w:rFonts w:asciiTheme="majorHAnsi" w:hAnsiTheme="majorHAnsi" w:cstheme="majorHAnsi"/>
          <w:sz w:val="24"/>
          <w:szCs w:val="24"/>
        </w:rPr>
        <w:commentReference w:id="37"/>
      </w:r>
      <w:r>
        <w:rPr>
          <w:rFonts w:asciiTheme="majorHAnsi" w:hAnsiTheme="majorHAnsi" w:cstheme="majorHAnsi"/>
        </w:rPr>
        <w:t xml:space="preserve">responses (e.g., racial and gender slurs) were classified as </w:t>
      </w:r>
      <w:r>
        <w:rPr>
          <w:rFonts w:asciiTheme="majorHAnsi" w:hAnsiTheme="majorHAnsi" w:cstheme="majorHAnsi"/>
          <w:i/>
          <w:iCs/>
        </w:rPr>
        <w:t>prefer not to say</w:t>
      </w:r>
      <w:r>
        <w:rPr>
          <w:rFonts w:asciiTheme="majorHAnsi" w:hAnsiTheme="majorHAnsi" w:cstheme="majorHAnsi"/>
        </w:rPr>
        <w:t>. Among the trans and gender expansive students in our sample (</w:t>
      </w:r>
      <w:r>
        <w:rPr>
          <w:rFonts w:asciiTheme="majorHAnsi" w:hAnsiTheme="majorHAnsi" w:cstheme="majorHAnsi"/>
          <w:i/>
          <w:iCs/>
        </w:rPr>
        <w:t xml:space="preserve">n </w:t>
      </w:r>
      <w:r>
        <w:rPr>
          <w:rFonts w:asciiTheme="majorHAnsi" w:hAnsiTheme="majorHAnsi" w:cstheme="majorHAnsi"/>
        </w:rPr>
        <w:t xml:space="preserve">= 417), </w:t>
      </w:r>
      <w:commentRangeStart w:id="38"/>
      <w:r>
        <w:rPr>
          <w:rFonts w:asciiTheme="majorHAnsi" w:hAnsiTheme="majorHAnsi" w:cstheme="majorHAnsi"/>
        </w:rPr>
        <w:t>about 19% identified as transgender, 64% as nonbinary, and 17% as gender diverse/questioning.</w:t>
      </w:r>
      <w:commentRangeEnd w:id="38"/>
      <w:r>
        <w:rPr>
          <w:rStyle w:val="CommentReference"/>
          <w:rFonts w:asciiTheme="majorHAnsi" w:hAnsiTheme="majorHAnsi" w:cstheme="majorHAnsi"/>
          <w:sz w:val="24"/>
          <w:szCs w:val="24"/>
        </w:rPr>
        <w:commentReference w:id="38"/>
      </w:r>
      <w:r>
        <w:rPr>
          <w:rFonts w:asciiTheme="majorHAnsi" w:hAnsiTheme="majorHAnsi" w:cstheme="majorHAnsi"/>
        </w:rPr>
        <w:t xml:space="preserve"> Beyond predefined options, students also noted 26 unique terms to describe their gender identity, including </w:t>
      </w:r>
      <w:r>
        <w:rPr>
          <w:rFonts w:asciiTheme="majorHAnsi" w:hAnsiTheme="majorHAnsi" w:cstheme="majorHAnsi"/>
          <w:i/>
          <w:iCs/>
        </w:rPr>
        <w:t>genderfluid</w:t>
      </w:r>
      <w:r>
        <w:rPr>
          <w:rFonts w:asciiTheme="majorHAnsi" w:hAnsiTheme="majorHAnsi" w:cstheme="majorHAnsi"/>
        </w:rPr>
        <w:t xml:space="preserve">, </w:t>
      </w:r>
      <w:r>
        <w:rPr>
          <w:rFonts w:asciiTheme="majorHAnsi" w:hAnsiTheme="majorHAnsi" w:cstheme="majorHAnsi"/>
          <w:i/>
          <w:iCs/>
        </w:rPr>
        <w:t>agender</w:t>
      </w:r>
      <w:r>
        <w:rPr>
          <w:rFonts w:asciiTheme="majorHAnsi" w:hAnsiTheme="majorHAnsi" w:cstheme="majorHAnsi"/>
        </w:rPr>
        <w:t xml:space="preserve">, </w:t>
      </w:r>
      <w:r>
        <w:rPr>
          <w:rFonts w:asciiTheme="majorHAnsi" w:hAnsiTheme="majorHAnsi" w:cstheme="majorHAnsi"/>
          <w:i/>
          <w:iCs/>
        </w:rPr>
        <w:t>genderqueer</w:t>
      </w:r>
      <w:r>
        <w:rPr>
          <w:rFonts w:asciiTheme="majorHAnsi" w:hAnsiTheme="majorHAnsi" w:cstheme="majorHAnsi"/>
        </w:rPr>
        <w:t xml:space="preserve">, and </w:t>
      </w:r>
      <w:r>
        <w:rPr>
          <w:rFonts w:asciiTheme="majorHAnsi" w:hAnsiTheme="majorHAnsi" w:cstheme="majorHAnsi"/>
          <w:i/>
          <w:iCs/>
        </w:rPr>
        <w:t>two-spirit</w:t>
      </w:r>
      <w:r>
        <w:rPr>
          <w:rFonts w:asciiTheme="majorHAnsi" w:hAnsiTheme="majorHAnsi" w:cstheme="majorHAnsi"/>
        </w:rPr>
        <w:t>, among many others</w:t>
      </w:r>
      <w:r>
        <w:rPr>
          <w:rStyle w:val="FootnoteReference"/>
          <w:rFonts w:asciiTheme="majorHAnsi" w:hAnsiTheme="majorHAnsi" w:cstheme="majorHAnsi"/>
        </w:rPr>
        <w:footnoteReference w:id="2"/>
      </w:r>
      <w:r>
        <w:rPr>
          <w:rFonts w:asciiTheme="majorHAnsi" w:hAnsiTheme="majorHAnsi" w:cstheme="majorHAnsi"/>
          <w:i/>
          <w:iCs/>
        </w:rPr>
        <w:t xml:space="preserve">. </w:t>
      </w:r>
      <w:r>
        <w:rPr>
          <w:rFonts w:asciiTheme="majorHAnsi" w:hAnsiTheme="majorHAnsi" w:cstheme="majorHAnsi"/>
        </w:rPr>
        <w:t>We also examined associations between gender identity and sexual orientation and found that trans and gender expansive students were more likely to select a non-heterosexual sexual orientation than cisgender students (see Table A1 in Appendix A).</w:t>
      </w:r>
      <w:r>
        <w:rPr>
          <w:rStyle w:val="FootnoteReference"/>
          <w:rFonts w:asciiTheme="majorHAnsi" w:hAnsiTheme="majorHAnsi" w:cstheme="majorHAnsi"/>
        </w:rPr>
        <w:footnoteReference w:id="3"/>
      </w:r>
    </w:p>
    <w:p w14:paraId="7439AE15" w14:textId="48A76BCF" w:rsidR="00BD041A" w:rsidRDefault="00602BF5" w:rsidP="003F369F">
      <w:pPr>
        <w:spacing w:line="360" w:lineRule="auto"/>
        <w:ind w:firstLine="720"/>
        <w:rPr>
          <w:rFonts w:asciiTheme="majorHAnsi" w:hAnsiTheme="majorHAnsi" w:cstheme="majorHAnsi"/>
        </w:rPr>
      </w:pPr>
      <w:r>
        <w:rPr>
          <w:rFonts w:asciiTheme="majorHAnsi" w:hAnsiTheme="majorHAnsi" w:cstheme="majorHAnsi"/>
        </w:rPr>
        <w:t xml:space="preserve">To measure sexual orientation, we adapted the survey instrument recommended by the </w:t>
      </w:r>
      <w:r>
        <w:rPr>
          <w:rFonts w:asciiTheme="majorHAnsi" w:hAnsiTheme="majorHAnsi" w:cstheme="majorHAnsi"/>
          <w:lang w:val="en-US"/>
        </w:rPr>
        <w:t xml:space="preserve">Sexual Minority Assessment Research Team (SMART) </w:t>
      </w:r>
      <w:r>
        <w:rPr>
          <w:rFonts w:asciiTheme="majorHAnsi" w:hAnsiTheme="majorHAnsi" w:cstheme="majorHAnsi"/>
        </w:rPr>
        <w:t xml:space="preserve">to capture the breadth of students’ identities. Students were asked to self-identify among the following options: </w:t>
      </w:r>
      <w:r>
        <w:rPr>
          <w:rFonts w:asciiTheme="majorHAnsi" w:hAnsiTheme="majorHAnsi" w:cstheme="majorHAnsi"/>
          <w:i/>
          <w:iCs/>
        </w:rPr>
        <w:t>lesbian or gay</w:t>
      </w:r>
      <w:r>
        <w:rPr>
          <w:rFonts w:asciiTheme="majorHAnsi" w:hAnsiTheme="majorHAnsi" w:cstheme="majorHAnsi"/>
        </w:rPr>
        <w:t xml:space="preserve">; </w:t>
      </w:r>
      <w:r>
        <w:rPr>
          <w:rFonts w:asciiTheme="majorHAnsi" w:hAnsiTheme="majorHAnsi" w:cstheme="majorHAnsi"/>
          <w:i/>
          <w:iCs/>
        </w:rPr>
        <w:t>straight (not gay or lesbian)</w:t>
      </w:r>
      <w:r>
        <w:rPr>
          <w:rFonts w:asciiTheme="majorHAnsi" w:hAnsiTheme="majorHAnsi" w:cstheme="majorHAnsi"/>
        </w:rPr>
        <w:t xml:space="preserve">; </w:t>
      </w:r>
      <w:r>
        <w:rPr>
          <w:rFonts w:asciiTheme="majorHAnsi" w:hAnsiTheme="majorHAnsi" w:cstheme="majorHAnsi"/>
          <w:i/>
          <w:iCs/>
        </w:rPr>
        <w:t>bisexual</w:t>
      </w:r>
      <w:r>
        <w:rPr>
          <w:rFonts w:asciiTheme="majorHAnsi" w:hAnsiTheme="majorHAnsi" w:cstheme="majorHAnsi"/>
        </w:rPr>
        <w:t xml:space="preserve">; </w:t>
      </w:r>
      <w:r>
        <w:rPr>
          <w:rFonts w:asciiTheme="majorHAnsi" w:hAnsiTheme="majorHAnsi" w:cstheme="majorHAnsi"/>
          <w:i/>
          <w:iCs/>
        </w:rPr>
        <w:t>asexual</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which also included the opportunity to write in a response </w:t>
      </w:r>
      <w:commentRangeStart w:id="39"/>
      <w:r>
        <w:rPr>
          <w:rFonts w:asciiTheme="majorHAnsi" w:hAnsiTheme="majorHAnsi" w:cstheme="majorHAnsi"/>
        </w:rPr>
        <w:t>(Badgett et al., 2009)</w:t>
      </w:r>
      <w:commentRangeEnd w:id="39"/>
      <w:r>
        <w:rPr>
          <w:rStyle w:val="CommentReference"/>
          <w:rFonts w:asciiTheme="majorHAnsi" w:hAnsiTheme="majorHAnsi" w:cstheme="majorHAnsi"/>
          <w:sz w:val="24"/>
          <w:szCs w:val="24"/>
        </w:rPr>
        <w:commentReference w:id="39"/>
      </w:r>
      <w:r>
        <w:rPr>
          <w:rFonts w:asciiTheme="majorHAnsi" w:hAnsiTheme="majorHAnsi" w:cstheme="majorHAnsi"/>
        </w:rPr>
        <w:t>. T</w:t>
      </w:r>
      <w:r>
        <w:rPr>
          <w:rFonts w:asciiTheme="majorHAnsi" w:hAnsiTheme="majorHAnsi" w:cstheme="majorHAnsi"/>
          <w:lang w:val="en-US"/>
        </w:rPr>
        <w:t xml:space="preserve">he option </w:t>
      </w:r>
      <w:r>
        <w:rPr>
          <w:rFonts w:asciiTheme="majorHAnsi" w:hAnsiTheme="majorHAnsi" w:cstheme="majorHAnsi"/>
          <w:i/>
          <w:iCs/>
          <w:lang w:val="en-US"/>
        </w:rPr>
        <w:t>asexual</w:t>
      </w:r>
      <w:r>
        <w:rPr>
          <w:rFonts w:asciiTheme="majorHAnsi" w:hAnsiTheme="majorHAnsi" w:cstheme="majorHAnsi"/>
          <w:lang w:val="en-US"/>
        </w:rPr>
        <w:t xml:space="preserve"> was added to proffer more expansive options for students</w:t>
      </w:r>
      <w:r>
        <w:rPr>
          <w:rFonts w:asciiTheme="majorHAnsi" w:hAnsiTheme="majorHAnsi" w:cstheme="majorHAnsi"/>
        </w:rPr>
        <w:t>. Within our sample, nearly one-quarter (</w:t>
      </w:r>
      <w:r>
        <w:rPr>
          <w:rFonts w:asciiTheme="majorHAnsi" w:hAnsiTheme="majorHAnsi" w:cstheme="majorHAnsi"/>
          <w:i/>
          <w:iCs/>
        </w:rPr>
        <w:t xml:space="preserve">n </w:t>
      </w:r>
      <w:r>
        <w:rPr>
          <w:rFonts w:asciiTheme="majorHAnsi" w:hAnsiTheme="majorHAnsi" w:cstheme="majorHAnsi"/>
        </w:rPr>
        <w:t>= 1,782) of students identified as LGB+, with most students identifying as bisexual/pansexual/omnisexual (15.2%), while about 4% of students identified as gay or lesbian, 2.4% as asexual/aromantic/demisexual, and 1.8% as other/</w:t>
      </w:r>
      <w:commentRangeStart w:id="40"/>
      <w:commentRangeStart w:id="41"/>
      <w:r>
        <w:rPr>
          <w:rFonts w:asciiTheme="majorHAnsi" w:hAnsiTheme="majorHAnsi" w:cstheme="majorHAnsi"/>
        </w:rPr>
        <w:t>queer</w:t>
      </w:r>
      <w:commentRangeEnd w:id="40"/>
      <w:r>
        <w:rPr>
          <w:rStyle w:val="CommentReference"/>
          <w:rFonts w:asciiTheme="majorHAnsi" w:hAnsiTheme="majorHAnsi" w:cstheme="majorHAnsi"/>
          <w:sz w:val="24"/>
          <w:szCs w:val="24"/>
        </w:rPr>
        <w:commentReference w:id="40"/>
      </w:r>
      <w:commentRangeEnd w:id="41"/>
      <w:r>
        <w:rPr>
          <w:rStyle w:val="CommentReference"/>
          <w:rFonts w:asciiTheme="majorHAnsi" w:hAnsiTheme="majorHAnsi" w:cstheme="majorHAnsi"/>
          <w:sz w:val="24"/>
          <w:szCs w:val="24"/>
        </w:rPr>
        <w:commentReference w:id="41"/>
      </w:r>
      <w:r>
        <w:rPr>
          <w:rFonts w:asciiTheme="majorHAnsi" w:hAnsiTheme="majorHAnsi" w:cstheme="majorHAnsi"/>
        </w:rPr>
        <w:t xml:space="preserve">/questioning. Similar to gender identity, students also used a variety of terms to describe their sexual orientation beyond those </w:t>
      </w:r>
      <w:commentRangeStart w:id="42"/>
      <w:commentRangeStart w:id="43"/>
      <w:r>
        <w:rPr>
          <w:rFonts w:asciiTheme="majorHAnsi" w:hAnsiTheme="majorHAnsi" w:cstheme="majorHAnsi"/>
        </w:rPr>
        <w:t>provided</w:t>
      </w:r>
      <w:commentRangeEnd w:id="42"/>
      <w:r>
        <w:rPr>
          <w:rStyle w:val="CommentReference"/>
          <w:rFonts w:asciiTheme="majorHAnsi" w:hAnsiTheme="majorHAnsi" w:cstheme="majorHAnsi"/>
          <w:sz w:val="24"/>
          <w:szCs w:val="24"/>
        </w:rPr>
        <w:commentReference w:id="42"/>
      </w:r>
      <w:commentRangeEnd w:id="43"/>
      <w:r>
        <w:rPr>
          <w:rStyle w:val="CommentReference"/>
          <w:rFonts w:asciiTheme="majorHAnsi" w:hAnsiTheme="majorHAnsi" w:cstheme="majorHAnsi"/>
          <w:sz w:val="24"/>
          <w:szCs w:val="24"/>
        </w:rPr>
        <w:commentReference w:id="43"/>
      </w:r>
      <w:r>
        <w:rPr>
          <w:rFonts w:asciiTheme="majorHAnsi" w:hAnsiTheme="majorHAnsi" w:cstheme="majorHAnsi"/>
        </w:rPr>
        <w:t xml:space="preserve">, such as </w:t>
      </w:r>
      <w:r>
        <w:rPr>
          <w:rFonts w:asciiTheme="majorHAnsi" w:hAnsiTheme="majorHAnsi" w:cstheme="majorHAnsi"/>
          <w:i/>
          <w:iCs/>
        </w:rPr>
        <w:t xml:space="preserve">pansexual </w:t>
      </w:r>
      <w:r>
        <w:rPr>
          <w:rFonts w:asciiTheme="majorHAnsi" w:hAnsiTheme="majorHAnsi" w:cstheme="majorHAnsi"/>
        </w:rPr>
        <w:t xml:space="preserve">and </w:t>
      </w:r>
      <w:r>
        <w:rPr>
          <w:rFonts w:asciiTheme="majorHAnsi" w:hAnsiTheme="majorHAnsi" w:cstheme="majorHAnsi"/>
          <w:i/>
          <w:iCs/>
        </w:rPr>
        <w:t>queer</w:t>
      </w:r>
      <w:r>
        <w:rPr>
          <w:rFonts w:asciiTheme="majorHAnsi" w:hAnsiTheme="majorHAnsi" w:cstheme="majorHAnsi"/>
        </w:rPr>
        <w:t>, while others used multiple terms or did not want to label their sexual orientation.</w:t>
      </w:r>
      <w:r>
        <w:rPr>
          <w:rStyle w:val="FootnoteReference"/>
          <w:rFonts w:asciiTheme="majorHAnsi" w:hAnsiTheme="majorHAnsi" w:cstheme="majorHAnsi"/>
        </w:rPr>
        <w:footnoteReference w:id="4"/>
      </w:r>
      <w:r>
        <w:rPr>
          <w:rFonts w:asciiTheme="majorHAnsi" w:hAnsiTheme="majorHAnsi" w:cstheme="majorHAnsi"/>
        </w:rPr>
        <w:t xml:space="preserve"> </w:t>
      </w:r>
    </w:p>
    <w:p w14:paraId="265EC08F" w14:textId="77777777" w:rsidR="00C92FC2" w:rsidRDefault="00C92FC2" w:rsidP="003803B1">
      <w:pPr>
        <w:spacing w:line="360" w:lineRule="auto"/>
        <w:ind w:firstLine="720"/>
        <w:rPr>
          <w:rFonts w:asciiTheme="majorHAnsi" w:hAnsiTheme="majorHAnsi" w:cstheme="majorHAnsi"/>
        </w:rPr>
      </w:pPr>
      <w:r>
        <w:rPr>
          <w:rFonts w:asciiTheme="majorHAnsi" w:hAnsiTheme="majorHAnsi" w:cstheme="majorHAnsi"/>
        </w:rPr>
        <w:t xml:space="preserve">We also adapted questions on bullying and harassment from the California Healthy Kids Survey (Austin et al., 2023) to examine students' experiences with identity-based victimization in high school. Specifically, we asked students to report the frequency with which they were bullied or harassed at school in the past 12 months, with response options ranging from zero </w:t>
      </w:r>
      <w:r>
        <w:rPr>
          <w:rFonts w:asciiTheme="majorHAnsi" w:hAnsiTheme="majorHAnsi" w:cstheme="majorHAnsi"/>
        </w:rPr>
        <w:lastRenderedPageBreak/>
        <w:t>times to four or more times. Students who reported being bullied at least once were then asked to identify the reasons for their victimization, including race or ethnicity, religion, gender identity, or sexual orientation.</w:t>
      </w:r>
    </w:p>
    <w:p w14:paraId="7439AE16" w14:textId="11528902"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 high school experiences and college expectations.</w:t>
      </w:r>
    </w:p>
    <w:p w14:paraId="3962C7BD" w14:textId="3A0CE6BF" w:rsidR="00654EC3" w:rsidRPr="006159A0" w:rsidRDefault="00602BF5" w:rsidP="00784751">
      <w:pPr>
        <w:pStyle w:val="Heading1"/>
        <w:spacing w:before="0" w:after="0" w:line="360" w:lineRule="auto"/>
        <w:rPr>
          <w:rFonts w:asciiTheme="majorHAnsi" w:hAnsiTheme="majorHAnsi" w:cstheme="majorHAnsi"/>
          <w:b/>
          <w:bCs/>
          <w:sz w:val="24"/>
          <w:szCs w:val="28"/>
        </w:rPr>
      </w:pPr>
      <w:bookmarkStart w:id="44" w:name="_scgysuqoik8m" w:colFirst="0" w:colLast="0"/>
      <w:bookmarkEnd w:id="44"/>
      <w:commentRangeStart w:id="45"/>
      <w:commentRangeStart w:id="46"/>
      <w:r>
        <w:rPr>
          <w:rFonts w:asciiTheme="majorHAnsi" w:hAnsiTheme="majorHAnsi" w:cstheme="majorHAnsi"/>
          <w:b/>
          <w:bCs/>
          <w:sz w:val="24"/>
          <w:szCs w:val="28"/>
        </w:rPr>
        <w:t xml:space="preserve">Data </w:t>
      </w:r>
      <w:commentRangeStart w:id="47"/>
      <w:commentRangeStart w:id="48"/>
      <w:r>
        <w:rPr>
          <w:rFonts w:asciiTheme="majorHAnsi" w:hAnsiTheme="majorHAnsi" w:cstheme="majorHAnsi"/>
          <w:b/>
          <w:bCs/>
          <w:sz w:val="24"/>
          <w:szCs w:val="28"/>
        </w:rPr>
        <w:t>Analysis</w:t>
      </w:r>
      <w:bookmarkStart w:id="49" w:name="_aa45wrhg3h9a" w:colFirst="0" w:colLast="0"/>
      <w:bookmarkEnd w:id="49"/>
      <w:commentRangeEnd w:id="45"/>
      <w:r w:rsidRPr="006159A0">
        <w:rPr>
          <w:rStyle w:val="CommentReference"/>
          <w:rFonts w:asciiTheme="majorHAnsi" w:hAnsiTheme="majorHAnsi" w:cstheme="majorHAnsi"/>
          <w:b/>
          <w:bCs/>
          <w:sz w:val="24"/>
          <w:szCs w:val="28"/>
        </w:rPr>
        <w:commentReference w:id="45"/>
      </w:r>
      <w:commentRangeEnd w:id="46"/>
      <w:r w:rsidRPr="006159A0">
        <w:rPr>
          <w:rStyle w:val="CommentReference"/>
          <w:rFonts w:asciiTheme="majorHAnsi" w:hAnsiTheme="majorHAnsi" w:cstheme="majorHAnsi"/>
          <w:b/>
          <w:bCs/>
          <w:sz w:val="24"/>
          <w:szCs w:val="28"/>
        </w:rPr>
        <w:commentReference w:id="46"/>
      </w:r>
      <w:commentRangeEnd w:id="47"/>
      <w:r w:rsidRPr="006159A0">
        <w:rPr>
          <w:rStyle w:val="CommentReference"/>
          <w:rFonts w:asciiTheme="majorHAnsi" w:hAnsiTheme="majorHAnsi" w:cstheme="majorHAnsi"/>
          <w:b/>
          <w:bCs/>
          <w:sz w:val="24"/>
          <w:szCs w:val="28"/>
        </w:rPr>
        <w:commentReference w:id="47"/>
      </w:r>
      <w:commentRangeEnd w:id="48"/>
      <w:r w:rsidRPr="006159A0">
        <w:rPr>
          <w:rStyle w:val="CommentReference"/>
          <w:rFonts w:asciiTheme="majorHAnsi" w:hAnsiTheme="majorHAnsi" w:cstheme="majorHAnsi"/>
          <w:b/>
          <w:bCs/>
          <w:sz w:val="24"/>
          <w:szCs w:val="28"/>
        </w:rPr>
        <w:commentReference w:id="48"/>
      </w:r>
    </w:p>
    <w:p w14:paraId="430CD9F1" w14:textId="32A1407F" w:rsidR="007C5D8A" w:rsidRPr="00D5066E" w:rsidRDefault="007C5D8A" w:rsidP="003803B1">
      <w:pPr>
        <w:spacing w:line="360" w:lineRule="auto"/>
        <w:ind w:firstLine="720"/>
        <w:rPr>
          <w:rFonts w:asciiTheme="majorHAnsi" w:hAnsiTheme="majorHAnsi" w:cstheme="majorHAnsi"/>
        </w:rPr>
      </w:pPr>
      <w:r>
        <w:rPr>
          <w:rFonts w:asciiTheme="majorHAnsi" w:hAnsiTheme="majorHAnsi" w:cstheme="majorHAnsi"/>
        </w:rPr>
        <w:t>We examine four main areas: high school experience; bullying and harassment; concerns about college; and postsecondary educational plans—including intended field of study, enrollment intentions, and degree aspiration.</w:t>
      </w:r>
    </w:p>
    <w:p w14:paraId="2763A334" w14:textId="18DC26A2" w:rsidR="00682C86" w:rsidRPr="006159A0" w:rsidRDefault="00311ECC" w:rsidP="00342026">
      <w:pPr>
        <w:spacing w:line="360" w:lineRule="auto"/>
        <w:ind w:firstLine="720"/>
        <w:rPr>
          <w:rFonts w:asciiTheme="majorHAnsi" w:hAnsiTheme="majorHAnsi" w:cstheme="majorHAnsi"/>
          <w:iCs/>
        </w:rPr>
      </w:pPr>
      <w:r>
        <w:rPr>
          <w:rFonts w:asciiTheme="majorHAnsi" w:hAnsiTheme="majorHAnsi" w:cstheme="majorHAnsi"/>
        </w:rPr>
        <w:t xml:space="preserve">To measure high school experience, we construct an additive index </w:t>
      </w:r>
      <w:r>
        <w:rPr>
          <w:rFonts w:asciiTheme="majorHAnsi" w:hAnsiTheme="majorHAnsi" w:cstheme="majorHAnsi"/>
          <w:iCs/>
        </w:rPr>
        <w:t xml:space="preserve">(equally weighted) </w:t>
      </w:r>
      <w:r>
        <w:rPr>
          <w:rFonts w:asciiTheme="majorHAnsi" w:hAnsiTheme="majorHAnsi" w:cstheme="majorHAnsi"/>
        </w:rPr>
        <w:t>from six survey items: students’ ratings of their high school academic performance, social experience, sense of belonging in their school community, whether teachers and staff cared about their future, the quality of college advising, and feelings of preparedness for college.</w:t>
      </w:r>
      <w:r>
        <w:rPr>
          <w:rStyle w:val="FootnoteReference"/>
          <w:rFonts w:asciiTheme="majorHAnsi" w:hAnsiTheme="majorHAnsi" w:cstheme="majorHAnsi"/>
        </w:rPr>
        <w:footnoteReference w:id="5"/>
      </w:r>
      <w:r>
        <w:rPr>
          <w:rFonts w:asciiTheme="majorHAnsi" w:hAnsiTheme="majorHAnsi" w:cstheme="majorHAnsi"/>
        </w:rPr>
        <w:t xml:space="preserve"> </w:t>
      </w:r>
      <w:r>
        <w:rPr>
          <w:rFonts w:asciiTheme="majorHAnsi" w:hAnsiTheme="majorHAnsi" w:cstheme="majorHAnsi"/>
          <w:iCs/>
        </w:rPr>
        <w:t>All items range from -2 to 2, with -2 indicating a very negative experience, 2 indicating a very positive experience, and 0 indicating a neutral experience. We construct the additive index using these items given their internal consistency (Cronbach’s alpha = 0.74). The index for high school experiences ranges from -12 to 12, with higher values indicating more positive high school experiences. To explore differences in high school experience by gender and sexual orientation, we regress the high school experience index on gender identity/sexual orientation, first in an unconditional model and then adding controls for race/ethnicity and parental education.</w:t>
      </w:r>
      <w:r>
        <w:rPr>
          <w:rStyle w:val="FootnoteReference"/>
          <w:rFonts w:asciiTheme="majorHAnsi" w:hAnsiTheme="majorHAnsi" w:cstheme="majorHAnsi"/>
          <w:iCs/>
        </w:rPr>
        <w:footnoteReference w:id="6"/>
      </w:r>
    </w:p>
    <w:p w14:paraId="4EC7B020" w14:textId="6265CFE8" w:rsidR="003B34CD" w:rsidRPr="006159A0" w:rsidRDefault="003B34CD" w:rsidP="003B34CD">
      <w:pPr>
        <w:spacing w:line="360" w:lineRule="auto"/>
        <w:ind w:firstLine="720"/>
        <w:rPr>
          <w:rFonts w:asciiTheme="majorHAnsi" w:hAnsiTheme="majorHAnsi" w:cstheme="majorHAnsi"/>
        </w:rPr>
      </w:pPr>
      <w:r>
        <w:rPr>
          <w:rFonts w:asciiTheme="majorHAnsi" w:hAnsiTheme="majorHAnsi" w:cstheme="majorHAnsi"/>
        </w:rPr>
        <w:t xml:space="preserve">We also descriptively examine rates of experiencing bullying and harassment in high school, disaggregated by gender identity and sexual orientation. For students who reported </w:t>
      </w:r>
      <w:r>
        <w:rPr>
          <w:rFonts w:asciiTheme="majorHAnsi" w:hAnsiTheme="majorHAnsi" w:cstheme="majorHAnsi"/>
        </w:rPr>
        <w:lastRenderedPageBreak/>
        <w:t>being bullied at least once, we further examine whether they attributed the bullying to their gender identity or sexual orientation.</w:t>
      </w:r>
    </w:p>
    <w:p w14:paraId="65CA4FF3" w14:textId="3A993258" w:rsidR="00A671BA" w:rsidRPr="006159A0" w:rsidRDefault="00E72B2A" w:rsidP="003803B1">
      <w:pPr>
        <w:spacing w:line="360" w:lineRule="auto"/>
        <w:ind w:firstLine="720"/>
        <w:rPr>
          <w:rFonts w:asciiTheme="majorHAnsi" w:hAnsiTheme="majorHAnsi" w:cstheme="majorHAnsi"/>
        </w:rPr>
      </w:pPr>
      <w:r>
        <w:rPr>
          <w:rFonts w:asciiTheme="majorHAnsi" w:hAnsiTheme="majorHAnsi" w:cstheme="majorHAnsi"/>
        </w:rPr>
        <w:t>To examine college concerns, we analyze the battery of 12 survey items in which students were asked to rate how worried they were about their upcoming college experience on a four-point Likert scale (0 = "Not at all worried", 1 = “Slightly worried”, 2 = “Somewhat worried”, and 3 = "Very worried"). Eight items captured general concerns: affording tuition, living expenses, performing well academically, balancing work obligations, balancing family obligations, finding community, living away from home, and having adequate support for emotional and mental health needs. Four items captured concerns about discrimination: discrimination based on race, gender identity, sexual orientation, and religion (see Appendix C and D for disaggregation of each item by gender identity and sexual orientation, respectively).</w:t>
      </w:r>
    </w:p>
    <w:p w14:paraId="71772609" w14:textId="1FCA023F" w:rsidR="00103CDD" w:rsidRPr="006159A0" w:rsidRDefault="00A62CE9" w:rsidP="004D5A62">
      <w:pPr>
        <w:spacing w:line="360" w:lineRule="auto"/>
        <w:ind w:firstLine="720"/>
        <w:rPr>
          <w:rFonts w:asciiTheme="majorHAnsi" w:hAnsiTheme="majorHAnsi" w:cstheme="majorHAnsi"/>
        </w:rPr>
      </w:pPr>
      <w:r>
        <w:rPr>
          <w:rFonts w:asciiTheme="majorHAnsi" w:hAnsiTheme="majorHAnsi" w:cstheme="majorHAnsi"/>
        </w:rPr>
        <w:t>We assessed the internal consistency of the 12 items using Cronbach’s alpha (0.80) and then performed principal component analysis (PCA</w:t>
      </w:r>
      <w:commentRangeStart w:id="50"/>
      <w:r>
        <w:rPr>
          <w:rFonts w:asciiTheme="majorHAnsi" w:hAnsiTheme="majorHAnsi" w:cstheme="majorHAnsi"/>
        </w:rPr>
        <w:t>)</w:t>
      </w:r>
      <w:r>
        <w:rPr>
          <w:rFonts w:asciiTheme="majorHAnsi" w:hAnsiTheme="majorHAnsi" w:cstheme="majorHAnsi"/>
          <w:vertAlign w:val="superscript"/>
        </w:rPr>
        <w:footnoteReference w:id="7"/>
      </w:r>
      <w:commentRangeEnd w:id="50"/>
      <w:r>
        <w:rPr>
          <w:rStyle w:val="CommentReference"/>
          <w:rFonts w:asciiTheme="majorHAnsi" w:hAnsiTheme="majorHAnsi" w:cstheme="majorHAnsi"/>
          <w:sz w:val="24"/>
          <w:szCs w:val="24"/>
        </w:rPr>
        <w:commentReference w:id="50"/>
      </w:r>
      <w:r>
        <w:rPr>
          <w:rFonts w:asciiTheme="majorHAnsi" w:hAnsiTheme="majorHAnsi" w:cstheme="majorHAnsi"/>
        </w:rPr>
        <w:t xml:space="preserve"> to identify underlying dimensions of college worry. We retained components with eigenvalues greater than 1.0, which identified three principal components. We then constructed a composite worry index for each retained component for every student as a weighted sum of the student’s responses to the 12 worry items, with weights given by the eigenvector of the corresponding component. The first component, which we label as </w:t>
      </w:r>
      <w:r>
        <w:rPr>
          <w:rFonts w:asciiTheme="majorHAnsi" w:hAnsiTheme="majorHAnsi" w:cstheme="majorHAnsi"/>
          <w:i/>
          <w:iCs/>
        </w:rPr>
        <w:t>general worries</w:t>
      </w:r>
      <w:r>
        <w:rPr>
          <w:rFonts w:asciiTheme="majorHAnsi" w:hAnsiTheme="majorHAnsi" w:cstheme="majorHAnsi"/>
        </w:rPr>
        <w:t xml:space="preserve">, loads broadly across most items and captures overall anxiety about the college transition. The second component, </w:t>
      </w:r>
      <w:r>
        <w:rPr>
          <w:rFonts w:asciiTheme="majorHAnsi" w:hAnsiTheme="majorHAnsi" w:cstheme="majorHAnsi"/>
          <w:i/>
          <w:iCs/>
        </w:rPr>
        <w:t>worries about discrimination</w:t>
      </w:r>
      <w:r>
        <w:rPr>
          <w:rFonts w:asciiTheme="majorHAnsi" w:hAnsiTheme="majorHAnsi" w:cstheme="majorHAnsi"/>
        </w:rPr>
        <w:t xml:space="preserve">, loads most heavily on the four discrimination items. The third component, </w:t>
      </w:r>
      <w:r>
        <w:rPr>
          <w:rFonts w:asciiTheme="majorHAnsi" w:hAnsiTheme="majorHAnsi" w:cstheme="majorHAnsi"/>
          <w:i/>
          <w:iCs/>
        </w:rPr>
        <w:t>worries about financial burdens</w:t>
      </w:r>
      <w:r>
        <w:rPr>
          <w:rFonts w:asciiTheme="majorHAnsi" w:hAnsiTheme="majorHAnsi" w:cstheme="majorHAnsi"/>
        </w:rPr>
        <w:t xml:space="preserve">, loads primarily on the tuition and living expense items. Each index is a continuous measure, with higher values indicating greater concern along that dimension. </w:t>
      </w:r>
    </w:p>
    <w:p w14:paraId="7439AE19" w14:textId="55DA9C7B" w:rsidR="00BD041A" w:rsidRPr="006159A0" w:rsidRDefault="00602BF5" w:rsidP="004D5A62">
      <w:pPr>
        <w:spacing w:line="360" w:lineRule="auto"/>
        <w:ind w:firstLine="720"/>
        <w:rPr>
          <w:rFonts w:asciiTheme="majorHAnsi" w:hAnsiTheme="majorHAnsi" w:cstheme="majorHAnsi"/>
        </w:rPr>
      </w:pPr>
      <w:r>
        <w:rPr>
          <w:rFonts w:asciiTheme="majorHAnsi" w:hAnsiTheme="majorHAnsi" w:cstheme="majorHAnsi"/>
        </w:rPr>
        <w:t xml:space="preserve">We then use regression analysis to explore potential differences in the level of each type of worry by gender identity and sexual orientation. </w:t>
      </w:r>
      <w:commentRangeStart w:id="51"/>
      <w:r>
        <w:rPr>
          <w:rFonts w:asciiTheme="majorHAnsi" w:hAnsiTheme="majorHAnsi" w:cstheme="majorHAnsi"/>
        </w:rPr>
        <w:t xml:space="preserve">We estimate three different specifications in our analysis: (1) an unconditional model with gender identity/sexual orientation alone; (2) a </w:t>
      </w:r>
      <w:r>
        <w:rPr>
          <w:rFonts w:asciiTheme="majorHAnsi" w:hAnsiTheme="majorHAnsi" w:cstheme="majorHAnsi"/>
        </w:rPr>
        <w:lastRenderedPageBreak/>
        <w:t xml:space="preserve">model controlling for student demographics (i.e., the full set of race/ethnicity and highest parental education </w:t>
      </w:r>
      <w:commentRangeStart w:id="52"/>
      <w:r>
        <w:rPr>
          <w:rFonts w:asciiTheme="majorHAnsi" w:hAnsiTheme="majorHAnsi" w:cstheme="majorHAnsi"/>
        </w:rPr>
        <w:t>indicators</w:t>
      </w:r>
      <w:commentRangeEnd w:id="52"/>
      <w:r>
        <w:rPr>
          <w:rStyle w:val="CommentReference"/>
          <w:rFonts w:asciiTheme="majorHAnsi" w:hAnsiTheme="majorHAnsi" w:cstheme="majorHAnsi"/>
          <w:sz w:val="24"/>
          <w:szCs w:val="24"/>
        </w:rPr>
        <w:commentReference w:id="52"/>
      </w:r>
      <w:r>
        <w:rPr>
          <w:rFonts w:asciiTheme="majorHAnsi" w:hAnsiTheme="majorHAnsi" w:cstheme="majorHAnsi"/>
        </w:rPr>
        <w:t xml:space="preserve">); and (3) a model that controls for student demographics and high school experience index. Coefficient estimates from models (2) and (3) are very similar, therefore we report only models (1) and (3). For robustness, we also additionally estimate a model that controls for demographics, high school experience index, and sex assigned at birth for differences by sexual orientation. Results for this additional model are reported in Appendix G.  </w:t>
      </w:r>
      <w:commentRangeEnd w:id="51"/>
      <w:r w:rsidRPr="006159A0">
        <w:rPr>
          <w:rStyle w:val="CommentReference"/>
          <w:rFonts w:asciiTheme="majorHAnsi" w:hAnsiTheme="majorHAnsi" w:cstheme="majorHAnsi"/>
          <w:sz w:val="24"/>
          <w:szCs w:val="24"/>
        </w:rPr>
        <w:commentReference w:id="51"/>
      </w:r>
    </w:p>
    <w:p w14:paraId="0AFF2787" w14:textId="77777777" w:rsidR="00D05A55" w:rsidRDefault="00BE6A6B" w:rsidP="00953074">
      <w:pPr>
        <w:spacing w:line="360" w:lineRule="auto"/>
        <w:ind w:firstLine="720"/>
        <w:rPr>
          <w:rFonts w:asciiTheme="majorHAnsi" w:hAnsiTheme="majorHAnsi" w:cstheme="majorHAnsi"/>
        </w:rPr>
      </w:pPr>
      <w:r>
        <w:rPr>
          <w:rFonts w:asciiTheme="majorHAnsi" w:hAnsiTheme="majorHAnsi" w:cstheme="majorHAnsi"/>
        </w:rPr>
        <w:t>We examine postsecondary educational plans along three dimensions. First, we tabulate intended field of study by gender identity (Table 5). Second, we estimate logit models for intent to attend a four-year (versus two-year) college. Third, we estimate ordered logit models for highest degree aspirations, where the outcome is an ordinal measure with five categories: vocational/technical certificate, associate degree, bachelor’s degree, master’s degree, and doctoral degree. The logit and ordered logit models are estimated separately by gender identity and sexual orientation. In each case, we estimate an unconditional model and a model with controls for race/ethnicity and parent education. For sexual orientation models, we additionally estimate a specification that controls for assigned sex at birth. Cisgender men and straight/heterosexual students serve as the reference categories. We report odds ratios with 95% confidence intervals and present predicted probabilities from the ordered logit models as a stacked bar chart, evaluated at sample means.</w:t>
      </w:r>
    </w:p>
    <w:p w14:paraId="7439AE1C" w14:textId="347BC346" w:rsidR="00BD041A" w:rsidRPr="006159A0" w:rsidRDefault="00BE6A6B" w:rsidP="00953074">
      <w:pPr>
        <w:spacing w:line="360" w:lineRule="auto"/>
        <w:ind w:firstLine="720"/>
        <w:rPr>
          <w:rFonts w:asciiTheme="majorHAnsi" w:hAnsiTheme="majorHAnsi" w:cstheme="majorHAnsi"/>
        </w:rPr>
      </w:pPr>
      <w:r>
        <w:rPr>
          <w:rFonts w:asciiTheme="majorHAnsi" w:hAnsiTheme="majorHAnsi" w:cstheme="majorHAnsi"/>
        </w:rPr>
        <w:t xml:space="preserve"> </w:t>
      </w:r>
      <w:bookmarkStart w:id="53" w:name="_q9mjyjyr4vts" w:colFirst="0" w:colLast="0"/>
      <w:bookmarkEnd w:id="53"/>
    </w:p>
    <w:p w14:paraId="6453B361" w14:textId="77777777" w:rsidR="00784751" w:rsidRPr="006159A0" w:rsidRDefault="00602BF5" w:rsidP="00784751">
      <w:pPr>
        <w:pStyle w:val="Heading1"/>
        <w:spacing w:before="0" w:after="0" w:line="360" w:lineRule="auto"/>
        <w:rPr>
          <w:rFonts w:asciiTheme="majorHAnsi" w:hAnsiTheme="majorHAnsi" w:cstheme="majorHAnsi"/>
          <w:b/>
          <w:bCs/>
          <w:sz w:val="24"/>
          <w:szCs w:val="24"/>
        </w:rPr>
      </w:pPr>
      <w:bookmarkStart w:id="54" w:name="_pnxq2vtsfjef" w:colFirst="0" w:colLast="0"/>
      <w:bookmarkEnd w:id="54"/>
      <w:commentRangeStart w:id="55"/>
      <w:r>
        <w:rPr>
          <w:rFonts w:asciiTheme="majorHAnsi" w:hAnsiTheme="majorHAnsi" w:cstheme="majorHAnsi"/>
          <w:b/>
          <w:bCs/>
          <w:sz w:val="24"/>
          <w:szCs w:val="24"/>
        </w:rPr>
        <w:t>Findings</w:t>
      </w:r>
      <w:bookmarkStart w:id="56" w:name="_ot3pv1sdux7u" w:colFirst="0" w:colLast="0"/>
      <w:bookmarkEnd w:id="56"/>
      <w:commentRangeEnd w:id="55"/>
      <w:r w:rsidRPr="006159A0">
        <w:rPr>
          <w:rStyle w:val="CommentReference"/>
          <w:rFonts w:asciiTheme="majorHAnsi" w:hAnsiTheme="majorHAnsi" w:cstheme="majorHAnsi"/>
          <w:b/>
          <w:bCs/>
          <w:sz w:val="24"/>
          <w:szCs w:val="24"/>
        </w:rPr>
        <w:commentReference w:id="55"/>
      </w:r>
    </w:p>
    <w:p w14:paraId="5DC6305C" w14:textId="425397D0" w:rsidR="003202AF" w:rsidRPr="00B621E1" w:rsidRDefault="00602BF5" w:rsidP="001B2966">
      <w:pPr>
        <w:spacing w:line="360" w:lineRule="auto"/>
        <w:rPr>
          <w:rFonts w:asciiTheme="majorHAnsi" w:hAnsiTheme="majorHAnsi" w:cstheme="majorHAnsi"/>
        </w:rPr>
      </w:pPr>
      <w:bookmarkStart w:id="57" w:name="_q8blxzy9nm45" w:colFirst="0" w:colLast="0"/>
      <w:bookmarkEnd w:id="57"/>
      <w:r>
        <w:rPr>
          <w:rFonts w:asciiTheme="majorHAnsi" w:hAnsiTheme="majorHAnsi" w:cstheme="majorHAnsi"/>
          <w:b/>
          <w:bCs/>
        </w:rPr>
        <w:t xml:space="preserve">High School Experiences </w:t>
      </w:r>
    </w:p>
    <w:p w14:paraId="7439B006" w14:textId="2DD394A4"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Students were first asked about their academic and social experiences in high school. We included a total of six Likert-scale survey questions on high school experiences, with each item ranging from -2 (very negative) to 2 (very positive), with 0 indicating a neutral experience (see Appendix B for high school experience survey items and summary statistics). We constructed an additive index by summing these six items, yielding a scale ranging from -12 to 12, where positive values denote an overall positive experience, negative values indicate an overall negative experience, and zero suggests a neutral experience. For summary statistics of </w:t>
      </w:r>
      <w:r>
        <w:rPr>
          <w:rFonts w:asciiTheme="majorHAnsi" w:hAnsiTheme="majorHAnsi" w:cstheme="majorHAnsi"/>
        </w:rPr>
        <w:lastRenderedPageBreak/>
        <w:t>survey items over the entire sample, see Appendix B. For summary statistics of survey items disaggregated by gender identity and sexual orientation, see Appendix C.</w:t>
      </w:r>
    </w:p>
    <w:p w14:paraId="3474721A" w14:textId="483C2795" w:rsidR="003F106B" w:rsidRPr="00B621E1" w:rsidRDefault="003D5B76" w:rsidP="00D5066E">
      <w:pPr>
        <w:spacing w:line="360" w:lineRule="auto"/>
        <w:ind w:firstLine="720"/>
        <w:rPr>
          <w:rFonts w:asciiTheme="majorHAnsi" w:hAnsiTheme="majorHAnsi" w:cstheme="majorHAnsi"/>
          <w:b/>
          <w:bCs/>
        </w:rPr>
      </w:pPr>
      <w:r>
        <w:rPr>
          <w:rFonts w:asciiTheme="majorHAnsi" w:hAnsiTheme="majorHAnsi" w:cstheme="majorHAnsi"/>
        </w:rPr>
        <w:t>We first compare average high school experiences by gender identity (Table 2). Cisgender men report the most positive high school experiences (mean = 4.27), followed by cisgender women (mean = 3.79). Trans and gender expansive students report substantially less positive experiences, with gender diverse/questioning students reporting the lowest scores (mean = 1.11). We plot these differences as regression coefficients in Figure 1 and find them statistically significant and robust to the inclusion of demographic controls. While not causal, these results indicate that there is an association between gender identity and students’ experiences in high school, which we consider in later analyses.</w:t>
      </w:r>
    </w:p>
    <w:p w14:paraId="7DCBA1C7" w14:textId="152480F8"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t>Table 2</w:t>
      </w:r>
    </w:p>
    <w:p w14:paraId="080A4502" w14:textId="3ABF7D5F" w:rsidR="003F106B" w:rsidRPr="00B621E1" w:rsidRDefault="004B7BF1" w:rsidP="003F106B">
      <w:pPr>
        <w:spacing w:line="360" w:lineRule="auto"/>
        <w:rPr>
          <w:rFonts w:asciiTheme="majorHAnsi" w:hAnsiTheme="majorHAnsi" w:cstheme="majorHAnsi"/>
          <w:i/>
          <w:iCs/>
        </w:rPr>
      </w:pPr>
      <w:r>
        <w:rPr>
          <w:rFonts w:asciiTheme="majorHAnsi" w:hAnsiTheme="majorHAnsi" w:cstheme="majorHAnsi"/>
          <w:i/>
          <w:iCs/>
        </w:rPr>
        <w:t>Summary Statistics of High School Experience Index by Gender Identity</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2C02EC86"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4.3</w:t>
            </w:r>
          </w:p>
        </w:tc>
      </w:tr>
      <w:tr w:rsidR="003F106B" w:rsidRPr="00B621E1" w14:paraId="60F75E3E" w14:textId="77777777" w:rsidTr="00806A88">
        <w:trPr>
          <w:trHeight w:val="270"/>
        </w:trPr>
        <w:tc>
          <w:tcPr>
            <w:tcW w:w="1726" w:type="pct"/>
            <w:tcMar>
              <w:top w:w="0" w:type="dxa"/>
              <w:left w:w="100" w:type="dxa"/>
              <w:bottom w:w="0" w:type="dxa"/>
              <w:right w:w="100" w:type="dxa"/>
            </w:tcMar>
            <w:vAlign w:val="center"/>
          </w:tcPr>
          <w:p w14:paraId="0738A0EF"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r w:rsidR="003F106B" w:rsidRPr="00B621E1" w14:paraId="75DEBF28" w14:textId="77777777" w:rsidTr="00806A88">
        <w:trPr>
          <w:trHeight w:val="270"/>
        </w:trPr>
        <w:tc>
          <w:tcPr>
            <w:tcW w:w="1726" w:type="pct"/>
            <w:tcMar>
              <w:top w:w="0" w:type="dxa"/>
              <w:left w:w="100" w:type="dxa"/>
              <w:bottom w:w="0" w:type="dxa"/>
              <w:right w:w="100" w:type="dxa"/>
            </w:tcMar>
            <w:vAlign w:val="center"/>
          </w:tcPr>
          <w:p w14:paraId="0CE759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2.4</w:t>
            </w:r>
          </w:p>
        </w:tc>
      </w:tr>
      <w:tr w:rsidR="003F106B" w:rsidRPr="00B621E1" w14:paraId="42A5A8B9" w14:textId="77777777" w:rsidTr="00806A88">
        <w:trPr>
          <w:trHeight w:val="270"/>
        </w:trPr>
        <w:tc>
          <w:tcPr>
            <w:tcW w:w="1726" w:type="pct"/>
            <w:tcMar>
              <w:top w:w="0" w:type="dxa"/>
              <w:left w:w="100" w:type="dxa"/>
              <w:bottom w:w="0" w:type="dxa"/>
              <w:right w:w="100" w:type="dxa"/>
            </w:tcMar>
            <w:vAlign w:val="center"/>
          </w:tcPr>
          <w:p w14:paraId="7D5853F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w:t>
            </w:r>
          </w:p>
        </w:tc>
      </w:tr>
      <w:tr w:rsidR="003F106B" w:rsidRPr="00B621E1" w14:paraId="328FEF1D" w14:textId="77777777" w:rsidTr="00806A88">
        <w:trPr>
          <w:trHeight w:val="270"/>
        </w:trPr>
        <w:tc>
          <w:tcPr>
            <w:tcW w:w="1726" w:type="pct"/>
            <w:tcMar>
              <w:top w:w="0" w:type="dxa"/>
              <w:left w:w="100" w:type="dxa"/>
              <w:bottom w:w="0" w:type="dxa"/>
              <w:right w:w="100" w:type="dxa"/>
            </w:tcMar>
            <w:vAlign w:val="center"/>
          </w:tcPr>
          <w:p w14:paraId="6846AB6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2.3</w:t>
            </w:r>
          </w:p>
        </w:tc>
      </w:tr>
      <w:tr w:rsidR="003F106B" w:rsidRPr="00B621E1" w14:paraId="158DB200" w14:textId="77777777" w:rsidTr="00806A88">
        <w:trPr>
          <w:trHeight w:val="270"/>
        </w:trPr>
        <w:tc>
          <w:tcPr>
            <w:tcW w:w="1726" w:type="pct"/>
            <w:tcMar>
              <w:top w:w="0" w:type="dxa"/>
              <w:left w:w="100" w:type="dxa"/>
              <w:bottom w:w="0" w:type="dxa"/>
              <w:right w:w="100" w:type="dxa"/>
            </w:tcMar>
            <w:vAlign w:val="center"/>
          </w:tcPr>
          <w:p w14:paraId="56D4FDC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1.1</w:t>
            </w:r>
          </w:p>
        </w:tc>
      </w:tr>
      <w:tr w:rsidR="003F106B" w:rsidRPr="00B621E1" w14:paraId="28E5E4EB"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2.2</w:t>
            </w:r>
          </w:p>
        </w:tc>
      </w:tr>
      <w:tr w:rsidR="003F106B" w:rsidRPr="00B621E1" w14:paraId="2D10A817" w14:textId="77777777" w:rsidTr="00806A88">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bl>
    <w:p w14:paraId="5EB1F2DF" w14:textId="41B455F4" w:rsidR="003F106B" w:rsidRPr="00D5066E" w:rsidRDefault="003F106B" w:rsidP="00D5066E">
      <w:pPr>
        <w:spacing w:after="160"/>
        <w:rPr>
          <w:rFonts w:asciiTheme="majorHAnsi" w:hAnsiTheme="majorHAnsi" w:cstheme="majorHAnsi"/>
          <w:b/>
          <w:bCs/>
        </w:rPr>
      </w:pPr>
      <w:r>
        <w:rPr>
          <w:rFonts w:asciiTheme="majorHAnsi" w:hAnsiTheme="majorHAnsi" w:cstheme="majorHAnsi"/>
          <w:i/>
          <w:iCs/>
          <w:sz w:val="20"/>
          <w:szCs w:val="20"/>
        </w:rPr>
        <w:t>Note.</w:t>
      </w:r>
      <w:commentRangeStart w:id="58"/>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8"/>
      <w:r w:rsidRPr="00D5066E">
        <w:rPr>
          <w:rStyle w:val="CommentReference"/>
          <w:rFonts w:asciiTheme="majorHAnsi" w:hAnsiTheme="majorHAnsi" w:cstheme="majorHAnsi"/>
          <w:b/>
          <w:bCs/>
          <w:sz w:val="24"/>
          <w:szCs w:val="24"/>
        </w:rPr>
        <w:commentReference w:id="58"/>
      </w:r>
    </w:p>
    <w:p w14:paraId="6BBF4C5F" w14:textId="77777777" w:rsidR="003F106B" w:rsidRPr="00B621E1" w:rsidRDefault="003F106B" w:rsidP="003F106B">
      <w:pPr>
        <w:spacing w:line="360" w:lineRule="auto"/>
        <w:rPr>
          <w:rFonts w:asciiTheme="majorHAnsi" w:hAnsiTheme="majorHAnsi" w:cstheme="majorHAnsi"/>
          <w:b/>
          <w:bCs/>
        </w:rPr>
      </w:pPr>
    </w:p>
    <w:p w14:paraId="24FEB878" w14:textId="77777777" w:rsidR="00906CF7" w:rsidRDefault="00906CF7">
      <w:pPr>
        <w:rPr>
          <w:rFonts w:asciiTheme="majorHAnsi" w:hAnsiTheme="majorHAnsi" w:cstheme="majorHAnsi"/>
          <w:b/>
          <w:bCs/>
        </w:rPr>
      </w:pPr>
      <w:r>
        <w:rPr>
          <w:rFonts w:asciiTheme="majorHAnsi" w:hAnsiTheme="majorHAnsi" w:cstheme="majorHAnsi"/>
          <w:b/>
          <w:bCs/>
        </w:rPr>
        <w:br w:type="page"/>
      </w:r>
    </w:p>
    <w:p w14:paraId="24E1BFEA" w14:textId="670AD0F2"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Figure 1</w:t>
      </w:r>
    </w:p>
    <w:p w14:paraId="038C40F7" w14:textId="77777777"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noProof/>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  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  AI-generated content may be incorrect."/>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i/>
          <w:iCs/>
        </w:rPr>
        <w:t>Regression of High School Experience Index on Gender Identity</w:t>
      </w:r>
    </w:p>
    <w:p w14:paraId="36A4E5C0" w14:textId="77777777" w:rsidR="003F106B" w:rsidRPr="00B621E1" w:rsidRDefault="003F106B" w:rsidP="003F106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15C11BE5" w14:textId="77777777" w:rsidR="003F106B" w:rsidRPr="00B621E1" w:rsidRDefault="003F106B" w:rsidP="003D5B76">
      <w:pPr>
        <w:spacing w:line="360" w:lineRule="auto"/>
        <w:ind w:firstLine="720"/>
        <w:rPr>
          <w:rFonts w:asciiTheme="majorHAnsi" w:hAnsiTheme="majorHAnsi" w:cstheme="majorHAnsi"/>
        </w:rPr>
      </w:pPr>
    </w:p>
    <w:p w14:paraId="437B8B1E" w14:textId="1C325F20" w:rsidR="003D5B76" w:rsidRPr="00B621E1" w:rsidRDefault="003D5B76" w:rsidP="003F106B">
      <w:pPr>
        <w:spacing w:line="360" w:lineRule="auto"/>
        <w:ind w:firstLine="720"/>
        <w:rPr>
          <w:rFonts w:asciiTheme="majorHAnsi" w:hAnsiTheme="majorHAnsi" w:cstheme="majorHAnsi"/>
        </w:rPr>
      </w:pPr>
      <w:r>
        <w:rPr>
          <w:rFonts w:asciiTheme="majorHAnsi" w:hAnsiTheme="majorHAnsi" w:cstheme="majorHAnsi"/>
        </w:rPr>
        <w:t>We observe a similar pattern by sexual orientation (see Table 3). Relative to straight/heterosexual students (mean = 4.13), all other sexual orientation groups report significantly lower high school experience scores. Students who prefer not to disclose their sexual orientation (mean = 2.91) and bisexual/pansexual/omnisexual students (mean = 3.12) report the largest gaps, while asexual/aromantic/demisexual students (mean = 3.68) and gay or lesbian students (mean = 3.55) report somewhat smaller but still significant differences. These differences are attenuated but remain statistically significant after controlling for race/ethnicity and parental education, as well as assigned sex at birth (results presented in Figure 2). While not causal, these results indicate that there is an association between both gender identity and sexual orientation and students' experiences in high school, which we consider in later analyses.</w:t>
      </w:r>
    </w:p>
    <w:p w14:paraId="60941504" w14:textId="60D87B03" w:rsidR="003F106B" w:rsidRPr="001A3945"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Table 3</w:t>
      </w:r>
    </w:p>
    <w:p w14:paraId="2BF716EB" w14:textId="77777777" w:rsidR="003F106B" w:rsidRPr="00B621E1" w:rsidRDefault="003F106B" w:rsidP="003F106B">
      <w:pPr>
        <w:spacing w:line="360" w:lineRule="auto"/>
        <w:rPr>
          <w:rFonts w:asciiTheme="majorHAnsi" w:hAnsiTheme="majorHAnsi" w:cstheme="majorHAnsi"/>
          <w:i/>
          <w:iCs/>
        </w:rPr>
      </w:pPr>
      <w:r>
        <w:rPr>
          <w:rFonts w:asciiTheme="majorHAnsi" w:hAnsiTheme="majorHAnsi" w:cstheme="majorHAnsi"/>
          <w:i/>
          <w:iCs/>
        </w:rPr>
        <w:t>General High School Experience by Sexual Orientation</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166F208E" w:rsidR="003F106B" w:rsidRPr="00B621E1" w:rsidRDefault="00953074"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0F416217"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3FF8D81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Straight/Heterosexual</w:t>
            </w:r>
          </w:p>
        </w:tc>
        <w:tc>
          <w:tcPr>
            <w:tcW w:w="963" w:type="pct"/>
            <w:tcBorders>
              <w:top w:val="single" w:sz="4" w:space="0" w:color="000000"/>
            </w:tcBorders>
            <w:tcMar>
              <w:top w:w="20" w:type="dxa"/>
              <w:left w:w="20" w:type="dxa"/>
              <w:bottom w:w="20" w:type="dxa"/>
              <w:right w:w="20" w:type="dxa"/>
            </w:tcMar>
            <w:vAlign w:val="center"/>
          </w:tcPr>
          <w:p w14:paraId="488782BD" w14:textId="0E70673B"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5,159</w:t>
            </w:r>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4.1</w:t>
            </w:r>
          </w:p>
        </w:tc>
      </w:tr>
      <w:tr w:rsidR="003F106B" w:rsidRPr="00B621E1" w14:paraId="297F99EA" w14:textId="77777777" w:rsidTr="00806A88">
        <w:trPr>
          <w:trHeight w:val="270"/>
        </w:trPr>
        <w:tc>
          <w:tcPr>
            <w:tcW w:w="1726" w:type="pct"/>
            <w:tcMar>
              <w:top w:w="0" w:type="dxa"/>
              <w:left w:w="100" w:type="dxa"/>
              <w:bottom w:w="0" w:type="dxa"/>
              <w:right w:w="100" w:type="dxa"/>
            </w:tcMar>
            <w:vAlign w:val="center"/>
          </w:tcPr>
          <w:p w14:paraId="5A5CD43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Gay or Lesbian</w:t>
            </w:r>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329</w:t>
            </w:r>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3.6</w:t>
            </w:r>
          </w:p>
        </w:tc>
      </w:tr>
      <w:tr w:rsidR="003F106B" w:rsidRPr="00B621E1" w14:paraId="2AE65FF7" w14:textId="77777777" w:rsidTr="00806A88">
        <w:trPr>
          <w:trHeight w:val="270"/>
        </w:trPr>
        <w:tc>
          <w:tcPr>
            <w:tcW w:w="1726" w:type="pct"/>
            <w:tcMar>
              <w:top w:w="0" w:type="dxa"/>
              <w:left w:w="100" w:type="dxa"/>
              <w:bottom w:w="0" w:type="dxa"/>
              <w:right w:w="100" w:type="dxa"/>
            </w:tcMar>
            <w:vAlign w:val="center"/>
          </w:tcPr>
          <w:p w14:paraId="1F4072F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Bisexual/Pansexual/Omnisexual</w:t>
            </w:r>
          </w:p>
        </w:tc>
        <w:tc>
          <w:tcPr>
            <w:tcW w:w="963" w:type="pct"/>
            <w:tcMar>
              <w:top w:w="20" w:type="dxa"/>
              <w:left w:w="20" w:type="dxa"/>
              <w:bottom w:w="20" w:type="dxa"/>
              <w:right w:w="20" w:type="dxa"/>
            </w:tcMar>
            <w:vAlign w:val="center"/>
          </w:tcPr>
          <w:p w14:paraId="06870FC0" w14:textId="6743DEE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1,136</w:t>
            </w:r>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3.1</w:t>
            </w:r>
          </w:p>
        </w:tc>
      </w:tr>
      <w:tr w:rsidR="003F106B" w:rsidRPr="00B621E1" w14:paraId="10A67270" w14:textId="77777777" w:rsidTr="00806A88">
        <w:trPr>
          <w:trHeight w:val="270"/>
        </w:trPr>
        <w:tc>
          <w:tcPr>
            <w:tcW w:w="1726" w:type="pct"/>
            <w:tcMar>
              <w:top w:w="0" w:type="dxa"/>
              <w:left w:w="100" w:type="dxa"/>
              <w:bottom w:w="0" w:type="dxa"/>
              <w:right w:w="100" w:type="dxa"/>
            </w:tcMar>
            <w:vAlign w:val="center"/>
          </w:tcPr>
          <w:p w14:paraId="62FC4A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Asexual/Aromantic/Demisexual</w:t>
            </w:r>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182</w:t>
            </w:r>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3.7</w:t>
            </w:r>
          </w:p>
        </w:tc>
      </w:tr>
      <w:tr w:rsidR="003F106B" w:rsidRPr="00B621E1" w14:paraId="3B513625" w14:textId="77777777" w:rsidTr="00806A88">
        <w:trPr>
          <w:trHeight w:val="270"/>
        </w:trPr>
        <w:tc>
          <w:tcPr>
            <w:tcW w:w="1726" w:type="pct"/>
            <w:tcMar>
              <w:top w:w="0" w:type="dxa"/>
              <w:left w:w="100" w:type="dxa"/>
              <w:bottom w:w="0" w:type="dxa"/>
              <w:right w:w="100" w:type="dxa"/>
            </w:tcMar>
            <w:vAlign w:val="center"/>
          </w:tcPr>
          <w:p w14:paraId="5C80DEAB"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Other/Queer/Questioning</w:t>
            </w:r>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131</w:t>
            </w:r>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w:t>
            </w:r>
          </w:p>
        </w:tc>
      </w:tr>
      <w:tr w:rsidR="003F106B" w:rsidRPr="00B621E1" w14:paraId="346A789E" w14:textId="77777777" w:rsidTr="00806A88">
        <w:trPr>
          <w:trHeight w:val="270"/>
        </w:trPr>
        <w:tc>
          <w:tcPr>
            <w:tcW w:w="1726" w:type="pct"/>
            <w:tcMar>
              <w:top w:w="0" w:type="dxa"/>
              <w:left w:w="100" w:type="dxa"/>
              <w:bottom w:w="0" w:type="dxa"/>
              <w:right w:w="100" w:type="dxa"/>
            </w:tcMar>
            <w:vAlign w:val="center"/>
          </w:tcPr>
          <w:p w14:paraId="3596FC17"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Prefer Not to Say</w:t>
            </w:r>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505</w:t>
            </w:r>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2.9</w:t>
            </w:r>
          </w:p>
        </w:tc>
      </w:tr>
      <w:tr w:rsidR="003F106B" w:rsidRPr="00B621E1" w14:paraId="661988EF"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Total</w:t>
            </w:r>
          </w:p>
        </w:tc>
        <w:tc>
          <w:tcPr>
            <w:tcW w:w="963" w:type="pct"/>
            <w:tcBorders>
              <w:bottom w:val="single" w:sz="6" w:space="0" w:color="000000"/>
            </w:tcBorders>
            <w:tcMar>
              <w:top w:w="20" w:type="dxa"/>
              <w:left w:w="20" w:type="dxa"/>
              <w:bottom w:w="20" w:type="dxa"/>
              <w:right w:w="20" w:type="dxa"/>
            </w:tcMar>
            <w:vAlign w:val="center"/>
          </w:tcPr>
          <w:p w14:paraId="2B703189" w14:textId="69F5B32D"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7,442</w:t>
            </w:r>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3.8</w:t>
            </w:r>
          </w:p>
        </w:tc>
      </w:tr>
    </w:tbl>
    <w:p w14:paraId="7CA714E8" w14:textId="77777777" w:rsidR="003F106B" w:rsidRPr="00AB6684" w:rsidRDefault="003F106B" w:rsidP="003F106B">
      <w:pPr>
        <w:spacing w:after="160"/>
        <w:rPr>
          <w:rFonts w:asciiTheme="majorHAnsi" w:hAnsiTheme="majorHAnsi" w:cstheme="majorHAnsi"/>
          <w:sz w:val="20"/>
          <w:szCs w:val="20"/>
        </w:rPr>
      </w:pPr>
      <w:r>
        <w:rPr>
          <w:rFonts w:asciiTheme="majorHAnsi" w:hAnsiTheme="majorHAnsi" w:cstheme="majorHAnsi"/>
          <w:i/>
          <w:iCs/>
          <w:sz w:val="20"/>
          <w:szCs w:val="20"/>
        </w:rPr>
        <w:t>Note.</w:t>
      </w:r>
      <w:commentRangeStart w:id="59"/>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9"/>
      <w:r w:rsidRPr="00AB6684">
        <w:rPr>
          <w:rStyle w:val="CommentReference"/>
          <w:rFonts w:asciiTheme="majorHAnsi" w:hAnsiTheme="majorHAnsi" w:cstheme="majorHAnsi"/>
          <w:sz w:val="20"/>
          <w:szCs w:val="20"/>
        </w:rPr>
        <w:commentReference w:id="59"/>
      </w:r>
    </w:p>
    <w:p w14:paraId="5552E13D" w14:textId="77777777" w:rsidR="00C06DAA" w:rsidRPr="00B621E1" w:rsidRDefault="00C06DAA" w:rsidP="003D5B76">
      <w:pPr>
        <w:spacing w:line="360" w:lineRule="auto"/>
        <w:rPr>
          <w:rFonts w:asciiTheme="majorHAnsi" w:hAnsiTheme="majorHAnsi" w:cstheme="majorHAnsi"/>
          <w:b/>
          <w:bCs/>
        </w:rPr>
      </w:pPr>
    </w:p>
    <w:p w14:paraId="584E2B7E" w14:textId="2E183613" w:rsidR="003D5B76" w:rsidRPr="00B621E1" w:rsidRDefault="003D5B76" w:rsidP="003D5B76">
      <w:pPr>
        <w:spacing w:line="360" w:lineRule="auto"/>
        <w:rPr>
          <w:rFonts w:asciiTheme="majorHAnsi" w:hAnsiTheme="majorHAnsi" w:cstheme="majorHAnsi"/>
          <w:b/>
          <w:bCs/>
        </w:rPr>
      </w:pPr>
      <w:r>
        <w:rPr>
          <w:rFonts w:asciiTheme="majorHAnsi" w:hAnsiTheme="majorHAnsi" w:cstheme="majorHAnsi"/>
          <w:b/>
          <w:bCs/>
        </w:rPr>
        <w:t>Figure 2</w:t>
      </w:r>
    </w:p>
    <w:p w14:paraId="49E759A3" w14:textId="1ECDB166" w:rsidR="003D5B76" w:rsidRPr="00B621E1" w:rsidRDefault="003D5B76" w:rsidP="003D5B76">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w:t>
      </w:r>
    </w:p>
    <w:p w14:paraId="55E6955C" w14:textId="5C1F13D0" w:rsidR="006E705A" w:rsidRPr="00B621E1" w:rsidRDefault="006E705A" w:rsidP="00D5066E">
      <w:pPr>
        <w:spacing w:line="360" w:lineRule="auto"/>
        <w:jc w:val="center"/>
        <w:rPr>
          <w:rFonts w:asciiTheme="majorHAnsi" w:hAnsiTheme="majorHAnsi" w:cstheme="majorHAnsi"/>
          <w:b/>
          <w:bCs/>
        </w:rPr>
      </w:pPr>
      <w:r>
        <w:rPr>
          <w:rFonts w:asciiTheme="majorHAnsi" w:hAnsiTheme="majorHAnsi" w:cstheme="majorHAnsi"/>
          <w:noProof/>
        </w:rPr>
        <w:drawing>
          <wp:inline distT="0" distB="0" distL="0" distR="0" wp14:anchorId="2F47E788" wp14:editId="0C7EBBF6">
            <wp:extent cx="5033099" cy="3657600"/>
            <wp:effectExtent l="0" t="0" r="0" b="0"/>
            <wp:docPr id="522347261" name="Picture 5" descr="A graph with colored lines and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3EF5281" w14:textId="666D2BB8" w:rsidR="003D5B76" w:rsidRDefault="0019183A" w:rsidP="00D5066E">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sexual orientation are reported in parentheses. The vertical line at 0 represents the coefficient for the reference group (straight/heterosexual).</w:t>
      </w:r>
    </w:p>
    <w:p w14:paraId="7439B036" w14:textId="3368F125" w:rsidR="00BD041A" w:rsidRPr="00B621E1" w:rsidRDefault="00602BF5" w:rsidP="00D5066E">
      <w:pPr>
        <w:pStyle w:val="Heading2"/>
        <w:spacing w:after="0" w:line="360" w:lineRule="auto"/>
        <w:rPr>
          <w:rFonts w:asciiTheme="majorHAnsi" w:hAnsiTheme="majorHAnsi" w:cstheme="majorHAnsi"/>
          <w:b/>
          <w:bCs/>
          <w:sz w:val="24"/>
          <w:szCs w:val="28"/>
        </w:rPr>
      </w:pPr>
      <w:bookmarkStart w:id="60" w:name="_1ou31tc7vaj8" w:colFirst="0" w:colLast="0"/>
      <w:bookmarkEnd w:id="60"/>
      <w:r>
        <w:rPr>
          <w:rFonts w:asciiTheme="majorHAnsi" w:hAnsiTheme="majorHAnsi" w:cstheme="majorHAnsi"/>
          <w:b/>
          <w:bCs/>
          <w:sz w:val="24"/>
          <w:szCs w:val="28"/>
        </w:rPr>
        <w:lastRenderedPageBreak/>
        <w:t>Bullying in High School</w:t>
      </w:r>
    </w:p>
    <w:p w14:paraId="7439B037" w14:textId="0816F0A1"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We also included two survey questions to understand the extent to which students may have experienced bullying or harassment while in high school. First, we asked students the number of times they were bullied or harassed at school in the last 12 months (response options included </w:t>
      </w:r>
      <w:r>
        <w:rPr>
          <w:rFonts w:asciiTheme="majorHAnsi" w:hAnsiTheme="majorHAnsi" w:cstheme="majorHAnsi"/>
          <w:i/>
          <w:iCs/>
        </w:rPr>
        <w:t>0 times</w:t>
      </w:r>
      <w:r>
        <w:rPr>
          <w:rFonts w:asciiTheme="majorHAnsi" w:hAnsiTheme="majorHAnsi" w:cstheme="majorHAnsi"/>
        </w:rPr>
        <w:t xml:space="preserve">, </w:t>
      </w:r>
      <w:r>
        <w:rPr>
          <w:rFonts w:asciiTheme="majorHAnsi" w:hAnsiTheme="majorHAnsi" w:cstheme="majorHAnsi"/>
          <w:i/>
          <w:iCs/>
        </w:rPr>
        <w:t>1 time</w:t>
      </w:r>
      <w:r>
        <w:rPr>
          <w:rFonts w:asciiTheme="majorHAnsi" w:hAnsiTheme="majorHAnsi" w:cstheme="majorHAnsi"/>
        </w:rPr>
        <w:t xml:space="preserve">, </w:t>
      </w:r>
      <w:r>
        <w:rPr>
          <w:rFonts w:asciiTheme="majorHAnsi" w:hAnsiTheme="majorHAnsi" w:cstheme="majorHAnsi"/>
          <w:i/>
          <w:iCs/>
        </w:rPr>
        <w:t>2-3 times</w:t>
      </w:r>
      <w:r>
        <w:rPr>
          <w:rFonts w:asciiTheme="majorHAnsi" w:hAnsiTheme="majorHAnsi" w:cstheme="majorHAnsi"/>
        </w:rPr>
        <w:t xml:space="preserve">, and </w:t>
      </w:r>
      <w:r>
        <w:rPr>
          <w:rFonts w:asciiTheme="majorHAnsi" w:hAnsiTheme="majorHAnsi" w:cstheme="majorHAnsi"/>
          <w:i/>
          <w:iCs/>
        </w:rPr>
        <w:t>4 or more times</w:t>
      </w:r>
      <w:r>
        <w:rPr>
          <w:rFonts w:asciiTheme="majorHAnsi" w:hAnsiTheme="majorHAnsi" w:cstheme="majorHAnsi"/>
        </w:rPr>
        <w:t xml:space="preserve">). For students who reported being bullied at least once, students were also asked about the reasons they were harassed or bullied (i.e., race or ethnicity, religion, gender identity, or sexual orientation). </w:t>
      </w:r>
    </w:p>
    <w:p w14:paraId="0922CEFD" w14:textId="49DF523D" w:rsidR="003F4E39" w:rsidRPr="00B621E1" w:rsidRDefault="00602BF5" w:rsidP="003F4E39">
      <w:pPr>
        <w:spacing w:line="360" w:lineRule="auto"/>
        <w:ind w:firstLine="720"/>
        <w:rPr>
          <w:rFonts w:asciiTheme="majorHAnsi" w:hAnsiTheme="majorHAnsi" w:cstheme="majorHAnsi"/>
        </w:rPr>
      </w:pPr>
      <w:r>
        <w:rPr>
          <w:rFonts w:asciiTheme="majorHAnsi" w:hAnsiTheme="majorHAnsi" w:cstheme="majorHAnsi"/>
        </w:rPr>
        <w:t>Figure 3 presents the frequency of bullying by gender identity and sexual orientation. Across all respondents, approximately 77% of students reported not being bullied or harassed on school property in the past year,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Moreover, transgender students reported the highest rates of repeated victimization, with approximately 27% experiencing bullying two to three times and nearly 16% experiencing bullying four or more times — rates far exceeding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B621E1" w:rsidRDefault="003F4E39" w:rsidP="003F4E39">
      <w:pPr>
        <w:spacing w:line="360" w:lineRule="auto"/>
        <w:ind w:firstLine="720"/>
        <w:rPr>
          <w:rFonts w:asciiTheme="majorHAnsi" w:hAnsiTheme="majorHAnsi" w:cstheme="majorHAnsi"/>
        </w:rPr>
      </w:pPr>
      <w:r>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Pr>
          <w:rFonts w:asciiTheme="majorHAnsi" w:hAnsiTheme="majorHAnsi" w:cstheme="majorHAnsi"/>
        </w:rPr>
        <w:br w:type="page"/>
      </w:r>
    </w:p>
    <w:p w14:paraId="7439B03C" w14:textId="79BC5E1F"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3</w:t>
      </w:r>
    </w:p>
    <w:p w14:paraId="7439B03D" w14:textId="00A4C9AC" w:rsidR="00BD041A" w:rsidRPr="00B621E1" w:rsidRDefault="0071788A" w:rsidP="001B2966">
      <w:pPr>
        <w:spacing w:line="360" w:lineRule="auto"/>
        <w:rPr>
          <w:rFonts w:asciiTheme="majorHAnsi" w:hAnsiTheme="majorHAnsi" w:cstheme="majorHAnsi"/>
          <w:i/>
          <w:iCs/>
        </w:rPr>
      </w:pPr>
      <w:commentRangeStart w:id="61"/>
      <w:r>
        <w:rPr>
          <w:rFonts w:asciiTheme="majorHAnsi" w:hAnsiTheme="majorHAnsi" w:cstheme="majorHAnsi"/>
          <w:i/>
          <w:iCs/>
        </w:rPr>
        <w:t>Frequency of Bullying/Harassment in the Past Year</w:t>
      </w:r>
      <w:commentRangeEnd w:id="61"/>
      <w:r w:rsidRPr="00B621E1">
        <w:rPr>
          <w:rStyle w:val="CommentReference"/>
          <w:rFonts w:asciiTheme="majorHAnsi" w:hAnsiTheme="majorHAnsi" w:cstheme="majorHAnsi"/>
          <w:i/>
          <w:iCs/>
          <w:sz w:val="24"/>
          <w:szCs w:val="24"/>
        </w:rPr>
        <w:commentReference w:id="61"/>
      </w:r>
    </w:p>
    <w:p w14:paraId="7439B03E" w14:textId="407CD1BC" w:rsidR="00BD041A" w:rsidRPr="00B621E1" w:rsidRDefault="00D70A5E" w:rsidP="001B2966">
      <w:pPr>
        <w:pStyle w:val="Heading2"/>
        <w:spacing w:before="0" w:after="0" w:line="360" w:lineRule="auto"/>
        <w:rPr>
          <w:rFonts w:asciiTheme="majorHAnsi" w:hAnsiTheme="majorHAnsi" w:cstheme="majorHAnsi"/>
          <w:sz w:val="24"/>
          <w:szCs w:val="24"/>
        </w:rPr>
      </w:pPr>
      <w:bookmarkStart w:id="62" w:name="_jq9y13bm3euw" w:colFirst="0" w:colLast="0"/>
      <w:bookmarkEnd w:id="62"/>
      <w:r>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6A0F5D10" w14:textId="3E687AE0" w:rsidR="001B2966"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Note.</w:t>
      </w:r>
      <w:r>
        <w:rPr>
          <w:rFonts w:asciiTheme="majorHAnsi" w:hAnsiTheme="majorHAnsi" w:cstheme="majorHAnsi"/>
          <w:sz w:val="20"/>
        </w:rPr>
        <w:t xml:space="preserve"> Rates depicted in the figure represent the sample of students that responded to questions about bullying and harassment (n = 7,512 for disaggregation by gender, and </w:t>
      </w:r>
      <w:r>
        <w:rPr>
          <w:rFonts w:asciiTheme="majorHAnsi" w:hAnsiTheme="majorHAnsi" w:cstheme="majorHAnsi"/>
          <w:i/>
          <w:iCs/>
          <w:sz w:val="20"/>
        </w:rPr>
        <w:t>n</w:t>
      </w:r>
      <w:r>
        <w:rPr>
          <w:rFonts w:asciiTheme="majorHAnsi" w:hAnsiTheme="majorHAnsi" w:cstheme="majorHAnsi"/>
          <w:sz w:val="20"/>
        </w:rPr>
        <w:t xml:space="preserve"> = 7,471 for disaggregation by sexual orientation). </w:t>
      </w:r>
    </w:p>
    <w:p w14:paraId="5F15EE9E" w14:textId="3338445A" w:rsidR="00C93A68" w:rsidRPr="00B621E1" w:rsidRDefault="001B2966" w:rsidP="001B2966">
      <w:pPr>
        <w:spacing w:line="360" w:lineRule="auto"/>
        <w:ind w:firstLine="720"/>
        <w:rPr>
          <w:rFonts w:asciiTheme="majorHAnsi" w:hAnsiTheme="majorHAnsi" w:cstheme="majorHAnsi"/>
          <w:b/>
          <w:bCs/>
        </w:rPr>
      </w:pPr>
      <w:r>
        <w:rPr>
          <w:rFonts w:asciiTheme="majorHAnsi" w:hAnsiTheme="majorHAnsi" w:cstheme="majorHAnsi"/>
        </w:rPr>
        <w:t>Among students who reported being bullied one or more times, we further examined whether students attributed the bullying to their gender identity or sexual orientation (Figure 4). Overall, about 55% of students that were bullied indicated they had been harassed because of their gender or sexual orientation. This figure, however, masks stark differences across identity groups. Among transgender students who reported being bullied (</w:t>
      </w:r>
      <w:r>
        <w:rPr>
          <w:rFonts w:asciiTheme="majorHAnsi" w:hAnsiTheme="majorHAnsi" w:cstheme="majorHAnsi"/>
          <w:i/>
          <w:iCs/>
        </w:rPr>
        <w:t>n</w:t>
      </w:r>
      <w:r>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experience higher rates of bullying overall, but are also disproportionately targeted because of </w:t>
      </w:r>
      <w:r>
        <w:rPr>
          <w:rFonts w:asciiTheme="majorHAnsi" w:hAnsiTheme="majorHAnsi" w:cstheme="majorHAnsi"/>
        </w:rPr>
        <w:lastRenderedPageBreak/>
        <w:t>their identity — a finding consistent with prior research documenting the heightened risk of bias-based victimization among LGBTQ+ youth (Day et al., 2018; Kosciw et al., 2022).</w:t>
      </w:r>
    </w:p>
    <w:p w14:paraId="7439B042" w14:textId="57DB5FC5"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t>Figure 4</w:t>
      </w:r>
    </w:p>
    <w:p w14:paraId="7439B043"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B621E1" w:rsidRDefault="00602BF5" w:rsidP="003F4E39">
      <w:pPr>
        <w:spacing w:after="240"/>
        <w:rPr>
          <w:rFonts w:asciiTheme="majorHAnsi" w:hAnsiTheme="majorHAnsi" w:cstheme="majorHAnsi"/>
        </w:rPr>
      </w:pPr>
      <w:r>
        <w:rPr>
          <w:rFonts w:asciiTheme="majorHAnsi" w:hAnsiTheme="majorHAnsi" w:cstheme="majorHAnsi"/>
          <w:noProof/>
        </w:rPr>
        <w:drawing>
          <wp:anchor distT="0" distB="0" distL="114300" distR="114300" simplePos="0" relativeHeight="251658241" behindDoc="0" locked="0" layoutInCell="1" allowOverlap="1" wp14:anchorId="7439B286" wp14:editId="25F03DC7">
            <wp:simplePos x="0" y="0"/>
            <wp:positionH relativeFrom="column">
              <wp:posOffset>0</wp:posOffset>
            </wp:positionH>
            <wp:positionV relativeFrom="paragraph">
              <wp:posOffset>80645</wp:posOffset>
            </wp:positionV>
            <wp:extent cx="5755005" cy="3200400"/>
            <wp:effectExtent l="0" t="0" r="0" b="0"/>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755005" cy="3200400"/>
                    </a:xfrm>
                    <a:prstGeom prst="rect">
                      <a:avLst/>
                    </a:prstGeom>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i/>
          <w:iCs/>
          <w:sz w:val="20"/>
        </w:rPr>
        <w:t>Note</w:t>
      </w:r>
      <w:r>
        <w:rPr>
          <w:rFonts w:asciiTheme="majorHAnsi" w:hAnsiTheme="majorHAnsi" w:cstheme="majorHAnsi"/>
          <w:sz w:val="20"/>
        </w:rPr>
        <w:t>. Rates depicted in the figure represent the sample of students that reported being bullied or harassed more than once (</w:t>
      </w:r>
      <w:r>
        <w:rPr>
          <w:rFonts w:asciiTheme="majorHAnsi" w:hAnsiTheme="majorHAnsi" w:cstheme="majorHAnsi"/>
          <w:i/>
          <w:iCs/>
          <w:sz w:val="20"/>
        </w:rPr>
        <w:t>n</w:t>
      </w:r>
      <w:r>
        <w:rPr>
          <w:rFonts w:asciiTheme="majorHAnsi" w:hAnsiTheme="majorHAnsi" w:cstheme="majorHAnsi"/>
          <w:sz w:val="20"/>
        </w:rPr>
        <w:t xml:space="preserve"> = 960 for disaggregation by gender, and </w:t>
      </w:r>
      <w:r>
        <w:rPr>
          <w:rFonts w:asciiTheme="majorHAnsi" w:hAnsiTheme="majorHAnsi" w:cstheme="majorHAnsi"/>
          <w:i/>
          <w:iCs/>
          <w:sz w:val="20"/>
        </w:rPr>
        <w:t>n</w:t>
      </w:r>
      <w:r>
        <w:rPr>
          <w:rFonts w:asciiTheme="majorHAnsi" w:hAnsiTheme="majorHAnsi" w:cstheme="majorHAnsi"/>
          <w:sz w:val="20"/>
        </w:rPr>
        <w:t xml:space="preserve"> = 958 for disaggregation by sexual orientation). </w:t>
      </w:r>
    </w:p>
    <w:p w14:paraId="7439B04A" w14:textId="77777777"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116D41F2" w14:textId="77777777" w:rsidR="001751C5" w:rsidRDefault="001751C5" w:rsidP="001B2966">
      <w:pPr>
        <w:spacing w:line="360" w:lineRule="auto"/>
        <w:ind w:firstLine="720"/>
        <w:rPr>
          <w:rFonts w:asciiTheme="majorHAnsi" w:hAnsiTheme="majorHAnsi" w:cstheme="majorHAnsi"/>
        </w:rPr>
      </w:pPr>
    </w:p>
    <w:p w14:paraId="0E19CD04" w14:textId="398A57B6" w:rsidR="001751C5" w:rsidRPr="001A3945" w:rsidRDefault="001751C5" w:rsidP="001751C5">
      <w:pPr>
        <w:spacing w:line="360" w:lineRule="auto"/>
        <w:jc w:val="both"/>
        <w:rPr>
          <w:rFonts w:asciiTheme="majorHAnsi" w:hAnsiTheme="majorHAnsi" w:cstheme="majorHAnsi"/>
          <w:b/>
          <w:bCs/>
        </w:rPr>
      </w:pPr>
      <w:r>
        <w:rPr>
          <w:rFonts w:asciiTheme="majorHAnsi" w:hAnsiTheme="majorHAnsi" w:cstheme="majorHAnsi"/>
          <w:b/>
          <w:bCs/>
        </w:rPr>
        <w:t>Bullying as a Potential Mediator of High School Experiences</w:t>
      </w:r>
    </w:p>
    <w:p w14:paraId="11714852" w14:textId="17D3E4BB"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lastRenderedPageBreak/>
        <w:t>To investigate whether identity-based victimization help explain the observed differences in high school experience by gender identity and sexual orientation, we estimated additional models that control for the frequency of bullying or harassment in the past year (results presented in Appendix J). As shown in Appendix Figure J1, adding bullying as a covariate substantially attenuates the coefficients for gender identity. For example, the gap between gender diverse/questioning students and cisgender men narrows from -3.29 to -2.46 index points, and the gap for nonbinary students narrows from -2.03 to -1.44, though both remain highly significant. The coefficient for transgender women is no longer statistically significant after controlling for bullying (b = -0.80, p = 0.39), consistent with this group's small sample size. Across all gender identity categories, the R-squared increases from 0.034 (demographics only) to 0.072 (demographics plus bullying), indicating that bullying frequency explains a meaningful share, but not all, of the variation in high school experiences.</w:t>
      </w:r>
    </w:p>
    <w:p w14:paraId="41F01DB2" w14:textId="77777777"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t>A similar pattern emerges by sexual orientation (Appendix Figure J2). After controlling for bullying, the coefficient for gay or lesbian students is no longer statistically significant (b = -0.32, p = 0.18), suggesting that the lower high school experience reported by this group is largely attributable to bullying experiences. The gap for bisexual/pansexual/omnisexual students narrows from -1.11 to -0.72 but remains significant, indicating that bullying explains part but not all of the difference for this group. Further controlling for assigned sex at birth produces only modest additional attenuation. These results suggest that bullying is a meaningful mediator of the relationship between gender identity, sexual orientation, and overall high school experience, though it does not fully account for the observed disparities — particularly for bisexual/pansexual/omnisexual students and those who prefer not to disclose their sexual orientation.</w:t>
      </w:r>
    </w:p>
    <w:p w14:paraId="33B02070" w14:textId="77777777" w:rsidR="001751C5" w:rsidRPr="00D5066E" w:rsidRDefault="001751C5" w:rsidP="001751C5">
      <w:pPr>
        <w:rPr>
          <w:rFonts w:asciiTheme="majorHAnsi" w:hAnsiTheme="majorHAnsi" w:cstheme="majorHAnsi"/>
        </w:rPr>
      </w:pPr>
    </w:p>
    <w:p w14:paraId="09A2FB4C" w14:textId="77777777" w:rsidR="001751C5" w:rsidRPr="00B621E1" w:rsidRDefault="001751C5" w:rsidP="001A3945">
      <w:pPr>
        <w:spacing w:line="360" w:lineRule="auto"/>
        <w:jc w:val="both"/>
        <w:rPr>
          <w:rFonts w:asciiTheme="majorHAnsi" w:hAnsiTheme="majorHAnsi" w:cstheme="majorHAnsi"/>
        </w:rPr>
      </w:pPr>
    </w:p>
    <w:p w14:paraId="646156BF" w14:textId="4947FE76"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63" w:name="_xymerxmxx7ya" w:colFirst="0" w:colLast="0"/>
      <w:bookmarkEnd w:id="63"/>
      <w:r>
        <w:rPr>
          <w:rFonts w:asciiTheme="majorHAnsi" w:hAnsiTheme="majorHAnsi" w:cstheme="majorHAnsi"/>
          <w:b/>
          <w:bCs/>
          <w:sz w:val="24"/>
          <w:szCs w:val="28"/>
        </w:rPr>
        <w:t xml:space="preserve">Concerns About College </w:t>
      </w:r>
    </w:p>
    <w:p w14:paraId="4F52614C" w14:textId="06A4DD09" w:rsidR="00E32A0E"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Students were also asked about their concerns ahead of the transition to college (Table 4). Answers to each question ranged from 0 to 3, in which a higher value corresponded with a higher level of concern. Using PCA, we found that students’ worries about the transition to college can be divided into three dimensions: (1) general worries; (2) worries about </w:t>
      </w:r>
      <w:r>
        <w:rPr>
          <w:rFonts w:asciiTheme="majorHAnsi" w:hAnsiTheme="majorHAnsi" w:cstheme="majorHAnsi"/>
        </w:rPr>
        <w:lastRenderedPageBreak/>
        <w:t xml:space="preserve">discrimination (including gender, sexuality, race, and religion); and (3) worries about financial burdens (including tuition and living costs). For summary statistics of the survey items used to construct these dimensions by gender identity and sexual orientation, see Appendix D. Together, these components explained 56.0% of the variance in overall worries about the transition to college. We constructed three indices of worries using PCA eigenvectors (summary statistics of the PCA constructs are reported in Table 4). </w:t>
      </w:r>
    </w:p>
    <w:p w14:paraId="127A85C8" w14:textId="7D365727" w:rsidR="00E32A0E" w:rsidRPr="00B621E1" w:rsidRDefault="00602BF5" w:rsidP="001B2966">
      <w:pPr>
        <w:spacing w:line="360" w:lineRule="auto"/>
        <w:rPr>
          <w:rFonts w:asciiTheme="majorHAnsi" w:hAnsiTheme="majorHAnsi" w:cstheme="majorHAnsi"/>
        </w:rPr>
      </w:pPr>
      <w:r>
        <w:rPr>
          <w:rFonts w:asciiTheme="majorHAnsi" w:hAnsiTheme="majorHAnsi" w:cstheme="majorHAnsi"/>
          <w:b/>
          <w:bCs/>
        </w:rPr>
        <w:t>Table 4</w:t>
      </w:r>
    </w:p>
    <w:p w14:paraId="7439B04E" w14:textId="66F6507C" w:rsidR="00BD041A" w:rsidRPr="00B621E1" w:rsidRDefault="00602BF5" w:rsidP="001B2966">
      <w:pPr>
        <w:spacing w:line="360" w:lineRule="auto"/>
        <w:rPr>
          <w:rFonts w:asciiTheme="majorHAnsi" w:hAnsiTheme="majorHAnsi" w:cstheme="majorHAnsi"/>
        </w:rPr>
      </w:pPr>
      <w:r>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3C20DC76"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3.8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0.6</w:t>
            </w:r>
          </w:p>
        </w:tc>
      </w:tr>
    </w:tbl>
    <w:p w14:paraId="7439B09B" w14:textId="3A84A260"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The first twelve rows are survey items related to college worries. Each item ranges from 0 (</w:t>
      </w:r>
      <w:r>
        <w:rPr>
          <w:rFonts w:asciiTheme="majorHAnsi" w:hAnsiTheme="majorHAnsi" w:cstheme="majorHAnsi"/>
          <w:i/>
          <w:iCs/>
          <w:sz w:val="20"/>
        </w:rPr>
        <w:t>not worried at all</w:t>
      </w:r>
      <w:r>
        <w:rPr>
          <w:rFonts w:asciiTheme="majorHAnsi" w:hAnsiTheme="majorHAnsi" w:cstheme="majorHAnsi"/>
          <w:sz w:val="20"/>
        </w:rPr>
        <w:t>)</w:t>
      </w:r>
      <w:r>
        <w:rPr>
          <w:rFonts w:asciiTheme="majorHAnsi" w:hAnsiTheme="majorHAnsi" w:cstheme="majorHAnsi"/>
          <w:i/>
          <w:iCs/>
          <w:sz w:val="20"/>
        </w:rPr>
        <w:t xml:space="preserve"> </w:t>
      </w:r>
      <w:r>
        <w:rPr>
          <w:rFonts w:asciiTheme="majorHAnsi" w:hAnsiTheme="majorHAnsi" w:cstheme="majorHAnsi"/>
          <w:sz w:val="20"/>
        </w:rPr>
        <w:t>to 3 (</w:t>
      </w:r>
      <w:r>
        <w:rPr>
          <w:rFonts w:asciiTheme="majorHAnsi" w:hAnsiTheme="majorHAnsi" w:cstheme="majorHAnsi"/>
          <w:i/>
          <w:iCs/>
          <w:sz w:val="20"/>
        </w:rPr>
        <w:t>very worried</w:t>
      </w:r>
      <w:r>
        <w:rPr>
          <w:rFonts w:asciiTheme="majorHAnsi" w:hAnsiTheme="majorHAnsi" w:cstheme="majorHAnsi"/>
          <w:sz w:val="20"/>
        </w:rPr>
        <w:t xml:space="preserve">). The last three rows indicate the three constructs: (1) </w:t>
      </w:r>
      <w:r>
        <w:rPr>
          <w:rFonts w:asciiTheme="majorHAnsi" w:hAnsiTheme="majorHAnsi" w:cstheme="majorHAnsi"/>
          <w:i/>
          <w:iCs/>
          <w:sz w:val="20"/>
        </w:rPr>
        <w:t>general worries</w:t>
      </w:r>
      <w:r>
        <w:rPr>
          <w:rFonts w:asciiTheme="majorHAnsi" w:hAnsiTheme="majorHAnsi" w:cstheme="majorHAnsi"/>
          <w:sz w:val="20"/>
        </w:rPr>
        <w:t xml:space="preserve"> ranges from 0 to 10.23; (2) </w:t>
      </w:r>
      <w:commentRangeStart w:id="64"/>
      <w:r>
        <w:rPr>
          <w:rFonts w:asciiTheme="majorHAnsi" w:hAnsiTheme="majorHAnsi" w:cstheme="majorHAnsi"/>
          <w:i/>
          <w:iCs/>
          <w:sz w:val="20"/>
        </w:rPr>
        <w:t>worries about discrimination</w:t>
      </w:r>
      <w:r>
        <w:rPr>
          <w:rFonts w:asciiTheme="majorHAnsi" w:hAnsiTheme="majorHAnsi" w:cstheme="majorHAnsi"/>
          <w:sz w:val="20"/>
        </w:rPr>
        <w:t xml:space="preserve"> ranges from -3.83 to 5.12; and (3) </w:t>
      </w:r>
      <w:r>
        <w:rPr>
          <w:rFonts w:asciiTheme="majorHAnsi" w:hAnsiTheme="majorHAnsi" w:cstheme="majorHAnsi"/>
          <w:i/>
          <w:iCs/>
          <w:sz w:val="20"/>
        </w:rPr>
        <w:t>worries about financial burdens</w:t>
      </w:r>
      <w:r>
        <w:rPr>
          <w:rFonts w:asciiTheme="majorHAnsi" w:hAnsiTheme="majorHAnsi" w:cstheme="majorHAnsi"/>
          <w:sz w:val="20"/>
        </w:rPr>
        <w:t xml:space="preserve"> ranges from -3.64 to 3.65</w:t>
      </w:r>
      <w:commentRangeEnd w:id="64"/>
      <w:r>
        <w:rPr>
          <w:rStyle w:val="CommentReference"/>
          <w:rFonts w:asciiTheme="majorHAnsi" w:hAnsiTheme="majorHAnsi" w:cstheme="majorHAnsi"/>
          <w:sz w:val="20"/>
          <w:szCs w:val="24"/>
        </w:rPr>
        <w:commentReference w:id="64"/>
      </w:r>
      <w:r>
        <w:rPr>
          <w:rFonts w:asciiTheme="majorHAnsi" w:hAnsiTheme="majorHAnsi" w:cstheme="majorHAnsi"/>
          <w:sz w:val="20"/>
        </w:rPr>
        <w:t>. Constructs were only created for high school students that reported non-missing values for all twelve items. The PCA proportion explained is reported in parentheses after each construct. See Data Analysis section for details on the construction of the worry indices.</w:t>
      </w:r>
    </w:p>
    <w:p w14:paraId="7439B09D"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In terms of broad concerns, we find trans and gender expansive students experience a higher level of general worries compared to cisgender students. When we correlated these worries to students’ high school experiences, there appeared to be a negative, fairly weak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Pr>
          <w:rFonts w:asciiTheme="majorHAnsi" w:hAnsiTheme="majorHAnsi" w:cstheme="majorHAnsi"/>
          <w:b/>
          <w:bCs/>
        </w:rPr>
        <w:t xml:space="preserve"> </w:t>
      </w:r>
    </w:p>
    <w:p w14:paraId="7439B09E"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lastRenderedPageBreak/>
        <w:t xml:space="preserve">Figures 5 through 7 present ordinary least squares (OLS) regression estimates for each component of worry by gender identity both with and without controls for high school experiences and demographics. In all regressions, </w:t>
      </w:r>
      <w:r>
        <w:rPr>
          <w:rFonts w:asciiTheme="majorHAnsi" w:hAnsiTheme="majorHAnsi" w:cstheme="majorHAnsi"/>
          <w:i/>
          <w:iCs/>
        </w:rPr>
        <w:t>cisgender men</w:t>
      </w:r>
      <w:r>
        <w:rPr>
          <w:rFonts w:asciiTheme="majorHAnsi" w:hAnsiTheme="majorHAnsi" w:cstheme="majorHAnsi"/>
        </w:rPr>
        <w:t xml:space="preserve"> was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368F380B"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Regression estimates for general college worries on gender categories are presented in Figure 5. Among trans and gender expansive students, we find no statistical differences in general worries between different gender identities. That is, the general worries of transgender men, transgender women, and nonbinary or gender questioning students was significantly higher than cisgender men, but not significantly different from each other. </w:t>
      </w:r>
    </w:p>
    <w:p w14:paraId="3EDECF4A" w14:textId="77777777" w:rsidR="00887500" w:rsidRPr="00B621E1" w:rsidRDefault="00887500" w:rsidP="001B2966">
      <w:pPr>
        <w:spacing w:line="360" w:lineRule="auto"/>
        <w:rPr>
          <w:rFonts w:asciiTheme="majorHAnsi" w:hAnsiTheme="majorHAnsi" w:cstheme="majorHAnsi"/>
          <w:b/>
          <w:bCs/>
        </w:rPr>
      </w:pPr>
      <w:r>
        <w:rPr>
          <w:rFonts w:asciiTheme="majorHAnsi" w:hAnsiTheme="majorHAnsi" w:cstheme="majorHAnsi"/>
          <w:b/>
          <w:bCs/>
        </w:rPr>
        <w:br w:type="page"/>
      </w:r>
    </w:p>
    <w:p w14:paraId="7439B0A0" w14:textId="150FA08D"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5</w:t>
      </w:r>
    </w:p>
    <w:p w14:paraId="7439B0A1"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 xml:space="preserve">Regression of General College Worries on Gender Identity </w:t>
      </w:r>
      <w:commentRangeStart w:id="65"/>
      <w:r>
        <w:rPr>
          <w:rFonts w:asciiTheme="majorHAnsi" w:hAnsiTheme="majorHAnsi" w:cstheme="majorHAnsi"/>
          <w:i/>
          <w:iCs/>
        </w:rPr>
        <w:t>Categories</w:t>
      </w:r>
      <w:commentRangeEnd w:id="65"/>
      <w:r w:rsidRPr="00B621E1">
        <w:rPr>
          <w:rStyle w:val="CommentReference"/>
          <w:rFonts w:asciiTheme="majorHAnsi" w:hAnsiTheme="majorHAnsi" w:cstheme="majorHAnsi"/>
          <w:i/>
          <w:iCs/>
          <w:sz w:val="24"/>
          <w:szCs w:val="24"/>
        </w:rPr>
        <w:commentReference w:id="65"/>
      </w:r>
    </w:p>
    <w:p w14:paraId="7439B0A2"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6"/>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Additionally, results illustrate that trans and gender expansive students maintain higher levels of worry about discrimination compared to cisgender students (Figure 6),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7 suggests that worries about financial burdens do not differ by gender identity.</w:t>
      </w:r>
      <w:r>
        <w:rPr>
          <w:rFonts w:asciiTheme="majorHAnsi" w:hAnsiTheme="majorHAnsi" w:cstheme="majorHAnsi"/>
        </w:rPr>
        <w:br w:type="page"/>
      </w:r>
    </w:p>
    <w:p w14:paraId="7439B0A6" w14:textId="6FAA190C"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6</w:t>
      </w:r>
    </w:p>
    <w:p w14:paraId="7439B0A7" w14:textId="77777777" w:rsidR="00BD041A" w:rsidRPr="00B621E1" w:rsidRDefault="00602BF5" w:rsidP="001B2966">
      <w:pPr>
        <w:spacing w:line="360" w:lineRule="auto"/>
        <w:rPr>
          <w:rFonts w:asciiTheme="majorHAnsi" w:hAnsiTheme="majorHAnsi" w:cstheme="majorHAnsi"/>
          <w:i/>
          <w:iCs/>
        </w:rPr>
      </w:pPr>
      <w:r w:rsidRPr="00DA6246">
        <w:rPr>
          <w:rFonts w:asciiTheme="majorHAnsi" w:hAnsiTheme="majorHAnsi" w:cstheme="majorHAnsi"/>
          <w:i/>
          <w:iCs/>
        </w:rPr>
        <w:t>Regression of Worries about Discrimination 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7"/>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B621E1" w:rsidRDefault="00602BF5" w:rsidP="003F4E39">
      <w:pPr>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B621E1" w:rsidRDefault="00BD041A" w:rsidP="001B2966">
      <w:pPr>
        <w:spacing w:line="360" w:lineRule="auto"/>
        <w:rPr>
          <w:rFonts w:asciiTheme="majorHAnsi" w:hAnsiTheme="majorHAnsi" w:cstheme="majorHAnsi"/>
          <w:highlight w:val="yellow"/>
        </w:rPr>
      </w:pPr>
    </w:p>
    <w:p w14:paraId="0C65722A" w14:textId="77777777" w:rsidR="006366C4" w:rsidRPr="00B621E1" w:rsidRDefault="006366C4" w:rsidP="001B2966">
      <w:pPr>
        <w:spacing w:line="360" w:lineRule="auto"/>
        <w:rPr>
          <w:rFonts w:asciiTheme="majorHAnsi" w:hAnsiTheme="majorHAnsi" w:cstheme="majorHAnsi"/>
          <w:b/>
          <w:bCs/>
        </w:rPr>
      </w:pPr>
      <w:r>
        <w:rPr>
          <w:rFonts w:asciiTheme="majorHAnsi" w:hAnsiTheme="majorHAnsi" w:cstheme="majorHAnsi"/>
          <w:b/>
          <w:bCs/>
        </w:rPr>
        <w:br w:type="page"/>
      </w:r>
    </w:p>
    <w:p w14:paraId="7439B0AB" w14:textId="09BEC3A2"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7</w:t>
      </w:r>
    </w:p>
    <w:p w14:paraId="7439B0AC" w14:textId="77777777" w:rsidR="00BD041A" w:rsidRPr="00B621E1" w:rsidRDefault="00602BF5" w:rsidP="001B2966">
      <w:pPr>
        <w:spacing w:line="360" w:lineRule="auto"/>
        <w:rPr>
          <w:rFonts w:asciiTheme="majorHAnsi" w:hAnsiTheme="majorHAnsi" w:cstheme="majorHAnsi"/>
          <w:i/>
          <w:iCs/>
        </w:rPr>
      </w:pPr>
      <w:r w:rsidRPr="00DA6246">
        <w:rPr>
          <w:rFonts w:asciiTheme="majorHAnsi" w:hAnsiTheme="majorHAnsi" w:cstheme="majorHAnsi"/>
          <w:i/>
          <w:iCs/>
        </w:rPr>
        <w:t xml:space="preserve">Regression of Worries about Financial Burdens on Gender Identity </w:t>
      </w:r>
      <w:commentRangeStart w:id="66"/>
      <w:commentRangeStart w:id="67"/>
      <w:r w:rsidRPr="00DA6246">
        <w:rPr>
          <w:rFonts w:asciiTheme="majorHAnsi" w:hAnsiTheme="majorHAnsi" w:cstheme="majorHAnsi"/>
          <w:i/>
          <w:iCs/>
        </w:rPr>
        <w:t>Categories</w:t>
      </w:r>
      <w:commentRangeEnd w:id="66"/>
      <w:r w:rsidRPr="00B621E1">
        <w:rPr>
          <w:rStyle w:val="CommentReference"/>
          <w:rFonts w:asciiTheme="majorHAnsi" w:hAnsiTheme="majorHAnsi" w:cstheme="majorHAnsi"/>
          <w:i/>
          <w:iCs/>
          <w:sz w:val="24"/>
          <w:szCs w:val="24"/>
        </w:rPr>
        <w:commentReference w:id="66"/>
      </w:r>
      <w:commentRangeEnd w:id="67"/>
      <w:r w:rsidRPr="00B621E1">
        <w:rPr>
          <w:rStyle w:val="CommentReference"/>
          <w:rFonts w:asciiTheme="majorHAnsi" w:hAnsiTheme="majorHAnsi" w:cstheme="majorHAnsi"/>
          <w:i/>
          <w:iCs/>
          <w:sz w:val="24"/>
          <w:szCs w:val="24"/>
        </w:rPr>
        <w:commentReference w:id="67"/>
      </w:r>
    </w:p>
    <w:p w14:paraId="7439B0AE" w14:textId="39493948"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8"/>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4331480" w14:textId="172AB0B9" w:rsidR="00871AA2" w:rsidRPr="00953074" w:rsidRDefault="00871AA2" w:rsidP="00953074">
      <w:pPr>
        <w:spacing w:line="360" w:lineRule="auto"/>
        <w:ind w:firstLine="720"/>
        <w:rPr>
          <w:rFonts w:asciiTheme="majorHAnsi" w:hAnsiTheme="majorHAnsi" w:cstheme="majorHAnsi"/>
        </w:rPr>
      </w:pPr>
      <w:bookmarkStart w:id="68" w:name="_1t7u8xxsbxel" w:colFirst="0" w:colLast="0"/>
      <w:bookmarkEnd w:id="68"/>
      <w:r>
        <w:rPr>
          <w:rFonts w:asciiTheme="majorHAnsi" w:hAnsiTheme="majorHAnsi" w:cstheme="majorHAnsi"/>
        </w:rPr>
        <w:t>We find a similar pattern when examining college concerns by sexual orientation. All non-heterosexual groups report significantly higher levels of general worries compared to straight/heterosexual students (Figure 8). The magnitude of these differences is fairly consistent across sexual orientation categories, with point estimates ranging from roughly 0.5 to 1.0 units above straight/heterosexual students. Other/queer/questioning students report the highest level of general worries (mean = 4.58), though the confidence interval is wider due to smaller sample size. These differences remain statistically significant after controlling for demographics and high school experience, though the estimates are somewhat attenuated.</w:t>
      </w:r>
    </w:p>
    <w:p w14:paraId="202E1ACE" w14:textId="3E8370D1" w:rsidR="00871AA2" w:rsidRPr="00953074" w:rsidRDefault="00871AA2" w:rsidP="00953074">
      <w:pPr>
        <w:spacing w:line="360" w:lineRule="auto"/>
        <w:ind w:firstLine="720"/>
        <w:rPr>
          <w:rFonts w:asciiTheme="majorHAnsi" w:hAnsiTheme="majorHAnsi" w:cstheme="majorHAnsi"/>
        </w:rPr>
      </w:pPr>
      <w:r>
        <w:rPr>
          <w:rFonts w:asciiTheme="majorHAnsi" w:hAnsiTheme="majorHAnsi" w:cstheme="majorHAnsi"/>
        </w:rPr>
        <w:lastRenderedPageBreak/>
        <w:t>Worries about discrimination also differ significantly by sexual orientation (Figure 9). All non-heterosexual groups report higher levels of worry about discrimination relative to straight/heterosexual students (mean = -1.39). Among sexual minority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p>
    <w:p w14:paraId="599926DD" w14:textId="23C71459"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rPr>
        <w:t>As with gender identity, worries about financial burdens do not differ meaningfully by sexual orientation (Figure 10). Point estimates are close to zero for most groups and confidence intervals generally overlap with the reference line, suggesting that financial concerns about college are not strongly associated with sexual orientation.</w:t>
      </w:r>
    </w:p>
    <w:p w14:paraId="7C82FEE7" w14:textId="77777777" w:rsidR="00896CB9" w:rsidRPr="00B621E1" w:rsidRDefault="00896CB9" w:rsidP="00896CB9">
      <w:pPr>
        <w:spacing w:line="360" w:lineRule="auto"/>
        <w:rPr>
          <w:rFonts w:asciiTheme="majorHAnsi" w:hAnsiTheme="majorHAnsi" w:cstheme="majorHAnsi"/>
        </w:rPr>
      </w:pPr>
    </w:p>
    <w:p w14:paraId="2B3F998E" w14:textId="716A7244" w:rsidR="00896CB9" w:rsidRPr="00B621E1" w:rsidRDefault="00896CB9" w:rsidP="00896CB9">
      <w:pPr>
        <w:spacing w:line="360" w:lineRule="auto"/>
        <w:rPr>
          <w:rFonts w:asciiTheme="majorHAnsi" w:hAnsiTheme="majorHAnsi" w:cstheme="majorHAnsi"/>
          <w:b/>
          <w:bCs/>
        </w:rPr>
      </w:pPr>
      <w:r>
        <w:rPr>
          <w:rFonts w:asciiTheme="majorHAnsi" w:hAnsiTheme="majorHAnsi" w:cstheme="majorHAnsi"/>
          <w:b/>
          <w:bCs/>
        </w:rPr>
        <w:t>Figure 8</w:t>
      </w:r>
    </w:p>
    <w:p w14:paraId="6A60C209" w14:textId="42647EFE" w:rsidR="00896CB9" w:rsidRPr="00953074" w:rsidRDefault="00896CB9" w:rsidP="00953074">
      <w:pPr>
        <w:spacing w:line="360" w:lineRule="auto"/>
        <w:rPr>
          <w:rFonts w:asciiTheme="majorHAnsi" w:hAnsiTheme="majorHAnsi" w:cstheme="majorHAnsi"/>
          <w:i/>
          <w:iCs/>
        </w:rPr>
      </w:pPr>
      <w:r w:rsidRPr="00DA6246">
        <w:rPr>
          <w:rFonts w:asciiTheme="majorHAnsi" w:hAnsiTheme="majorHAnsi" w:cstheme="majorHAnsi"/>
          <w:i/>
          <w:iCs/>
        </w:rPr>
        <w:t>Regression of General College Worries on Sexual Orientation</w:t>
      </w:r>
    </w:p>
    <w:p w14:paraId="56B54C34" w14:textId="77777777" w:rsidR="00871AA2" w:rsidRPr="00B621E1" w:rsidRDefault="00871AA2" w:rsidP="00871AA2">
      <w:pPr>
        <w:spacing w:line="360" w:lineRule="auto"/>
        <w:ind w:firstLine="720"/>
        <w:rPr>
          <w:rFonts w:asciiTheme="majorHAnsi" w:hAnsiTheme="majorHAnsi" w:cstheme="majorHAnsi"/>
        </w:rPr>
      </w:pPr>
    </w:p>
    <w:p w14:paraId="64609EC1" w14:textId="77777777" w:rsidR="00871AA2" w:rsidRPr="00B621E1" w:rsidRDefault="00871AA2" w:rsidP="00953074">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69AAF15D" wp14:editId="30A430C8">
            <wp:extent cx="5033099" cy="3657600"/>
            <wp:effectExtent l="0" t="0" r="0" b="0"/>
            <wp:docPr id="1107634215" name="Picture 7" descr="A graph with blue and yellow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  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6AA295" w14:textId="405076C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lastRenderedPageBreak/>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BBAF437" w14:textId="77777777" w:rsidR="00871AA2" w:rsidRPr="00B621E1" w:rsidRDefault="00871AA2" w:rsidP="000322E6">
      <w:pPr>
        <w:spacing w:line="360" w:lineRule="auto"/>
        <w:rPr>
          <w:rFonts w:asciiTheme="majorHAnsi" w:hAnsiTheme="majorHAnsi" w:cstheme="majorHAnsi"/>
        </w:rPr>
      </w:pPr>
    </w:p>
    <w:p w14:paraId="3B1A2076" w14:textId="14628911" w:rsidR="000322E6" w:rsidRPr="00B621E1" w:rsidRDefault="000322E6" w:rsidP="000322E6">
      <w:pPr>
        <w:spacing w:line="360" w:lineRule="auto"/>
        <w:rPr>
          <w:rFonts w:asciiTheme="majorHAnsi" w:hAnsiTheme="majorHAnsi" w:cstheme="majorHAnsi"/>
          <w:b/>
          <w:bCs/>
        </w:rPr>
      </w:pPr>
      <w:r>
        <w:rPr>
          <w:rFonts w:asciiTheme="majorHAnsi" w:hAnsiTheme="majorHAnsi" w:cstheme="majorHAnsi"/>
          <w:b/>
          <w:bCs/>
        </w:rPr>
        <w:t>Figure 9</w:t>
      </w:r>
    </w:p>
    <w:p w14:paraId="14E2D760" w14:textId="1E0E13E0" w:rsidR="000322E6" w:rsidRPr="00953074" w:rsidRDefault="000322E6" w:rsidP="00953074">
      <w:pPr>
        <w:spacing w:line="360" w:lineRule="auto"/>
        <w:rPr>
          <w:rFonts w:asciiTheme="majorHAnsi" w:hAnsiTheme="majorHAnsi" w:cstheme="majorHAnsi"/>
          <w:i/>
          <w:iCs/>
        </w:rPr>
      </w:pPr>
      <w:r w:rsidRPr="00DA6246">
        <w:rPr>
          <w:rFonts w:asciiTheme="majorHAnsi" w:hAnsiTheme="majorHAnsi" w:cstheme="majorHAnsi"/>
          <w:i/>
          <w:iCs/>
        </w:rPr>
        <w:t>Regression of College Worries about Discrimination on Sexual Orientation</w:t>
      </w:r>
    </w:p>
    <w:p w14:paraId="5CDA6F54" w14:textId="77777777"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188938AA" wp14:editId="2E3E8C96">
            <wp:extent cx="5033099" cy="3657600"/>
            <wp:effectExtent l="0" t="0" r="0" b="0"/>
            <wp:docPr id="170835997" name="Picture 8"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  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80C2E8" w14:textId="7777777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1461DB1" w14:textId="77777777" w:rsidR="000D563E" w:rsidRPr="00B621E1" w:rsidRDefault="000D563E" w:rsidP="000D563E">
      <w:pPr>
        <w:spacing w:line="360" w:lineRule="auto"/>
        <w:rPr>
          <w:rFonts w:asciiTheme="majorHAnsi" w:hAnsiTheme="majorHAnsi" w:cstheme="majorHAnsi"/>
          <w:b/>
          <w:bCs/>
        </w:rPr>
      </w:pPr>
    </w:p>
    <w:p w14:paraId="74F741AD" w14:textId="77777777" w:rsidR="000D563E" w:rsidRPr="00B621E1" w:rsidRDefault="000D563E" w:rsidP="000D563E">
      <w:pPr>
        <w:spacing w:line="360" w:lineRule="auto"/>
        <w:rPr>
          <w:rFonts w:asciiTheme="majorHAnsi" w:hAnsiTheme="majorHAnsi" w:cstheme="majorHAnsi"/>
          <w:b/>
          <w:bCs/>
        </w:rPr>
      </w:pPr>
    </w:p>
    <w:p w14:paraId="1D46C014" w14:textId="77777777" w:rsidR="000D563E" w:rsidRPr="00B621E1" w:rsidRDefault="000D563E" w:rsidP="000D563E">
      <w:pPr>
        <w:spacing w:line="360" w:lineRule="auto"/>
        <w:rPr>
          <w:rFonts w:asciiTheme="majorHAnsi" w:hAnsiTheme="majorHAnsi" w:cstheme="majorHAnsi"/>
          <w:b/>
          <w:bCs/>
        </w:rPr>
      </w:pPr>
    </w:p>
    <w:p w14:paraId="3F1C7799" w14:textId="77777777" w:rsidR="000D563E" w:rsidRPr="00B621E1" w:rsidRDefault="000D563E" w:rsidP="000D563E">
      <w:pPr>
        <w:spacing w:line="360" w:lineRule="auto"/>
        <w:rPr>
          <w:rFonts w:asciiTheme="majorHAnsi" w:hAnsiTheme="majorHAnsi" w:cstheme="majorHAnsi"/>
          <w:b/>
          <w:bCs/>
        </w:rPr>
      </w:pPr>
    </w:p>
    <w:p w14:paraId="00CF2287" w14:textId="77777777" w:rsidR="000D563E" w:rsidRPr="00B621E1" w:rsidRDefault="000D563E" w:rsidP="000D563E">
      <w:pPr>
        <w:spacing w:line="360" w:lineRule="auto"/>
        <w:rPr>
          <w:rFonts w:asciiTheme="majorHAnsi" w:hAnsiTheme="majorHAnsi" w:cstheme="majorHAnsi"/>
          <w:b/>
          <w:bCs/>
        </w:rPr>
      </w:pPr>
    </w:p>
    <w:p w14:paraId="3091748A" w14:textId="77777777" w:rsidR="000D563E" w:rsidRPr="00B621E1" w:rsidRDefault="000D563E" w:rsidP="000D563E">
      <w:pPr>
        <w:spacing w:line="360" w:lineRule="auto"/>
        <w:rPr>
          <w:rFonts w:asciiTheme="majorHAnsi" w:hAnsiTheme="majorHAnsi" w:cstheme="majorHAnsi"/>
          <w:b/>
          <w:bCs/>
        </w:rPr>
      </w:pPr>
    </w:p>
    <w:p w14:paraId="1E6C188B" w14:textId="77777777" w:rsidR="000D563E" w:rsidRPr="00B621E1" w:rsidRDefault="000D563E" w:rsidP="000D563E">
      <w:pPr>
        <w:spacing w:line="360" w:lineRule="auto"/>
        <w:rPr>
          <w:rFonts w:asciiTheme="majorHAnsi" w:hAnsiTheme="majorHAnsi" w:cstheme="majorHAnsi"/>
          <w:b/>
          <w:bCs/>
        </w:rPr>
      </w:pPr>
    </w:p>
    <w:p w14:paraId="20C731AE" w14:textId="77777777" w:rsidR="000D563E" w:rsidRPr="00B621E1" w:rsidRDefault="000D563E" w:rsidP="000D563E">
      <w:pPr>
        <w:spacing w:line="360" w:lineRule="auto"/>
        <w:rPr>
          <w:rFonts w:asciiTheme="majorHAnsi" w:hAnsiTheme="majorHAnsi" w:cstheme="majorHAnsi"/>
          <w:b/>
          <w:bCs/>
        </w:rPr>
      </w:pPr>
    </w:p>
    <w:p w14:paraId="25B1B63A" w14:textId="5979B35B" w:rsidR="000D563E" w:rsidRPr="00B621E1" w:rsidRDefault="000D563E" w:rsidP="000D563E">
      <w:pPr>
        <w:spacing w:line="360" w:lineRule="auto"/>
        <w:rPr>
          <w:rFonts w:asciiTheme="majorHAnsi" w:hAnsiTheme="majorHAnsi" w:cstheme="majorHAnsi"/>
          <w:b/>
          <w:bCs/>
        </w:rPr>
      </w:pPr>
      <w:r>
        <w:rPr>
          <w:rFonts w:asciiTheme="majorHAnsi" w:hAnsiTheme="majorHAnsi" w:cstheme="majorHAnsi"/>
          <w:b/>
          <w:bCs/>
        </w:rPr>
        <w:lastRenderedPageBreak/>
        <w:t>Figure 10</w:t>
      </w:r>
    </w:p>
    <w:p w14:paraId="64FE7472" w14:textId="6A2380DC" w:rsidR="00871AA2" w:rsidRPr="00D5066E" w:rsidRDefault="000D563E" w:rsidP="00D5066E">
      <w:pPr>
        <w:spacing w:line="360" w:lineRule="auto"/>
        <w:rPr>
          <w:rFonts w:asciiTheme="majorHAnsi" w:hAnsiTheme="majorHAnsi" w:cstheme="majorHAnsi"/>
          <w:i/>
          <w:iCs/>
        </w:rPr>
      </w:pPr>
      <w:r w:rsidRPr="00DA6246">
        <w:rPr>
          <w:rFonts w:asciiTheme="majorHAnsi" w:hAnsiTheme="majorHAnsi" w:cstheme="majorHAnsi"/>
          <w:i/>
          <w:iCs/>
        </w:rPr>
        <w:t>Regression of College about Financial Burdens on Sexual Orientation</w:t>
      </w:r>
    </w:p>
    <w:p w14:paraId="7FD479CF" w14:textId="54F20D8B" w:rsidR="00871AA2" w:rsidRPr="00B621E1" w:rsidRDefault="00871AA2" w:rsidP="00D5066E">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5224DA5A" wp14:editId="18952F26">
            <wp:extent cx="5033099" cy="3657600"/>
            <wp:effectExtent l="0" t="0" r="0" b="0"/>
            <wp:docPr id="985779706" name="Picture 9"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CF4E8AA" w14:textId="04E2E052" w:rsidR="00871AA2" w:rsidRPr="00D5066E" w:rsidRDefault="000322E6" w:rsidP="00D5066E">
      <w:pPr>
        <w:rPr>
          <w:rFonts w:asciiTheme="majorHAnsi" w:hAnsiTheme="majorHAnsi" w:cstheme="majorHAnsi"/>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61BE3B6B" w14:textId="77777777" w:rsidR="00871AA2" w:rsidRPr="00D5066E" w:rsidRDefault="00871AA2" w:rsidP="00D5066E">
      <w:pPr>
        <w:rPr>
          <w:rFonts w:asciiTheme="majorHAnsi" w:hAnsiTheme="majorHAnsi" w:cstheme="majorHAnsi"/>
        </w:rPr>
      </w:pPr>
    </w:p>
    <w:p w14:paraId="3AB9505E" w14:textId="5CAEE2AB" w:rsidR="001751C5" w:rsidRPr="001751C5" w:rsidRDefault="001751C5" w:rsidP="001A3945">
      <w:pPr>
        <w:pStyle w:val="Heading1"/>
        <w:spacing w:line="360" w:lineRule="auto"/>
        <w:jc w:val="left"/>
        <w:rPr>
          <w:rFonts w:asciiTheme="majorHAnsi" w:hAnsiTheme="majorHAnsi" w:cstheme="majorHAnsi"/>
          <w:b/>
          <w:bCs/>
          <w:sz w:val="24"/>
          <w:szCs w:val="28"/>
        </w:rPr>
      </w:pPr>
      <w:r>
        <w:rPr>
          <w:rFonts w:asciiTheme="majorHAnsi" w:hAnsiTheme="majorHAnsi" w:cstheme="majorHAnsi"/>
          <w:b/>
          <w:bCs/>
          <w:sz w:val="24"/>
          <w:szCs w:val="28"/>
        </w:rPr>
        <w:t>Bullying as a Potential Mediator of College Worries</w:t>
      </w:r>
    </w:p>
    <w:p w14:paraId="0B90066B" w14:textId="3FE4625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To investigate whether bullying experiences help explain the observed differences in college worries, we estimated additional models that control for the frequency of bullying or harassment in the past year, alongside demographic controls and the high school experience index (results are presented in Appendix K).</w:t>
      </w:r>
    </w:p>
    <w:p w14:paraId="1B626518" w14:textId="6FA09F9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For general worries by gender identity, controlling for bullying modestly attenuates the coefficients but does not substantively change the pattern of results (Appendix Figure K1). For example, the coefficient for nonbinary students decreases from 1.64 to 1.49, and for gender diverse/questioning students from 1.81 to 1.62, but all trans and gender expansive categories remain significantly higher than cisgender men. The bullying coefficients themselves are </w:t>
      </w:r>
      <w:r>
        <w:rPr>
          <w:rFonts w:asciiTheme="majorHAnsi" w:hAnsiTheme="majorHAnsi" w:cstheme="majorHAnsi"/>
        </w:rPr>
        <w:lastRenderedPageBreak/>
        <w:t>positive and significant, indicating that students who experienced more frequent bullying report higher general worries about college, though this association does not fully account for the gender identity differences. A similar pattern holds by sexual orientation (Appendix Figure K2): all non-heterosexual groups continue to report significantly higher general worries after controlling for bullying, with only modest attenuation of the coefficients.</w:t>
      </w:r>
    </w:p>
    <w:p w14:paraId="5A903F0B" w14:textId="0C30F176"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For worries about discrimination, the results are even more striking. After controlling for bullying, the coefficients for gender identity remain large and highly significant (Appendix Figure K3). Transgender men maintain the highest level of worry about discrimination relative to cisgender men (b = 1.48), followed by transgender women (b = 1.22), nonbinary students (b = 0.97), and gender diverse/questioning students (b = 0.73). The persistence of these large coefficients after controlling for bullying suggests that worry about discrimination is not simply a reflection of past bullying experiences but may reflect broader anticipation of discrimination in the college environment. By sexual orientation (Appendix Figure K4), all non-heterosexual groups likewise maintain significantly elevated worries about discrimination after controlling for bullying, with other/queer/questioning students (b = 0.71) and asexual/aromantic/demisexual students (b = 0.62) reporting the largest differences.</w:t>
      </w:r>
    </w:p>
    <w:p w14:paraId="5D6FB7B2" w14:textId="3C2EDD83"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Consistent with the earlier findings, worries about financial burdens remain unrelated to either gender identity or sexual orientation after controlling for bullying (Appendix Figures K5 and K6). The bullying coefficients themselves are small and largely non-significant in the financial burden models, confirming that financial concerns about college operate independently of both identity-based differences and bullying experiences.</w:t>
      </w:r>
    </w:p>
    <w:p w14:paraId="3725D88B" w14:textId="77777777" w:rsidR="001751C5" w:rsidRDefault="001751C5" w:rsidP="004F595A">
      <w:pPr>
        <w:pStyle w:val="Heading1"/>
        <w:spacing w:before="0" w:after="0" w:line="360" w:lineRule="auto"/>
        <w:jc w:val="left"/>
        <w:rPr>
          <w:rFonts w:asciiTheme="majorHAnsi" w:hAnsiTheme="majorHAnsi" w:cstheme="majorHAnsi"/>
          <w:b/>
          <w:bCs/>
          <w:sz w:val="24"/>
          <w:szCs w:val="28"/>
        </w:rPr>
      </w:pPr>
    </w:p>
    <w:p w14:paraId="53043AF1" w14:textId="21E707E0" w:rsidR="004F595A" w:rsidRPr="00D5066E" w:rsidRDefault="008849FD" w:rsidP="004F595A">
      <w:pPr>
        <w:pStyle w:val="Heading1"/>
        <w:spacing w:before="0" w:after="0" w:line="360" w:lineRule="auto"/>
        <w:jc w:val="left"/>
        <w:rPr>
          <w:rFonts w:asciiTheme="majorHAnsi" w:hAnsiTheme="majorHAnsi" w:cstheme="majorHAnsi"/>
          <w:b/>
          <w:bCs/>
          <w:sz w:val="28"/>
          <w:szCs w:val="28"/>
        </w:rPr>
      </w:pPr>
      <w:r>
        <w:rPr>
          <w:rFonts w:asciiTheme="majorHAnsi" w:hAnsiTheme="majorHAnsi" w:cstheme="majorHAnsi"/>
          <w:b/>
          <w:bCs/>
          <w:sz w:val="24"/>
          <w:szCs w:val="28"/>
        </w:rPr>
        <w:t xml:space="preserve">Post-Secondary Education Plans </w:t>
      </w:r>
    </w:p>
    <w:p w14:paraId="6455FFB9" w14:textId="229EE8EC" w:rsidR="004F595A" w:rsidRPr="006159A0" w:rsidRDefault="004F595A" w:rsidP="004F595A">
      <w:pPr>
        <w:spacing w:line="360" w:lineRule="auto"/>
        <w:ind w:firstLine="720"/>
        <w:rPr>
          <w:rFonts w:asciiTheme="majorHAnsi" w:hAnsiTheme="majorHAnsi" w:cstheme="majorHAnsi"/>
        </w:rPr>
      </w:pPr>
      <w:r>
        <w:rPr>
          <w:rFonts w:asciiTheme="majorHAnsi" w:hAnsiTheme="majorHAnsi" w:cstheme="majorHAnsi"/>
        </w:rPr>
        <w:t xml:space="preserve">We first explore patterns in academic plans across gender identity, including college program type, intended field of study, and the highest degree students planned to pursue. Findings indicate that most students planned to enroll in a four-year college compared to a two-year college across gender identity (Figure 11); however, more transgender and nonbinary students planned to enroll in four-year colleges compared to their cisgender peers. Conversely, </w:t>
      </w:r>
      <w:r>
        <w:rPr>
          <w:rFonts w:asciiTheme="majorHAnsi" w:hAnsiTheme="majorHAnsi" w:cstheme="majorHAnsi"/>
        </w:rPr>
        <w:lastRenderedPageBreak/>
        <w:t>students that identified as gender diverse or questioning intended to enroll in a two-year or four-year college at nearly similar rates (49.3% and 50.7%, respectively).</w:t>
      </w:r>
    </w:p>
    <w:p w14:paraId="524043AF" w14:textId="3FA7D335"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Figure 11</w:t>
      </w:r>
    </w:p>
    <w:p w14:paraId="0671647F" w14:textId="77777777" w:rsidR="004F595A" w:rsidRPr="00B621E1" w:rsidRDefault="004F595A" w:rsidP="004F595A">
      <w:pPr>
        <w:spacing w:line="360" w:lineRule="auto"/>
        <w:rPr>
          <w:rFonts w:asciiTheme="majorHAnsi" w:hAnsiTheme="majorHAnsi" w:cstheme="majorHAnsi"/>
          <w:i/>
          <w:iCs/>
        </w:rPr>
      </w:pPr>
      <w:commentRangeStart w:id="69"/>
      <w:r>
        <w:rPr>
          <w:rFonts w:asciiTheme="majorHAnsi" w:hAnsiTheme="majorHAnsi" w:cstheme="majorHAnsi"/>
          <w:i/>
          <w:iCs/>
        </w:rPr>
        <w:t>Plans for Two- or Four- Year College Enrollment Among 12</w:t>
      </w:r>
      <w:r>
        <w:rPr>
          <w:rFonts w:asciiTheme="majorHAnsi" w:hAnsiTheme="majorHAnsi" w:cstheme="majorHAnsi"/>
          <w:i/>
          <w:iCs/>
          <w:vertAlign w:val="superscript"/>
        </w:rPr>
        <w:t>th</w:t>
      </w:r>
      <w:r>
        <w:rPr>
          <w:rFonts w:asciiTheme="majorHAnsi" w:hAnsiTheme="majorHAnsi" w:cstheme="majorHAnsi"/>
          <w:i/>
          <w:iCs/>
        </w:rPr>
        <w:t xml:space="preserve"> Grade Participants (n = 7,522) by Gender</w:t>
      </w:r>
      <w:commentRangeEnd w:id="69"/>
      <w:r>
        <w:rPr>
          <w:rStyle w:val="CommentReference"/>
          <w:rFonts w:asciiTheme="majorHAnsi" w:hAnsiTheme="majorHAnsi" w:cstheme="majorHAnsi"/>
          <w:noProof/>
          <w:sz w:val="24"/>
          <w:szCs w:val="24"/>
        </w:rPr>
        <w:commentReference w:id="69"/>
      </w:r>
      <w:r>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  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47292065" w14:textId="77777777" w:rsidR="004F595A" w:rsidRPr="00B621E1" w:rsidRDefault="004F595A" w:rsidP="004F595A">
      <w:pPr>
        <w:spacing w:after="240"/>
        <w:rPr>
          <w:rFonts w:asciiTheme="majorHAnsi" w:hAnsiTheme="majorHAnsi" w:cstheme="majorHAnsi"/>
          <w:sz w:val="20"/>
          <w:szCs w:val="20"/>
        </w:rPr>
      </w:pPr>
    </w:p>
    <w:p w14:paraId="0FCCAEBE" w14:textId="3650DF39" w:rsidR="004F595A" w:rsidRPr="00B621E1" w:rsidRDefault="004F595A" w:rsidP="004F595A">
      <w:pPr>
        <w:spacing w:line="360" w:lineRule="auto"/>
        <w:ind w:firstLine="720"/>
        <w:rPr>
          <w:rFonts w:asciiTheme="majorHAnsi" w:hAnsiTheme="majorHAnsi" w:cstheme="majorHAnsi"/>
        </w:rPr>
        <w:sectPr w:rsidR="004F595A" w:rsidRPr="00B621E1" w:rsidSect="001112B8">
          <w:headerReference w:type="even" r:id="rId23"/>
          <w:headerReference w:type="default" r:id="rId24"/>
          <w:footerReference w:type="default" r:id="rId25"/>
          <w:pgSz w:w="12240" w:h="15840"/>
          <w:pgMar w:top="1440" w:right="1440" w:bottom="1440" w:left="1440" w:header="720" w:footer="720" w:gutter="0"/>
          <w:cols w:space="720"/>
          <w:docGrid w:linePitch="326"/>
        </w:sectPr>
      </w:pPr>
      <w:r>
        <w:rPr>
          <w:rFonts w:asciiTheme="majorHAnsi" w:hAnsiTheme="majorHAnsi" w:cstheme="majorHAnsi"/>
        </w:rPr>
        <w:t xml:space="preserve">Differences also emerged in </w:t>
      </w:r>
      <w:commentRangeStart w:id="70"/>
      <w:commentRangeStart w:id="71"/>
      <w:r>
        <w:rPr>
          <w:rFonts w:asciiTheme="majorHAnsi" w:hAnsiTheme="majorHAnsi" w:cstheme="majorHAnsi"/>
        </w:rPr>
        <w:t>students’ intended field of study (Table 5).</w:t>
      </w:r>
      <w:commentRangeEnd w:id="70"/>
      <w:r>
        <w:rPr>
          <w:rStyle w:val="CommentReference"/>
          <w:rFonts w:asciiTheme="majorHAnsi" w:hAnsiTheme="majorHAnsi" w:cstheme="majorHAnsi"/>
          <w:sz w:val="24"/>
          <w:szCs w:val="24"/>
        </w:rPr>
        <w:commentReference w:id="70"/>
      </w:r>
      <w:commentRangeEnd w:id="71"/>
      <w:r>
        <w:rPr>
          <w:rStyle w:val="CommentReference"/>
          <w:rFonts w:asciiTheme="majorHAnsi" w:hAnsiTheme="majorHAnsi" w:cstheme="majorHAnsi"/>
          <w:sz w:val="24"/>
          <w:szCs w:val="24"/>
        </w:rPr>
        <w:commentReference w:id="71"/>
      </w:r>
      <w:r>
        <w:rPr>
          <w:rFonts w:asciiTheme="majorHAnsi" w:hAnsiTheme="majorHAnsi" w:cstheme="majorHAnsi"/>
        </w:rPr>
        <w:t xml:space="preserve">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72"/>
      <w:r>
        <w:rPr>
          <w:rFonts w:asciiTheme="majorHAnsi" w:hAnsiTheme="majorHAnsi" w:cstheme="majorHAnsi"/>
        </w:rPr>
        <w:t>31</w:t>
      </w:r>
      <w:commentRangeEnd w:id="72"/>
      <w:r>
        <w:rPr>
          <w:rStyle w:val="CommentReference"/>
          <w:rFonts w:asciiTheme="majorHAnsi" w:hAnsiTheme="majorHAnsi" w:cstheme="majorHAnsi"/>
          <w:sz w:val="24"/>
          <w:szCs w:val="24"/>
        </w:rPr>
        <w:commentReference w:id="72"/>
      </w:r>
      <w:r>
        <w:rPr>
          <w:rFonts w:asciiTheme="majorHAnsi" w:hAnsiTheme="majorHAnsi" w:cstheme="majorHAnsi"/>
        </w:rPr>
        <w:t>.0%), transgender men (28.8%), nonbinary students (25.5%), and transgender women (25.0%) all indicated this field at much higher rates than the sample overall (11.4%).</w:t>
      </w:r>
    </w:p>
    <w:p w14:paraId="3A585FA7" w14:textId="75C98335" w:rsidR="004F595A" w:rsidRPr="00B621E1" w:rsidRDefault="004F595A" w:rsidP="004F595A">
      <w:pPr>
        <w:widowControl w:val="0"/>
        <w:spacing w:line="360" w:lineRule="auto"/>
        <w:rPr>
          <w:rFonts w:asciiTheme="majorHAnsi" w:hAnsiTheme="majorHAnsi" w:cstheme="majorHAnsi"/>
          <w:b/>
          <w:bCs/>
        </w:rPr>
      </w:pPr>
      <w:r>
        <w:rPr>
          <w:rFonts w:asciiTheme="majorHAnsi" w:hAnsiTheme="majorHAnsi" w:cstheme="majorHAnsi"/>
          <w:b/>
          <w:bCs/>
        </w:rPr>
        <w:lastRenderedPageBreak/>
        <w:t>Table 5</w:t>
      </w:r>
    </w:p>
    <w:p w14:paraId="6B5A5F15" w14:textId="77777777" w:rsidR="004F595A" w:rsidRPr="00B621E1" w:rsidRDefault="004F595A" w:rsidP="004F595A">
      <w:pPr>
        <w:widowControl w:val="0"/>
        <w:spacing w:line="360" w:lineRule="auto"/>
        <w:rPr>
          <w:rFonts w:asciiTheme="majorHAnsi" w:hAnsiTheme="majorHAnsi" w:cstheme="majorHAnsi"/>
        </w:rPr>
      </w:pPr>
      <w:commentRangeStart w:id="73"/>
      <w:r>
        <w:rPr>
          <w:rFonts w:asciiTheme="majorHAnsi" w:hAnsiTheme="majorHAnsi" w:cstheme="majorHAnsi"/>
          <w:i/>
          <w:iCs/>
        </w:rPr>
        <w:t>Intended Field of Study by Gender Identity</w:t>
      </w:r>
      <w:commentRangeEnd w:id="73"/>
      <w:r>
        <w:rPr>
          <w:rStyle w:val="CommentReference"/>
          <w:rFonts w:asciiTheme="majorHAnsi" w:hAnsiTheme="majorHAnsi" w:cstheme="majorHAnsi"/>
          <w:i/>
          <w:iCs/>
          <w:sz w:val="24"/>
          <w:szCs w:val="24"/>
        </w:rPr>
        <w:commentReference w:id="73"/>
      </w:r>
      <w:r>
        <w:rPr>
          <w:rFonts w:asciiTheme="majorHAnsi" w:hAnsiTheme="majorHAnsi" w:cstheme="majorHAnsi"/>
          <w:i/>
          <w:iCs/>
        </w:rPr>
        <w:t xml:space="preserve"> (n = 7,499)</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650755C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Note</w:t>
      </w:r>
      <w:r>
        <w:rPr>
          <w:rFonts w:asciiTheme="majorHAnsi" w:hAnsiTheme="majorHAnsi" w:cstheme="majorHAnsi"/>
          <w:sz w:val="20"/>
          <w:szCs w:val="20"/>
        </w:rPr>
        <w:t>. Each cell represents the row percentage.</w:t>
      </w:r>
    </w:p>
    <w:p w14:paraId="705D6D30" w14:textId="6C5FC51C"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commentRangeStart w:id="74"/>
      <w:commentRangeStart w:id="75"/>
      <w:r w:rsidRPr="00DA6246">
        <w:rPr>
          <w:rFonts w:asciiTheme="majorHAnsi" w:hAnsiTheme="majorHAnsi" w:cstheme="majorHAnsi"/>
        </w:rPr>
        <w:lastRenderedPageBreak/>
        <w:t xml:space="preserve">Students also indicated the highest degree they planned to complete (Figure 12). Across all respondents, over half (54.9%) planned to earn an advanced degree. Additionally, we find that more trans and gender expansive students indicated plans to earn a master’s or doctorate at higher rates compared to cisgender students. Among transgender women, of the 55.0% that planned to complete an advanced degree, </w:t>
      </w:r>
      <w:commentRangeStart w:id="76"/>
      <w:commentRangeStart w:id="77"/>
      <w:r w:rsidRPr="00DA6246">
        <w:rPr>
          <w:rFonts w:asciiTheme="majorHAnsi" w:hAnsiTheme="majorHAnsi" w:cstheme="majorHAnsi"/>
        </w:rPr>
        <w:t>72.7%</w:t>
      </w:r>
      <w:commentRangeEnd w:id="76"/>
      <w:r w:rsidRPr="00DA6246">
        <w:rPr>
          <w:rStyle w:val="CommentReference"/>
          <w:rFonts w:asciiTheme="majorHAnsi" w:hAnsiTheme="majorHAnsi" w:cstheme="majorHAnsi"/>
          <w:sz w:val="24"/>
          <w:szCs w:val="24"/>
        </w:rPr>
        <w:commentReference w:id="76"/>
      </w:r>
      <w:commentRangeEnd w:id="77"/>
      <w:r w:rsidRPr="00DA6246">
        <w:rPr>
          <w:rStyle w:val="CommentReference"/>
          <w:rFonts w:asciiTheme="majorHAnsi" w:hAnsiTheme="majorHAnsi" w:cstheme="majorHAnsi"/>
          <w:sz w:val="24"/>
          <w:szCs w:val="24"/>
        </w:rPr>
        <w:commentReference w:id="77"/>
      </w:r>
      <w:r w:rsidRPr="00DA6246">
        <w:rPr>
          <w:rFonts w:asciiTheme="majorHAnsi" w:hAnsiTheme="majorHAnsi" w:cstheme="majorHAnsi"/>
        </w:rPr>
        <w:t xml:space="preserve"> intended to earn a master’s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74"/>
      <w:r w:rsidRPr="00DA6246">
        <w:rPr>
          <w:rStyle w:val="CommentReference"/>
          <w:rFonts w:asciiTheme="majorHAnsi" w:hAnsiTheme="majorHAnsi" w:cstheme="majorHAnsi"/>
          <w:sz w:val="24"/>
          <w:szCs w:val="24"/>
        </w:rPr>
        <w:commentReference w:id="74"/>
      </w:r>
      <w:commentRangeEnd w:id="75"/>
      <w:r w:rsidRPr="00DA6246">
        <w:rPr>
          <w:rStyle w:val="CommentReference"/>
          <w:rFonts w:asciiTheme="majorHAnsi" w:hAnsiTheme="majorHAnsi" w:cstheme="majorHAnsi"/>
          <w:sz w:val="24"/>
          <w:szCs w:val="24"/>
        </w:rPr>
        <w:commentReference w:id="75"/>
      </w:r>
      <w:r w:rsidRPr="00DA6246">
        <w:rPr>
          <w:rFonts w:asciiTheme="majorHAnsi" w:hAnsiTheme="majorHAnsi" w:cstheme="majorHAnsi"/>
        </w:rPr>
        <w:t>.</w:t>
      </w:r>
      <w:r>
        <w:rPr>
          <w:rFonts w:asciiTheme="majorHAnsi" w:hAnsiTheme="majorHAnsi" w:cstheme="majorHAnsi"/>
        </w:rPr>
        <w:t xml:space="preserve"> </w:t>
      </w:r>
    </w:p>
    <w:p w14:paraId="4B32BA9B" w14:textId="304C106C"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lastRenderedPageBreak/>
        <w:t>Figure 12</w:t>
      </w:r>
    </w:p>
    <w:p w14:paraId="742DA2FF" w14:textId="45BF5F36" w:rsidR="004F595A" w:rsidRPr="00AB4825" w:rsidRDefault="004F595A" w:rsidP="004F595A">
      <w:pPr>
        <w:spacing w:line="360" w:lineRule="auto"/>
        <w:rPr>
          <w:rFonts w:asciiTheme="majorHAnsi" w:hAnsiTheme="majorHAnsi" w:cstheme="majorHAnsi"/>
        </w:rPr>
      </w:pPr>
      <w:r w:rsidRPr="00DA6246">
        <w:rPr>
          <w:rFonts w:asciiTheme="majorHAnsi" w:hAnsiTheme="majorHAnsi" w:cstheme="majorHAnsi"/>
          <w:i/>
          <w:iCs/>
        </w:rPr>
        <w:t>Plans for Degree Completion (n = 7,497)</w:t>
      </w:r>
      <w:r w:rsidRPr="00DA6246">
        <w:rPr>
          <w:rFonts w:asciiTheme="majorHAnsi" w:hAnsiTheme="majorHAnsi" w:cstheme="majorHAnsi"/>
          <w:i/>
          <w:iCs/>
          <w:noProof/>
        </w:rPr>
        <w:drawing>
          <wp:inline distT="0" distB="0" distL="0" distR="0" wp14:anchorId="69A042E2" wp14:editId="4AED9C62">
            <wp:extent cx="8061277" cy="3441469"/>
            <wp:effectExtent l="0" t="0" r="3810" b="635"/>
            <wp:docPr id="739822093" name="Picture 4" descr="A graph with green and yellow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  AI-generated content may be incorrect."/>
                    <pic:cNvPicPr/>
                  </pic:nvPicPr>
                  <pic:blipFill rotWithShape="1">
                    <a:blip r:embed="rId26" cstate="print">
                      <a:extLst>
                        <a:ext uri="{28A0092B-C50C-407E-A947-70E740481C1C}">
                          <a14:useLocalDpi xmlns:a14="http://schemas.microsoft.com/office/drawing/2010/main" val="0"/>
                        </a:ext>
                      </a:extLst>
                    </a:blip>
                    <a:srcRect l="11051" t="4879" r="8782" b="225"/>
                    <a:stretch>
                      <a:fillRect/>
                    </a:stretch>
                  </pic:blipFill>
                  <pic:spPr bwMode="auto">
                    <a:xfrm>
                      <a:off x="0" y="0"/>
                      <a:ext cx="8139482" cy="347485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273F3A64"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 xml:space="preserve"> </w:t>
      </w:r>
    </w:p>
    <w:p w14:paraId="34DC8EB8" w14:textId="6AF44ED0"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lastRenderedPageBreak/>
        <w:t>To examine whether descriptive differences in postsecondary plans persist after accounting for student demographics, we estimated logit models for intent to attend a four-year college and ordered logit models for highest degree aspirations, separately by gender identity and sexual orientation. We report odds ratios, where values greater than one indicate higher odds relative to the reference category. See Appendix H for regression tables with raw coefficient estimates. We also report the predicted probabilities from the ordered logit models as stacked bar charts evaluated at sample means in Appendix I.</w:t>
      </w:r>
    </w:p>
    <w:p w14:paraId="41FF3850" w14:textId="40F54F94"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four-year enrollment by gender identity (Table 6),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odds ratio for gender diverse/questioning students was less than one in both specifications, consistent with the descriptive finding that this group was roughly equally split between two- and four-year enrollment plans. For the smallest gender identity subgroups — transgender men (n = 59) and transgender women (n = 20) — the odds ratios were greater than one, but estimates are imprecise due to limited sample sizes; therefore, we refrain from drawing conclusions about four-year enrollment for these categories based on the regression estimates alone and instead direct readers to the descriptive results reported in Figure 11.</w:t>
      </w:r>
    </w:p>
    <w:p w14:paraId="2A1E554C" w14:textId="0ECAAE88"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highest degree aspirations by gender identity (Table 8), we find that cisgender women had 1.63 times the odds of aspiring to a higher degree category compared to cisgender men in the unconditional model (OR = 1.63, 95% CI [1.49, 1.78]), increasing slightly to 1.73 with demographic controls. Similarly, nonbinary students had significantly higher degree aspirations (OR = 1.80, 95% CI [1.43, 2.26]), and transgender men also had significantly higher odds (OR = 1.74, 95% CI [1.10, 2.75]). Gender diverse/questioning students had elevated odds that were statistically significant in the unconditional model (OR = 1.58, 95% CI [1.02, 2.45]), but attenuated to marginal significance with controls. The odds ratio for transgender women was not statistically significant, likely due to the small sample size.</w:t>
      </w:r>
    </w:p>
    <w:p w14:paraId="2CEE0BD0" w14:textId="157ED6D4" w:rsidR="002B2BA4" w:rsidRDefault="008849FD" w:rsidP="00760288">
      <w:pPr>
        <w:spacing w:line="360" w:lineRule="auto"/>
        <w:ind w:firstLine="720"/>
        <w:rPr>
          <w:rFonts w:asciiTheme="majorHAnsi" w:hAnsiTheme="majorHAnsi" w:cstheme="majorHAnsi"/>
          <w:b/>
          <w:bCs/>
        </w:rPr>
      </w:pPr>
      <w:r>
        <w:rPr>
          <w:rFonts w:asciiTheme="majorHAnsi" w:hAnsiTheme="majorHAnsi" w:cstheme="majorHAnsi"/>
        </w:rPr>
        <w:t xml:space="preserve">Results by sexual orientation were broadly consistent. For four-year enrollment (Table 7), gay or lesbian students and bisexual/pansexual/omnisexual students were significantly more </w:t>
      </w:r>
      <w:r>
        <w:rPr>
          <w:rFonts w:asciiTheme="majorHAnsi" w:hAnsiTheme="majorHAnsi" w:cstheme="majorHAnsi"/>
        </w:rPr>
        <w:lastRenderedPageBreak/>
        <w:t>likely to plan to attend a four-year college, and these differences persisted after controlling for demographics. The odds ratios for asexual/aromantic/demisexual and other/queer/questioning students were greater than one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13143A78" w14:textId="77777777" w:rsidR="002B2BA4" w:rsidRPr="00AB4825" w:rsidRDefault="002B2BA4" w:rsidP="00AB4825">
      <w:pPr>
        <w:spacing w:line="360" w:lineRule="auto"/>
        <w:ind w:firstLine="720"/>
        <w:rPr>
          <w:rFonts w:asciiTheme="majorHAnsi" w:hAnsiTheme="majorHAnsi" w:cstheme="majorHAnsi"/>
        </w:rPr>
      </w:pPr>
    </w:p>
    <w:p w14:paraId="28CEE83A" w14:textId="09FED2CF" w:rsidR="004F595A" w:rsidRPr="00B621E1" w:rsidRDefault="004F595A" w:rsidP="002B2BA4">
      <w:pPr>
        <w:spacing w:line="360" w:lineRule="auto"/>
        <w:rPr>
          <w:rFonts w:asciiTheme="majorHAnsi" w:hAnsiTheme="majorHAnsi" w:cstheme="majorHAnsi"/>
        </w:rPr>
      </w:pPr>
      <w:r>
        <w:rPr>
          <w:rFonts w:asciiTheme="majorHAnsi" w:hAnsiTheme="majorHAnsi" w:cstheme="majorHAnsi"/>
          <w:b/>
          <w:bCs/>
        </w:rPr>
        <w:t>Table 6</w:t>
      </w:r>
    </w:p>
    <w:p w14:paraId="24AFB431" w14:textId="3FACACC6" w:rsidR="004F595A" w:rsidRPr="00B621E1" w:rsidRDefault="00911B49" w:rsidP="004F595A">
      <w:pPr>
        <w:spacing w:line="360" w:lineRule="auto"/>
        <w:rPr>
          <w:rFonts w:asciiTheme="majorHAnsi" w:hAnsiTheme="majorHAnsi" w:cstheme="majorHAnsi"/>
          <w:i/>
          <w:iCs/>
        </w:rPr>
      </w:pPr>
      <w:r w:rsidRPr="00350E20">
        <w:rPr>
          <w:rFonts w:asciiTheme="majorHAnsi" w:eastAsia="Arial" w:hAnsiTheme="majorHAnsi" w:cstheme="majorHAnsi"/>
          <w:lang w:val="en-US"/>
        </w:rPr>
        <w:t>Logit Models: Intent to Attend 4-Year College (Odds Ratios)</w:t>
      </w:r>
      <w:r w:rsidRPr="00350E20">
        <w:rPr>
          <w:rFonts w:asciiTheme="majorHAnsi" w:hAnsiTheme="majorHAnsi" w:cstheme="majorHAnsi"/>
          <w:i/>
          <w:iCs/>
        </w:rPr>
        <w:t>, by Gender Identity</w:t>
      </w:r>
    </w:p>
    <w:p w14:paraId="61FD5218" w14:textId="5ECAF446" w:rsidR="00911B49" w:rsidRPr="00B621E1" w:rsidRDefault="00911B49" w:rsidP="00911B49">
      <w:pPr>
        <w:spacing w:line="360" w:lineRule="auto"/>
        <w:rPr>
          <w:rFonts w:asciiTheme="majorHAnsi" w:eastAsia="Arial" w:hAnsiTheme="majorHAnsi" w:cstheme="majorHAnsi"/>
          <w:lang w:val="en-US"/>
        </w:rPr>
      </w:pPr>
    </w:p>
    <w:tbl>
      <w:tblPr>
        <w:tblW w:w="0" w:type="auto"/>
        <w:jc w:val="center"/>
        <w:tblLayout w:type="fixed"/>
        <w:tblLook w:val="0000" w:firstRow="0" w:lastRow="0" w:firstColumn="0" w:lastColumn="0" w:noHBand="0" w:noVBand="0"/>
      </w:tblPr>
      <w:tblGrid>
        <w:gridCol w:w="2988"/>
        <w:gridCol w:w="2880"/>
        <w:gridCol w:w="2880"/>
      </w:tblGrid>
      <w:tr w:rsidR="00911B49" w:rsidRPr="00B621E1" w14:paraId="6A9D47BD" w14:textId="77777777" w:rsidTr="00AB4825">
        <w:trPr>
          <w:jc w:val="center"/>
        </w:trPr>
        <w:tc>
          <w:tcPr>
            <w:tcW w:w="2988" w:type="dxa"/>
            <w:tcBorders>
              <w:top w:val="single" w:sz="4" w:space="0" w:color="auto"/>
              <w:bottom w:val="single" w:sz="4" w:space="0" w:color="auto"/>
            </w:tcBorders>
            <w:tcMar>
              <w:top w:w="100" w:type="nil"/>
              <w:right w:w="100" w:type="nil"/>
            </w:tcMar>
            <w:vAlign w:val="center"/>
          </w:tcPr>
          <w:p w14:paraId="4E43562F"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top w:val="single" w:sz="4" w:space="0" w:color="auto"/>
              <w:bottom w:val="single" w:sz="4" w:space="0" w:color="auto"/>
            </w:tcBorders>
            <w:tcMar>
              <w:top w:w="100" w:type="nil"/>
              <w:right w:w="100" w:type="nil"/>
            </w:tcMar>
            <w:vAlign w:val="center"/>
          </w:tcPr>
          <w:p w14:paraId="084E1F6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w:t>
            </w:r>
          </w:p>
        </w:tc>
        <w:tc>
          <w:tcPr>
            <w:tcW w:w="2880" w:type="dxa"/>
            <w:tcBorders>
              <w:top w:val="single" w:sz="4" w:space="0" w:color="auto"/>
              <w:bottom w:val="single" w:sz="4" w:space="0" w:color="auto"/>
            </w:tcBorders>
            <w:tcMar>
              <w:top w:w="100" w:type="nil"/>
              <w:right w:w="100" w:type="nil"/>
            </w:tcMar>
            <w:vAlign w:val="center"/>
          </w:tcPr>
          <w:p w14:paraId="381722C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(2)</w:t>
            </w:r>
          </w:p>
        </w:tc>
      </w:tr>
      <w:tr w:rsidR="00911B49" w:rsidRPr="00B621E1" w14:paraId="2C9CCD6B" w14:textId="77777777" w:rsidTr="00AB4825">
        <w:trPr>
          <w:jc w:val="center"/>
        </w:trPr>
        <w:tc>
          <w:tcPr>
            <w:tcW w:w="2988" w:type="dxa"/>
            <w:tcBorders>
              <w:top w:val="single" w:sz="4" w:space="0" w:color="auto"/>
            </w:tcBorders>
            <w:tcMar>
              <w:top w:w="100" w:type="nil"/>
              <w:right w:w="100" w:type="nil"/>
            </w:tcMar>
            <w:vAlign w:val="center"/>
          </w:tcPr>
          <w:p w14:paraId="4C3E8137"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Cisgender Woman</w:t>
            </w:r>
          </w:p>
        </w:tc>
        <w:tc>
          <w:tcPr>
            <w:tcW w:w="2880" w:type="dxa"/>
            <w:tcBorders>
              <w:top w:val="single" w:sz="4" w:space="0" w:color="auto"/>
            </w:tcBorders>
            <w:tcMar>
              <w:top w:w="100" w:type="nil"/>
              <w:right w:w="100" w:type="nil"/>
            </w:tcMar>
            <w:vAlign w:val="center"/>
          </w:tcPr>
          <w:p w14:paraId="14EFF92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1.196</w:t>
            </w:r>
            <w:r>
              <w:rPr>
                <w:rFonts w:asciiTheme="majorHAnsi" w:eastAsia="Arial" w:hAnsiTheme="majorHAnsi" w:cstheme="majorHAnsi"/>
                <w:sz w:val="20"/>
                <w:szCs w:val="20"/>
                <w:vertAlign w:val="superscript"/>
                <w:lang w:val="en-US"/>
              </w:rPr>
              <w:t>***</w:t>
            </w:r>
          </w:p>
        </w:tc>
        <w:tc>
          <w:tcPr>
            <w:tcW w:w="2880" w:type="dxa"/>
            <w:tcBorders>
              <w:top w:val="single" w:sz="4" w:space="0" w:color="auto"/>
            </w:tcBorders>
            <w:tcMar>
              <w:top w:w="100" w:type="nil"/>
              <w:right w:w="100" w:type="nil"/>
            </w:tcMar>
            <w:vAlign w:val="center"/>
          </w:tcPr>
          <w:p w14:paraId="5536A67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1.282</w:t>
            </w:r>
            <w:r>
              <w:rPr>
                <w:rFonts w:asciiTheme="majorHAnsi" w:eastAsia="Arial" w:hAnsiTheme="majorHAnsi" w:cstheme="majorHAnsi"/>
                <w:sz w:val="20"/>
                <w:szCs w:val="20"/>
                <w:vertAlign w:val="superscript"/>
                <w:lang w:val="en-US"/>
              </w:rPr>
              <w:t>***</w:t>
            </w:r>
          </w:p>
        </w:tc>
      </w:tr>
      <w:tr w:rsidR="00911B49" w:rsidRPr="00B621E1" w14:paraId="19FA19B7" w14:textId="77777777" w:rsidTr="00AB4825">
        <w:trPr>
          <w:jc w:val="center"/>
        </w:trPr>
        <w:tc>
          <w:tcPr>
            <w:tcW w:w="2988" w:type="dxa"/>
            <w:tcMar>
              <w:top w:w="100" w:type="nil"/>
              <w:right w:w="100" w:type="nil"/>
            </w:tcMar>
            <w:vAlign w:val="center"/>
          </w:tcPr>
          <w:p w14:paraId="16813F77"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776C778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[1.084,1.319]</w:t>
            </w:r>
          </w:p>
        </w:tc>
        <w:tc>
          <w:tcPr>
            <w:tcW w:w="2880" w:type="dxa"/>
            <w:tcMar>
              <w:top w:w="100" w:type="nil"/>
              <w:right w:w="100" w:type="nil"/>
            </w:tcMar>
            <w:vAlign w:val="center"/>
          </w:tcPr>
          <w:p w14:paraId="1732FBFF"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[1.154,1.424]</w:t>
            </w:r>
          </w:p>
        </w:tc>
      </w:tr>
      <w:tr w:rsidR="00911B49" w:rsidRPr="00B621E1" w14:paraId="14C43554" w14:textId="77777777" w:rsidTr="00AB4825">
        <w:trPr>
          <w:jc w:val="center"/>
        </w:trPr>
        <w:tc>
          <w:tcPr>
            <w:tcW w:w="2988" w:type="dxa"/>
            <w:tcMar>
              <w:top w:w="100" w:type="nil"/>
              <w:right w:w="100" w:type="nil"/>
            </w:tcMar>
            <w:vAlign w:val="center"/>
          </w:tcPr>
          <w:p w14:paraId="2AB93E2D"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F92FCC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4F7E2C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4A81360B" w14:textId="77777777" w:rsidTr="00AB4825">
        <w:trPr>
          <w:jc w:val="center"/>
        </w:trPr>
        <w:tc>
          <w:tcPr>
            <w:tcW w:w="2988" w:type="dxa"/>
            <w:tcMar>
              <w:top w:w="100" w:type="nil"/>
              <w:right w:w="100" w:type="nil"/>
            </w:tcMar>
            <w:vAlign w:val="center"/>
          </w:tcPr>
          <w:p w14:paraId="463E981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Man</w:t>
            </w:r>
          </w:p>
        </w:tc>
        <w:tc>
          <w:tcPr>
            <w:tcW w:w="2880" w:type="dxa"/>
            <w:tcMar>
              <w:top w:w="100" w:type="nil"/>
              <w:right w:w="100" w:type="nil"/>
            </w:tcMar>
            <w:vAlign w:val="center"/>
          </w:tcPr>
          <w:p w14:paraId="6A5E0D5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1.676</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3531972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1.481</w:t>
            </w:r>
          </w:p>
        </w:tc>
      </w:tr>
      <w:tr w:rsidR="00911B49" w:rsidRPr="00B621E1" w14:paraId="66AD2BC8" w14:textId="77777777" w:rsidTr="00AB4825">
        <w:trPr>
          <w:jc w:val="center"/>
        </w:trPr>
        <w:tc>
          <w:tcPr>
            <w:tcW w:w="2988" w:type="dxa"/>
            <w:tcMar>
              <w:top w:w="100" w:type="nil"/>
              <w:right w:w="100" w:type="nil"/>
            </w:tcMar>
            <w:vAlign w:val="center"/>
          </w:tcPr>
          <w:p w14:paraId="5A0333A3"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47E0E6C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[0.958,2.933]</w:t>
            </w:r>
          </w:p>
        </w:tc>
        <w:tc>
          <w:tcPr>
            <w:tcW w:w="2880" w:type="dxa"/>
            <w:tcMar>
              <w:top w:w="100" w:type="nil"/>
              <w:right w:w="100" w:type="nil"/>
            </w:tcMar>
            <w:vAlign w:val="center"/>
          </w:tcPr>
          <w:p w14:paraId="1A02561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[0.816,2.686]</w:t>
            </w:r>
          </w:p>
        </w:tc>
      </w:tr>
      <w:tr w:rsidR="00911B49" w:rsidRPr="00B621E1" w14:paraId="36383A96" w14:textId="77777777" w:rsidTr="00AB4825">
        <w:trPr>
          <w:jc w:val="center"/>
        </w:trPr>
        <w:tc>
          <w:tcPr>
            <w:tcW w:w="2988" w:type="dxa"/>
            <w:tcMar>
              <w:top w:w="100" w:type="nil"/>
              <w:right w:w="100" w:type="nil"/>
            </w:tcMar>
            <w:vAlign w:val="center"/>
          </w:tcPr>
          <w:p w14:paraId="1C7594CA"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5D9C9E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F233F17"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213C24CF" w14:textId="77777777" w:rsidTr="00AB4825">
        <w:trPr>
          <w:jc w:val="center"/>
        </w:trPr>
        <w:tc>
          <w:tcPr>
            <w:tcW w:w="2988" w:type="dxa"/>
            <w:tcMar>
              <w:top w:w="100" w:type="nil"/>
              <w:right w:w="100" w:type="nil"/>
            </w:tcMar>
            <w:vAlign w:val="center"/>
          </w:tcPr>
          <w:p w14:paraId="262C4F4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Woman</w:t>
            </w:r>
          </w:p>
        </w:tc>
        <w:tc>
          <w:tcPr>
            <w:tcW w:w="2880" w:type="dxa"/>
            <w:tcMar>
              <w:top w:w="100" w:type="nil"/>
              <w:right w:w="100" w:type="nil"/>
            </w:tcMar>
            <w:vAlign w:val="center"/>
          </w:tcPr>
          <w:p w14:paraId="0CE9446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1.717</w:t>
            </w:r>
          </w:p>
        </w:tc>
        <w:tc>
          <w:tcPr>
            <w:tcW w:w="2880" w:type="dxa"/>
            <w:tcMar>
              <w:top w:w="100" w:type="nil"/>
              <w:right w:w="100" w:type="nil"/>
            </w:tcMar>
            <w:vAlign w:val="center"/>
          </w:tcPr>
          <w:p w14:paraId="6BF1404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1.516</w:t>
            </w:r>
          </w:p>
        </w:tc>
      </w:tr>
      <w:tr w:rsidR="00911B49" w:rsidRPr="00B621E1" w14:paraId="27CCC111" w14:textId="77777777" w:rsidTr="00AB4825">
        <w:trPr>
          <w:jc w:val="center"/>
        </w:trPr>
        <w:tc>
          <w:tcPr>
            <w:tcW w:w="2988" w:type="dxa"/>
            <w:tcMar>
              <w:top w:w="100" w:type="nil"/>
              <w:right w:w="100" w:type="nil"/>
            </w:tcMar>
            <w:vAlign w:val="center"/>
          </w:tcPr>
          <w:p w14:paraId="1B5CEF72"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575A9E8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[0.658,4.482]</w:t>
            </w:r>
          </w:p>
        </w:tc>
        <w:tc>
          <w:tcPr>
            <w:tcW w:w="2880" w:type="dxa"/>
            <w:tcMar>
              <w:top w:w="100" w:type="nil"/>
              <w:right w:w="100" w:type="nil"/>
            </w:tcMar>
            <w:vAlign w:val="center"/>
          </w:tcPr>
          <w:p w14:paraId="4A7FE6F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[0.549,4.190]</w:t>
            </w:r>
          </w:p>
        </w:tc>
      </w:tr>
      <w:tr w:rsidR="00911B49" w:rsidRPr="00B621E1" w14:paraId="539FC6EB" w14:textId="77777777" w:rsidTr="00AB4825">
        <w:trPr>
          <w:jc w:val="center"/>
        </w:trPr>
        <w:tc>
          <w:tcPr>
            <w:tcW w:w="2988" w:type="dxa"/>
            <w:tcMar>
              <w:top w:w="100" w:type="nil"/>
              <w:right w:w="100" w:type="nil"/>
            </w:tcMar>
            <w:vAlign w:val="center"/>
          </w:tcPr>
          <w:p w14:paraId="75175E26"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83C1C1"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05ACDCD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1A2BD2A5" w14:textId="77777777" w:rsidTr="00AB4825">
        <w:trPr>
          <w:jc w:val="center"/>
        </w:trPr>
        <w:tc>
          <w:tcPr>
            <w:tcW w:w="2988" w:type="dxa"/>
            <w:tcMar>
              <w:top w:w="100" w:type="nil"/>
              <w:right w:w="100" w:type="nil"/>
            </w:tcMar>
            <w:vAlign w:val="center"/>
          </w:tcPr>
          <w:p w14:paraId="339EF7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Non-binary</w:t>
            </w:r>
          </w:p>
        </w:tc>
        <w:tc>
          <w:tcPr>
            <w:tcW w:w="2880" w:type="dxa"/>
            <w:tcMar>
              <w:top w:w="100" w:type="nil"/>
              <w:right w:w="100" w:type="nil"/>
            </w:tcMar>
            <w:vAlign w:val="center"/>
          </w:tcPr>
          <w:p w14:paraId="748699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1.400</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6AC4C7A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1.341</w:t>
            </w:r>
            <w:r>
              <w:rPr>
                <w:rFonts w:asciiTheme="majorHAnsi" w:eastAsia="Arial" w:hAnsiTheme="majorHAnsi" w:cstheme="majorHAnsi"/>
                <w:sz w:val="20"/>
                <w:szCs w:val="20"/>
                <w:vertAlign w:val="superscript"/>
                <w:lang w:val="en-US"/>
              </w:rPr>
              <w:t>**</w:t>
            </w:r>
          </w:p>
        </w:tc>
      </w:tr>
      <w:tr w:rsidR="00911B49" w:rsidRPr="00B621E1" w14:paraId="734BAE67" w14:textId="77777777" w:rsidTr="00AB4825">
        <w:trPr>
          <w:jc w:val="center"/>
        </w:trPr>
        <w:tc>
          <w:tcPr>
            <w:tcW w:w="2988" w:type="dxa"/>
            <w:tcMar>
              <w:top w:w="100" w:type="nil"/>
              <w:right w:w="100" w:type="nil"/>
            </w:tcMar>
            <w:vAlign w:val="center"/>
          </w:tcPr>
          <w:p w14:paraId="1E3CC55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6BFD7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[1.075,1.822]</w:t>
            </w:r>
          </w:p>
        </w:tc>
        <w:tc>
          <w:tcPr>
            <w:tcW w:w="2880" w:type="dxa"/>
            <w:tcMar>
              <w:top w:w="100" w:type="nil"/>
              <w:right w:w="100" w:type="nil"/>
            </w:tcMar>
            <w:vAlign w:val="center"/>
          </w:tcPr>
          <w:p w14:paraId="75E87E8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[1.015,1.771]</w:t>
            </w:r>
          </w:p>
        </w:tc>
      </w:tr>
      <w:tr w:rsidR="00911B49" w:rsidRPr="00B621E1" w14:paraId="61AF4BC5" w14:textId="77777777" w:rsidTr="00AB4825">
        <w:trPr>
          <w:jc w:val="center"/>
        </w:trPr>
        <w:tc>
          <w:tcPr>
            <w:tcW w:w="2988" w:type="dxa"/>
            <w:tcMar>
              <w:top w:w="100" w:type="nil"/>
              <w:right w:w="100" w:type="nil"/>
            </w:tcMar>
            <w:vAlign w:val="center"/>
          </w:tcPr>
          <w:p w14:paraId="396E94B0"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24AF3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70755E4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362A3C30" w14:textId="77777777" w:rsidTr="00AB4825">
        <w:trPr>
          <w:jc w:val="center"/>
        </w:trPr>
        <w:tc>
          <w:tcPr>
            <w:tcW w:w="2988" w:type="dxa"/>
            <w:tcMar>
              <w:top w:w="100" w:type="nil"/>
              <w:right w:w="100" w:type="nil"/>
            </w:tcMar>
            <w:vAlign w:val="center"/>
          </w:tcPr>
          <w:p w14:paraId="1CFAAD65"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Gender Diverse/Questioning</w:t>
            </w:r>
          </w:p>
        </w:tc>
        <w:tc>
          <w:tcPr>
            <w:tcW w:w="2880" w:type="dxa"/>
            <w:tcMar>
              <w:top w:w="100" w:type="nil"/>
              <w:right w:w="100" w:type="nil"/>
            </w:tcMar>
            <w:vAlign w:val="center"/>
          </w:tcPr>
          <w:p w14:paraId="57DAB39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0.757</w:t>
            </w:r>
          </w:p>
        </w:tc>
        <w:tc>
          <w:tcPr>
            <w:tcW w:w="2880" w:type="dxa"/>
            <w:tcMar>
              <w:top w:w="100" w:type="nil"/>
              <w:right w:w="100" w:type="nil"/>
            </w:tcMar>
            <w:vAlign w:val="center"/>
          </w:tcPr>
          <w:p w14:paraId="7C286EA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0.681</w:t>
            </w:r>
          </w:p>
        </w:tc>
      </w:tr>
      <w:tr w:rsidR="00911B49" w:rsidRPr="00B621E1" w14:paraId="11A05C90" w14:textId="77777777" w:rsidTr="00AB4825">
        <w:trPr>
          <w:jc w:val="center"/>
        </w:trPr>
        <w:tc>
          <w:tcPr>
            <w:tcW w:w="2988" w:type="dxa"/>
            <w:tcMar>
              <w:top w:w="100" w:type="nil"/>
              <w:right w:w="100" w:type="nil"/>
            </w:tcMar>
            <w:vAlign w:val="center"/>
          </w:tcPr>
          <w:p w14:paraId="0D53BB68"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049409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[0.472,1.213]</w:t>
            </w:r>
          </w:p>
        </w:tc>
        <w:tc>
          <w:tcPr>
            <w:tcW w:w="2880" w:type="dxa"/>
            <w:tcMar>
              <w:top w:w="100" w:type="nil"/>
              <w:right w:w="100" w:type="nil"/>
            </w:tcMar>
            <w:vAlign w:val="center"/>
          </w:tcPr>
          <w:p w14:paraId="753F1F4A"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[0.412,1.125]</w:t>
            </w:r>
          </w:p>
        </w:tc>
      </w:tr>
      <w:tr w:rsidR="00911B49" w:rsidRPr="00B621E1" w14:paraId="40F877D6" w14:textId="77777777" w:rsidTr="00AB4825">
        <w:trPr>
          <w:jc w:val="center"/>
        </w:trPr>
        <w:tc>
          <w:tcPr>
            <w:tcW w:w="2988" w:type="dxa"/>
            <w:tcMar>
              <w:top w:w="100" w:type="nil"/>
              <w:right w:w="100" w:type="nil"/>
            </w:tcMar>
            <w:vAlign w:val="center"/>
          </w:tcPr>
          <w:p w14:paraId="500BAB65"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ABB2C8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29A884B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6F859B96" w14:textId="77777777" w:rsidTr="00AB4825">
        <w:trPr>
          <w:jc w:val="center"/>
        </w:trPr>
        <w:tc>
          <w:tcPr>
            <w:tcW w:w="2988" w:type="dxa"/>
            <w:tcMar>
              <w:top w:w="100" w:type="nil"/>
              <w:right w:w="100" w:type="nil"/>
            </w:tcMar>
            <w:vAlign w:val="center"/>
          </w:tcPr>
          <w:p w14:paraId="171A234A"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Prefer Not to Say</w:t>
            </w:r>
          </w:p>
        </w:tc>
        <w:tc>
          <w:tcPr>
            <w:tcW w:w="2880" w:type="dxa"/>
            <w:tcMar>
              <w:top w:w="100" w:type="nil"/>
              <w:right w:w="100" w:type="nil"/>
            </w:tcMar>
            <w:vAlign w:val="center"/>
          </w:tcPr>
          <w:p w14:paraId="60C8797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1.117</w:t>
            </w:r>
          </w:p>
        </w:tc>
        <w:tc>
          <w:tcPr>
            <w:tcW w:w="2880" w:type="dxa"/>
            <w:tcMar>
              <w:top w:w="100" w:type="nil"/>
              <w:right w:w="100" w:type="nil"/>
            </w:tcMar>
            <w:vAlign w:val="center"/>
          </w:tcPr>
          <w:p w14:paraId="05E9A5A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1.100</w:t>
            </w:r>
          </w:p>
        </w:tc>
      </w:tr>
      <w:tr w:rsidR="00911B49" w:rsidRPr="00B621E1" w14:paraId="0014E3C7" w14:textId="77777777" w:rsidTr="00AB4825">
        <w:trPr>
          <w:jc w:val="center"/>
        </w:trPr>
        <w:tc>
          <w:tcPr>
            <w:tcW w:w="2988" w:type="dxa"/>
            <w:tcBorders>
              <w:bottom w:val="single" w:sz="4" w:space="0" w:color="auto"/>
            </w:tcBorders>
            <w:tcMar>
              <w:top w:w="100" w:type="nil"/>
              <w:right w:w="100" w:type="nil"/>
            </w:tcMar>
            <w:vAlign w:val="center"/>
          </w:tcPr>
          <w:p w14:paraId="73AEBD1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bottom w:val="single" w:sz="4" w:space="0" w:color="auto"/>
            </w:tcBorders>
            <w:tcMar>
              <w:top w:w="100" w:type="nil"/>
              <w:right w:w="100" w:type="nil"/>
            </w:tcMar>
            <w:vAlign w:val="center"/>
          </w:tcPr>
          <w:p w14:paraId="1199992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[0.790,1.579]</w:t>
            </w:r>
          </w:p>
        </w:tc>
        <w:tc>
          <w:tcPr>
            <w:tcW w:w="2880" w:type="dxa"/>
            <w:tcBorders>
              <w:bottom w:val="single" w:sz="4" w:space="0" w:color="auto"/>
            </w:tcBorders>
            <w:tcMar>
              <w:top w:w="100" w:type="nil"/>
              <w:right w:w="100" w:type="nil"/>
            </w:tcMar>
            <w:vAlign w:val="center"/>
          </w:tcPr>
          <w:p w14:paraId="4C94B5F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[0.754,1.603]</w:t>
            </w:r>
          </w:p>
        </w:tc>
      </w:tr>
      <w:tr w:rsidR="00911B49" w:rsidRPr="00B621E1" w14:paraId="25C15774" w14:textId="77777777" w:rsidTr="00AB4825">
        <w:trPr>
          <w:jc w:val="center"/>
        </w:trPr>
        <w:tc>
          <w:tcPr>
            <w:tcW w:w="2988" w:type="dxa"/>
            <w:tcBorders>
              <w:top w:val="single" w:sz="4" w:space="0" w:color="auto"/>
            </w:tcBorders>
            <w:tcMar>
              <w:top w:w="100" w:type="nil"/>
              <w:right w:w="100" w:type="nil"/>
            </w:tcMar>
            <w:vAlign w:val="center"/>
          </w:tcPr>
          <w:p w14:paraId="3C72FB1F"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Observations</w:t>
            </w:r>
          </w:p>
        </w:tc>
        <w:tc>
          <w:tcPr>
            <w:tcW w:w="2880" w:type="dxa"/>
            <w:tcBorders>
              <w:top w:val="single" w:sz="4" w:space="0" w:color="auto"/>
            </w:tcBorders>
            <w:tcMar>
              <w:top w:w="100" w:type="nil"/>
              <w:right w:w="100" w:type="nil"/>
            </w:tcMar>
            <w:vAlign w:val="center"/>
          </w:tcPr>
          <w:p w14:paraId="2218A61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7522</w:t>
            </w:r>
          </w:p>
        </w:tc>
        <w:tc>
          <w:tcPr>
            <w:tcW w:w="2880" w:type="dxa"/>
            <w:tcBorders>
              <w:top w:val="single" w:sz="4" w:space="0" w:color="auto"/>
            </w:tcBorders>
            <w:tcMar>
              <w:top w:w="100" w:type="nil"/>
              <w:right w:w="100" w:type="nil"/>
            </w:tcMar>
            <w:vAlign w:val="center"/>
          </w:tcPr>
          <w:p w14:paraId="26A8689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7498</w:t>
            </w:r>
          </w:p>
        </w:tc>
      </w:tr>
      <w:tr w:rsidR="00911B49" w:rsidRPr="00B621E1" w14:paraId="403A693B" w14:textId="77777777" w:rsidTr="00AB4825">
        <w:trPr>
          <w:jc w:val="center"/>
        </w:trPr>
        <w:tc>
          <w:tcPr>
            <w:tcW w:w="2988" w:type="dxa"/>
            <w:tcBorders>
              <w:bottom w:val="single" w:sz="4" w:space="0" w:color="auto"/>
            </w:tcBorders>
            <w:tcMar>
              <w:top w:w="100" w:type="nil"/>
              <w:right w:w="100" w:type="nil"/>
            </w:tcMar>
            <w:vAlign w:val="center"/>
          </w:tcPr>
          <w:p w14:paraId="0544B484"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Demographic Controls</w:t>
            </w:r>
          </w:p>
        </w:tc>
        <w:tc>
          <w:tcPr>
            <w:tcW w:w="2880" w:type="dxa"/>
            <w:tcBorders>
              <w:bottom w:val="single" w:sz="4" w:space="0" w:color="auto"/>
            </w:tcBorders>
            <w:tcMar>
              <w:top w:w="100" w:type="nil"/>
              <w:right w:w="100" w:type="nil"/>
            </w:tcMar>
            <w:vAlign w:val="center"/>
          </w:tcPr>
          <w:p w14:paraId="37CDE85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w:t>
            </w:r>
          </w:p>
        </w:tc>
        <w:tc>
          <w:tcPr>
            <w:tcW w:w="2880" w:type="dxa"/>
            <w:tcBorders>
              <w:bottom w:val="single" w:sz="4" w:space="0" w:color="auto"/>
            </w:tcBorders>
            <w:tcMar>
              <w:top w:w="100" w:type="nil"/>
              <w:right w:w="100" w:type="nil"/>
            </w:tcMar>
            <w:vAlign w:val="center"/>
          </w:tcPr>
          <w:p w14:paraId="7157613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Yes</w:t>
            </w:r>
          </w:p>
        </w:tc>
      </w:tr>
    </w:tbl>
    <w:p w14:paraId="1BE3D0E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Exponentiated coefficients; 95% confidence intervals in brackets</w:t>
      </w:r>
    </w:p>
    <w:p w14:paraId="0DD116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0.10,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0.05,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0.01</w:t>
      </w:r>
    </w:p>
    <w:p w14:paraId="2AF3BB64" w14:textId="77777777" w:rsidR="004F595A" w:rsidRPr="00AB4825" w:rsidRDefault="004F595A" w:rsidP="004F595A">
      <w:pPr>
        <w:spacing w:line="360" w:lineRule="auto"/>
        <w:rPr>
          <w:rFonts w:asciiTheme="majorHAnsi" w:eastAsia="Arial" w:hAnsiTheme="majorHAnsi" w:cstheme="majorHAnsi"/>
          <w:sz w:val="20"/>
          <w:szCs w:val="20"/>
        </w:rPr>
      </w:pPr>
      <w:r>
        <w:rPr>
          <w:rFonts w:asciiTheme="majorHAnsi" w:eastAsia="Arial" w:hAnsiTheme="majorHAnsi" w:cstheme="majorHAnsi"/>
          <w:sz w:val="20"/>
          <w:szCs w:val="20"/>
        </w:rPr>
        <w:t xml:space="preserve"> </w:t>
      </w:r>
    </w:p>
    <w:p w14:paraId="42A653B8" w14:textId="1EFF9DD3" w:rsidR="004F595A" w:rsidRPr="00B621E1" w:rsidRDefault="004F595A" w:rsidP="004F595A">
      <w:pPr>
        <w:spacing w:line="360" w:lineRule="auto"/>
        <w:rPr>
          <w:rFonts w:asciiTheme="majorHAnsi" w:hAnsiTheme="majorHAnsi" w:cstheme="majorHAnsi"/>
        </w:rPr>
      </w:pPr>
      <w:r w:rsidRPr="00350E20">
        <w:rPr>
          <w:rFonts w:asciiTheme="majorHAnsi" w:hAnsiTheme="majorHAnsi" w:cstheme="majorHAnsi"/>
          <w:b/>
          <w:bCs/>
        </w:rPr>
        <w:lastRenderedPageBreak/>
        <w:t>Table 7</w:t>
      </w:r>
    </w:p>
    <w:p w14:paraId="090CC59D" w14:textId="25E57746" w:rsidR="00D644EE" w:rsidRPr="00B621E1" w:rsidRDefault="00D644EE">
      <w:pPr>
        <w:autoSpaceDE w:val="0"/>
        <w:autoSpaceDN w:val="0"/>
        <w:adjustRightInd w:val="0"/>
        <w:rPr>
          <w:rFonts w:asciiTheme="majorHAnsi" w:hAnsiTheme="majorHAnsi" w:cstheme="majorHAnsi"/>
          <w:lang w:val="en-US"/>
        </w:rPr>
      </w:pPr>
      <w:r>
        <w:rPr>
          <w:rFonts w:asciiTheme="majorHAnsi" w:hAnsiTheme="majorHAnsi" w:cstheme="majorHAnsi"/>
          <w:lang w:val="en-US"/>
        </w:rPr>
        <w:t>Logit Models: Intent to Attend 4-Year College (Odds Ratios), by Sexual Orientation</w:t>
      </w:r>
    </w:p>
    <w:p w14:paraId="29226C46" w14:textId="77777777" w:rsidR="002A0567" w:rsidRPr="00AB4825" w:rsidRDefault="002A0567">
      <w:pPr>
        <w:autoSpaceDE w:val="0"/>
        <w:autoSpaceDN w:val="0"/>
        <w:adjustRightInd w:val="0"/>
        <w:rPr>
          <w:rFonts w:asciiTheme="majorHAnsi" w:hAnsiTheme="majorHAnsi" w:cstheme="majorHAnsi"/>
          <w:lang w:val="en-US"/>
        </w:rPr>
      </w:pPr>
    </w:p>
    <w:tbl>
      <w:tblPr>
        <w:tblW w:w="0" w:type="auto"/>
        <w:jc w:val="center"/>
        <w:tblLayout w:type="fixed"/>
        <w:tblLook w:val="0000" w:firstRow="0" w:lastRow="0" w:firstColumn="0" w:lastColumn="0" w:noHBand="0" w:noVBand="0"/>
      </w:tblPr>
      <w:tblGrid>
        <w:gridCol w:w="2268"/>
        <w:gridCol w:w="2160"/>
        <w:gridCol w:w="2160"/>
        <w:gridCol w:w="2160"/>
      </w:tblGrid>
      <w:tr w:rsidR="00D644EE" w:rsidRPr="00B621E1" w14:paraId="49A1CD28" w14:textId="77777777" w:rsidTr="00AB4825">
        <w:trPr>
          <w:jc w:val="center"/>
        </w:trPr>
        <w:tc>
          <w:tcPr>
            <w:tcW w:w="2268" w:type="dxa"/>
            <w:tcBorders>
              <w:top w:val="single" w:sz="4" w:space="0" w:color="auto"/>
              <w:bottom w:val="single" w:sz="4" w:space="0" w:color="auto"/>
            </w:tcBorders>
            <w:tcMar>
              <w:top w:w="100" w:type="nil"/>
              <w:right w:w="100" w:type="nil"/>
            </w:tcMar>
            <w:vAlign w:val="center"/>
          </w:tcPr>
          <w:p w14:paraId="4A05DE1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top w:val="single" w:sz="4" w:space="0" w:color="auto"/>
              <w:bottom w:val="single" w:sz="4" w:space="0" w:color="auto"/>
            </w:tcBorders>
            <w:tcMar>
              <w:top w:w="100" w:type="nil"/>
              <w:right w:w="100" w:type="nil"/>
            </w:tcMar>
            <w:vAlign w:val="center"/>
          </w:tcPr>
          <w:p w14:paraId="5E261230"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2160" w:type="dxa"/>
            <w:tcBorders>
              <w:top w:val="single" w:sz="4" w:space="0" w:color="auto"/>
              <w:bottom w:val="single" w:sz="4" w:space="0" w:color="auto"/>
            </w:tcBorders>
            <w:tcMar>
              <w:top w:w="100" w:type="nil"/>
              <w:right w:w="100" w:type="nil"/>
            </w:tcMar>
            <w:vAlign w:val="center"/>
          </w:tcPr>
          <w:p w14:paraId="7594A2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2160" w:type="dxa"/>
            <w:tcBorders>
              <w:top w:val="single" w:sz="4" w:space="0" w:color="auto"/>
              <w:bottom w:val="single" w:sz="4" w:space="0" w:color="auto"/>
            </w:tcBorders>
            <w:tcMar>
              <w:top w:w="100" w:type="nil"/>
              <w:right w:w="100" w:type="nil"/>
            </w:tcMar>
            <w:vAlign w:val="center"/>
          </w:tcPr>
          <w:p w14:paraId="622F3F7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D644EE" w:rsidRPr="00B621E1" w14:paraId="0E8D75F4" w14:textId="77777777" w:rsidTr="00AB4825">
        <w:trPr>
          <w:jc w:val="center"/>
        </w:trPr>
        <w:tc>
          <w:tcPr>
            <w:tcW w:w="2268" w:type="dxa"/>
            <w:tcBorders>
              <w:top w:val="single" w:sz="4" w:space="0" w:color="auto"/>
            </w:tcBorders>
            <w:tcMar>
              <w:top w:w="100" w:type="nil"/>
              <w:right w:w="100" w:type="nil"/>
            </w:tcMar>
            <w:vAlign w:val="center"/>
          </w:tcPr>
          <w:p w14:paraId="2DB7561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2160" w:type="dxa"/>
            <w:tcBorders>
              <w:top w:val="single" w:sz="4" w:space="0" w:color="auto"/>
            </w:tcBorders>
            <w:tcMar>
              <w:top w:w="100" w:type="nil"/>
              <w:right w:w="100" w:type="nil"/>
            </w:tcMar>
            <w:vAlign w:val="center"/>
          </w:tcPr>
          <w:p w14:paraId="6D6E8CF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1.692</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4522CD0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1.498</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632146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1.496</w:t>
            </w:r>
            <w:r>
              <w:rPr>
                <w:rFonts w:asciiTheme="majorHAnsi" w:hAnsiTheme="majorHAnsi" w:cstheme="majorHAnsi"/>
                <w:sz w:val="20"/>
                <w:szCs w:val="20"/>
                <w:vertAlign w:val="superscript"/>
                <w:lang w:val="en-US"/>
              </w:rPr>
              <w:t>***</w:t>
            </w:r>
          </w:p>
        </w:tc>
      </w:tr>
      <w:tr w:rsidR="00D644EE" w:rsidRPr="00B621E1" w14:paraId="1F10B46B" w14:textId="77777777" w:rsidTr="00AB4825">
        <w:trPr>
          <w:jc w:val="center"/>
        </w:trPr>
        <w:tc>
          <w:tcPr>
            <w:tcW w:w="2268" w:type="dxa"/>
            <w:tcMar>
              <w:top w:w="100" w:type="nil"/>
              <w:right w:w="100" w:type="nil"/>
            </w:tcMar>
            <w:vAlign w:val="center"/>
          </w:tcPr>
          <w:p w14:paraId="63F2CA0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743E990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[1.327,2.156]</w:t>
            </w:r>
          </w:p>
        </w:tc>
        <w:tc>
          <w:tcPr>
            <w:tcW w:w="2160" w:type="dxa"/>
            <w:tcMar>
              <w:top w:w="100" w:type="nil"/>
              <w:right w:w="100" w:type="nil"/>
            </w:tcMar>
            <w:vAlign w:val="center"/>
          </w:tcPr>
          <w:p w14:paraId="2081C43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[1.159,1.935]</w:t>
            </w:r>
          </w:p>
        </w:tc>
        <w:tc>
          <w:tcPr>
            <w:tcW w:w="2160" w:type="dxa"/>
            <w:tcMar>
              <w:top w:w="100" w:type="nil"/>
              <w:right w:w="100" w:type="nil"/>
            </w:tcMar>
            <w:vAlign w:val="center"/>
          </w:tcPr>
          <w:p w14:paraId="2D5132A5"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[1.157,1.935]</w:t>
            </w:r>
          </w:p>
        </w:tc>
      </w:tr>
      <w:tr w:rsidR="00D644EE" w:rsidRPr="00B621E1" w14:paraId="573BDBDB" w14:textId="77777777" w:rsidTr="00AB4825">
        <w:trPr>
          <w:jc w:val="center"/>
        </w:trPr>
        <w:tc>
          <w:tcPr>
            <w:tcW w:w="2268" w:type="dxa"/>
            <w:tcMar>
              <w:top w:w="100" w:type="nil"/>
              <w:right w:w="100" w:type="nil"/>
            </w:tcMar>
            <w:vAlign w:val="center"/>
          </w:tcPr>
          <w:p w14:paraId="5EE6237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DEC8293"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55A072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D18DD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0153841B" w14:textId="77777777" w:rsidTr="00AB4825">
        <w:trPr>
          <w:jc w:val="center"/>
        </w:trPr>
        <w:tc>
          <w:tcPr>
            <w:tcW w:w="2268" w:type="dxa"/>
            <w:tcMar>
              <w:top w:w="100" w:type="nil"/>
              <w:right w:w="100" w:type="nil"/>
            </w:tcMar>
            <w:vAlign w:val="center"/>
          </w:tcPr>
          <w:p w14:paraId="2E6E3D7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2160" w:type="dxa"/>
            <w:tcMar>
              <w:top w:w="100" w:type="nil"/>
              <w:right w:w="100" w:type="nil"/>
            </w:tcMar>
            <w:vAlign w:val="center"/>
          </w:tcPr>
          <w:p w14:paraId="5639076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1.410</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64DEAA7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1.347</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4D3EE7E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1.264</w:t>
            </w:r>
            <w:r>
              <w:rPr>
                <w:rFonts w:asciiTheme="majorHAnsi" w:hAnsiTheme="majorHAnsi" w:cstheme="majorHAnsi"/>
                <w:sz w:val="20"/>
                <w:szCs w:val="20"/>
                <w:vertAlign w:val="superscript"/>
                <w:lang w:val="en-US"/>
              </w:rPr>
              <w:t>***</w:t>
            </w:r>
          </w:p>
        </w:tc>
      </w:tr>
      <w:tr w:rsidR="00D644EE" w:rsidRPr="00B621E1" w14:paraId="660EDB22" w14:textId="77777777" w:rsidTr="00AB4825">
        <w:trPr>
          <w:jc w:val="center"/>
        </w:trPr>
        <w:tc>
          <w:tcPr>
            <w:tcW w:w="2268" w:type="dxa"/>
            <w:tcMar>
              <w:top w:w="100" w:type="nil"/>
              <w:right w:w="100" w:type="nil"/>
            </w:tcMar>
            <w:vAlign w:val="center"/>
          </w:tcPr>
          <w:p w14:paraId="7BFFA49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95A628B"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[1.233,1.614]</w:t>
            </w:r>
          </w:p>
        </w:tc>
        <w:tc>
          <w:tcPr>
            <w:tcW w:w="2160" w:type="dxa"/>
            <w:tcMar>
              <w:top w:w="100" w:type="nil"/>
              <w:right w:w="100" w:type="nil"/>
            </w:tcMar>
            <w:vAlign w:val="center"/>
          </w:tcPr>
          <w:p w14:paraId="3B832F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[1.169,1.553]</w:t>
            </w:r>
          </w:p>
        </w:tc>
        <w:tc>
          <w:tcPr>
            <w:tcW w:w="2160" w:type="dxa"/>
            <w:tcMar>
              <w:top w:w="100" w:type="nil"/>
              <w:right w:w="100" w:type="nil"/>
            </w:tcMar>
            <w:vAlign w:val="center"/>
          </w:tcPr>
          <w:p w14:paraId="32B5085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[1.093,1.462]</w:t>
            </w:r>
          </w:p>
        </w:tc>
      </w:tr>
      <w:tr w:rsidR="00D644EE" w:rsidRPr="00B621E1" w14:paraId="2B74B04D" w14:textId="77777777" w:rsidTr="00AB4825">
        <w:trPr>
          <w:jc w:val="center"/>
        </w:trPr>
        <w:tc>
          <w:tcPr>
            <w:tcW w:w="2268" w:type="dxa"/>
            <w:tcMar>
              <w:top w:w="100" w:type="nil"/>
              <w:right w:w="100" w:type="nil"/>
            </w:tcMar>
            <w:vAlign w:val="center"/>
          </w:tcPr>
          <w:p w14:paraId="62F9912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B424AE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41440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7DCC4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5763A2DD" w14:textId="77777777" w:rsidTr="00AB4825">
        <w:trPr>
          <w:jc w:val="center"/>
        </w:trPr>
        <w:tc>
          <w:tcPr>
            <w:tcW w:w="2268" w:type="dxa"/>
            <w:tcMar>
              <w:top w:w="100" w:type="nil"/>
              <w:right w:w="100" w:type="nil"/>
            </w:tcMar>
            <w:vAlign w:val="center"/>
          </w:tcPr>
          <w:p w14:paraId="369C3671"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2160" w:type="dxa"/>
            <w:tcMar>
              <w:top w:w="100" w:type="nil"/>
              <w:right w:w="100" w:type="nil"/>
            </w:tcMar>
            <w:vAlign w:val="center"/>
          </w:tcPr>
          <w:p w14:paraId="21E156E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1.608</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5CD0C60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1.190</w:t>
            </w:r>
          </w:p>
        </w:tc>
        <w:tc>
          <w:tcPr>
            <w:tcW w:w="2160" w:type="dxa"/>
            <w:tcMar>
              <w:top w:w="100" w:type="nil"/>
              <w:right w:w="100" w:type="nil"/>
            </w:tcMar>
            <w:vAlign w:val="center"/>
          </w:tcPr>
          <w:p w14:paraId="504A8F2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1.116</w:t>
            </w:r>
          </w:p>
        </w:tc>
      </w:tr>
      <w:tr w:rsidR="00D644EE" w:rsidRPr="00B621E1" w14:paraId="0795A6E2" w14:textId="77777777" w:rsidTr="00AB4825">
        <w:trPr>
          <w:jc w:val="center"/>
        </w:trPr>
        <w:tc>
          <w:tcPr>
            <w:tcW w:w="2268" w:type="dxa"/>
            <w:tcMar>
              <w:top w:w="100" w:type="nil"/>
              <w:right w:w="100" w:type="nil"/>
            </w:tcMar>
            <w:vAlign w:val="center"/>
          </w:tcPr>
          <w:p w14:paraId="246BD93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879FB0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[1.168,2.213]</w:t>
            </w:r>
          </w:p>
        </w:tc>
        <w:tc>
          <w:tcPr>
            <w:tcW w:w="2160" w:type="dxa"/>
            <w:tcMar>
              <w:top w:w="100" w:type="nil"/>
              <w:right w:w="100" w:type="nil"/>
            </w:tcMar>
            <w:vAlign w:val="center"/>
          </w:tcPr>
          <w:p w14:paraId="5A9F73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[0.845,1.675]</w:t>
            </w:r>
          </w:p>
        </w:tc>
        <w:tc>
          <w:tcPr>
            <w:tcW w:w="2160" w:type="dxa"/>
            <w:tcMar>
              <w:top w:w="100" w:type="nil"/>
              <w:right w:w="100" w:type="nil"/>
            </w:tcMar>
            <w:vAlign w:val="center"/>
          </w:tcPr>
          <w:p w14:paraId="3223197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[0.790,1.575]</w:t>
            </w:r>
          </w:p>
        </w:tc>
      </w:tr>
      <w:tr w:rsidR="00D644EE" w:rsidRPr="00B621E1" w14:paraId="0977CF78" w14:textId="77777777" w:rsidTr="00AB4825">
        <w:trPr>
          <w:jc w:val="center"/>
        </w:trPr>
        <w:tc>
          <w:tcPr>
            <w:tcW w:w="2268" w:type="dxa"/>
            <w:tcMar>
              <w:top w:w="100" w:type="nil"/>
              <w:right w:w="100" w:type="nil"/>
            </w:tcMar>
            <w:vAlign w:val="center"/>
          </w:tcPr>
          <w:p w14:paraId="132FD0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C67DC0C"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77175B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46BE315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7B9A39CF" w14:textId="77777777" w:rsidTr="00AB4825">
        <w:trPr>
          <w:jc w:val="center"/>
        </w:trPr>
        <w:tc>
          <w:tcPr>
            <w:tcW w:w="2268" w:type="dxa"/>
            <w:tcMar>
              <w:top w:w="100" w:type="nil"/>
              <w:right w:w="100" w:type="nil"/>
            </w:tcMar>
            <w:vAlign w:val="center"/>
          </w:tcPr>
          <w:p w14:paraId="545EE18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2160" w:type="dxa"/>
            <w:tcMar>
              <w:top w:w="100" w:type="nil"/>
              <w:right w:w="100" w:type="nil"/>
            </w:tcMar>
            <w:vAlign w:val="center"/>
          </w:tcPr>
          <w:p w14:paraId="56FF7F1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1.413</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22BC71C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1.186</w:t>
            </w:r>
          </w:p>
        </w:tc>
        <w:tc>
          <w:tcPr>
            <w:tcW w:w="2160" w:type="dxa"/>
            <w:tcMar>
              <w:top w:w="100" w:type="nil"/>
              <w:right w:w="100" w:type="nil"/>
            </w:tcMar>
            <w:vAlign w:val="center"/>
          </w:tcPr>
          <w:p w14:paraId="3265848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1.121</w:t>
            </w:r>
          </w:p>
        </w:tc>
      </w:tr>
      <w:tr w:rsidR="00D644EE" w:rsidRPr="00B621E1" w14:paraId="053D206B" w14:textId="77777777" w:rsidTr="00AB4825">
        <w:trPr>
          <w:jc w:val="center"/>
        </w:trPr>
        <w:tc>
          <w:tcPr>
            <w:tcW w:w="2268" w:type="dxa"/>
            <w:tcMar>
              <w:top w:w="100" w:type="nil"/>
              <w:right w:w="100" w:type="nil"/>
            </w:tcMar>
            <w:vAlign w:val="center"/>
          </w:tcPr>
          <w:p w14:paraId="66A8A3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6E8E7AF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[0.979,2.039]</w:t>
            </w:r>
          </w:p>
        </w:tc>
        <w:tc>
          <w:tcPr>
            <w:tcW w:w="2160" w:type="dxa"/>
            <w:tcMar>
              <w:top w:w="100" w:type="nil"/>
              <w:right w:w="100" w:type="nil"/>
            </w:tcMar>
            <w:vAlign w:val="center"/>
          </w:tcPr>
          <w:p w14:paraId="6B116C4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[0.803,1.750]</w:t>
            </w:r>
          </w:p>
        </w:tc>
        <w:tc>
          <w:tcPr>
            <w:tcW w:w="2160" w:type="dxa"/>
            <w:tcMar>
              <w:top w:w="100" w:type="nil"/>
              <w:right w:w="100" w:type="nil"/>
            </w:tcMar>
            <w:vAlign w:val="center"/>
          </w:tcPr>
          <w:p w14:paraId="1674430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[0.758,1.657]</w:t>
            </w:r>
          </w:p>
        </w:tc>
      </w:tr>
      <w:tr w:rsidR="00D644EE" w:rsidRPr="00B621E1" w14:paraId="782CA73E" w14:textId="77777777" w:rsidTr="00AB4825">
        <w:trPr>
          <w:jc w:val="center"/>
        </w:trPr>
        <w:tc>
          <w:tcPr>
            <w:tcW w:w="2268" w:type="dxa"/>
            <w:tcMar>
              <w:top w:w="100" w:type="nil"/>
              <w:right w:w="100" w:type="nil"/>
            </w:tcMar>
            <w:vAlign w:val="center"/>
          </w:tcPr>
          <w:p w14:paraId="1511626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6F9698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95244E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429F1C4"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2DD846D8" w14:textId="77777777" w:rsidTr="00AB4825">
        <w:trPr>
          <w:jc w:val="center"/>
        </w:trPr>
        <w:tc>
          <w:tcPr>
            <w:tcW w:w="2268" w:type="dxa"/>
            <w:tcMar>
              <w:top w:w="100" w:type="nil"/>
              <w:right w:w="100" w:type="nil"/>
            </w:tcMar>
            <w:vAlign w:val="center"/>
          </w:tcPr>
          <w:p w14:paraId="6418FAD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2160" w:type="dxa"/>
            <w:tcMar>
              <w:top w:w="100" w:type="nil"/>
              <w:right w:w="100" w:type="nil"/>
            </w:tcMar>
            <w:vAlign w:val="center"/>
          </w:tcPr>
          <w:p w14:paraId="2D5B298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1.001</w:t>
            </w:r>
          </w:p>
        </w:tc>
        <w:tc>
          <w:tcPr>
            <w:tcW w:w="2160" w:type="dxa"/>
            <w:tcMar>
              <w:top w:w="100" w:type="nil"/>
              <w:right w:w="100" w:type="nil"/>
            </w:tcMar>
            <w:vAlign w:val="center"/>
          </w:tcPr>
          <w:p w14:paraId="1D54CE5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0.899</w:t>
            </w:r>
          </w:p>
        </w:tc>
        <w:tc>
          <w:tcPr>
            <w:tcW w:w="2160" w:type="dxa"/>
            <w:tcMar>
              <w:top w:w="100" w:type="nil"/>
              <w:right w:w="100" w:type="nil"/>
            </w:tcMar>
            <w:vAlign w:val="center"/>
          </w:tcPr>
          <w:p w14:paraId="597D0FE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0.863</w:t>
            </w:r>
          </w:p>
        </w:tc>
      </w:tr>
      <w:tr w:rsidR="00D644EE" w:rsidRPr="00B621E1" w14:paraId="4371F69F" w14:textId="77777777" w:rsidTr="00AB4825">
        <w:trPr>
          <w:jc w:val="center"/>
        </w:trPr>
        <w:tc>
          <w:tcPr>
            <w:tcW w:w="2268" w:type="dxa"/>
            <w:tcBorders>
              <w:bottom w:val="single" w:sz="4" w:space="0" w:color="auto"/>
            </w:tcBorders>
            <w:tcMar>
              <w:top w:w="100" w:type="nil"/>
              <w:right w:w="100" w:type="nil"/>
            </w:tcMar>
            <w:vAlign w:val="center"/>
          </w:tcPr>
          <w:p w14:paraId="5D22A73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bottom w:val="single" w:sz="4" w:space="0" w:color="auto"/>
            </w:tcBorders>
            <w:tcMar>
              <w:top w:w="100" w:type="nil"/>
              <w:right w:w="100" w:type="nil"/>
            </w:tcMar>
            <w:vAlign w:val="center"/>
          </w:tcPr>
          <w:p w14:paraId="157574D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[0.832,1.204]</w:t>
            </w:r>
          </w:p>
        </w:tc>
        <w:tc>
          <w:tcPr>
            <w:tcW w:w="2160" w:type="dxa"/>
            <w:tcBorders>
              <w:bottom w:val="single" w:sz="4" w:space="0" w:color="auto"/>
            </w:tcBorders>
            <w:tcMar>
              <w:top w:w="100" w:type="nil"/>
              <w:right w:w="100" w:type="nil"/>
            </w:tcMar>
            <w:vAlign w:val="center"/>
          </w:tcPr>
          <w:p w14:paraId="560F6A9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[0.737,1.096]</w:t>
            </w:r>
          </w:p>
        </w:tc>
        <w:tc>
          <w:tcPr>
            <w:tcW w:w="2160" w:type="dxa"/>
            <w:tcBorders>
              <w:bottom w:val="single" w:sz="4" w:space="0" w:color="auto"/>
            </w:tcBorders>
            <w:tcMar>
              <w:top w:w="100" w:type="nil"/>
              <w:right w:w="100" w:type="nil"/>
            </w:tcMar>
            <w:vAlign w:val="center"/>
          </w:tcPr>
          <w:p w14:paraId="2878F594"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[0.707,1.054]</w:t>
            </w:r>
          </w:p>
        </w:tc>
      </w:tr>
      <w:tr w:rsidR="00D644EE" w:rsidRPr="00B621E1" w14:paraId="60BB06F5" w14:textId="77777777" w:rsidTr="00AB4825">
        <w:trPr>
          <w:jc w:val="center"/>
        </w:trPr>
        <w:tc>
          <w:tcPr>
            <w:tcW w:w="2268" w:type="dxa"/>
            <w:tcBorders>
              <w:top w:val="single" w:sz="4" w:space="0" w:color="auto"/>
            </w:tcBorders>
            <w:tcMar>
              <w:top w:w="100" w:type="nil"/>
              <w:right w:w="100" w:type="nil"/>
            </w:tcMar>
            <w:vAlign w:val="center"/>
          </w:tcPr>
          <w:p w14:paraId="060F130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2160" w:type="dxa"/>
            <w:tcBorders>
              <w:top w:val="single" w:sz="4" w:space="0" w:color="auto"/>
            </w:tcBorders>
            <w:tcMar>
              <w:top w:w="100" w:type="nil"/>
              <w:right w:w="100" w:type="nil"/>
            </w:tcMar>
            <w:vAlign w:val="center"/>
          </w:tcPr>
          <w:p w14:paraId="0B5977D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7481</w:t>
            </w:r>
          </w:p>
        </w:tc>
        <w:tc>
          <w:tcPr>
            <w:tcW w:w="2160" w:type="dxa"/>
            <w:tcBorders>
              <w:top w:val="single" w:sz="4" w:space="0" w:color="auto"/>
            </w:tcBorders>
            <w:tcMar>
              <w:top w:w="100" w:type="nil"/>
              <w:right w:w="100" w:type="nil"/>
            </w:tcMar>
            <w:vAlign w:val="center"/>
          </w:tcPr>
          <w:p w14:paraId="02564DF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2160" w:type="dxa"/>
            <w:tcBorders>
              <w:top w:val="single" w:sz="4" w:space="0" w:color="auto"/>
            </w:tcBorders>
            <w:tcMar>
              <w:top w:w="100" w:type="nil"/>
              <w:right w:w="100" w:type="nil"/>
            </w:tcMar>
            <w:vAlign w:val="center"/>
          </w:tcPr>
          <w:p w14:paraId="43F9C9A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7446</w:t>
            </w:r>
          </w:p>
        </w:tc>
      </w:tr>
      <w:tr w:rsidR="00D644EE" w:rsidRPr="00B621E1" w14:paraId="63CD4083" w14:textId="77777777" w:rsidTr="00AB4825">
        <w:trPr>
          <w:jc w:val="center"/>
        </w:trPr>
        <w:tc>
          <w:tcPr>
            <w:tcW w:w="2268" w:type="dxa"/>
            <w:tcMar>
              <w:top w:w="100" w:type="nil"/>
              <w:right w:w="100" w:type="nil"/>
            </w:tcMar>
            <w:vAlign w:val="center"/>
          </w:tcPr>
          <w:p w14:paraId="0206C1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2160" w:type="dxa"/>
            <w:tcMar>
              <w:top w:w="100" w:type="nil"/>
              <w:right w:w="100" w:type="nil"/>
            </w:tcMar>
            <w:vAlign w:val="center"/>
          </w:tcPr>
          <w:p w14:paraId="583311D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Mar>
              <w:top w:w="100" w:type="nil"/>
              <w:right w:w="100" w:type="nil"/>
            </w:tcMar>
            <w:vAlign w:val="center"/>
          </w:tcPr>
          <w:p w14:paraId="3A4182D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2160" w:type="dxa"/>
            <w:tcMar>
              <w:top w:w="100" w:type="nil"/>
              <w:right w:w="100" w:type="nil"/>
            </w:tcMar>
            <w:vAlign w:val="center"/>
          </w:tcPr>
          <w:p w14:paraId="7E46238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D644EE" w:rsidRPr="00B621E1" w14:paraId="59DD467D" w14:textId="77777777" w:rsidTr="00AB4825">
        <w:trPr>
          <w:jc w:val="center"/>
        </w:trPr>
        <w:tc>
          <w:tcPr>
            <w:tcW w:w="2268" w:type="dxa"/>
            <w:tcBorders>
              <w:bottom w:val="single" w:sz="4" w:space="0" w:color="auto"/>
            </w:tcBorders>
            <w:tcMar>
              <w:top w:w="100" w:type="nil"/>
              <w:right w:w="100" w:type="nil"/>
            </w:tcMar>
            <w:vAlign w:val="center"/>
          </w:tcPr>
          <w:p w14:paraId="5430DF6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2160" w:type="dxa"/>
            <w:tcBorders>
              <w:bottom w:val="single" w:sz="4" w:space="0" w:color="auto"/>
            </w:tcBorders>
            <w:tcMar>
              <w:top w:w="100" w:type="nil"/>
              <w:right w:w="100" w:type="nil"/>
            </w:tcMar>
            <w:vAlign w:val="center"/>
          </w:tcPr>
          <w:p w14:paraId="71F6FE8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2B9077C3"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604F362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18E61ED3" w14:textId="61A84984" w:rsidR="00D644EE" w:rsidRPr="00AB4825" w:rsidRDefault="00AB4825">
      <w:pPr>
        <w:autoSpaceDE w:val="0"/>
        <w:autoSpaceDN w:val="0"/>
        <w:adjustRightInd w:val="0"/>
        <w:rPr>
          <w:rFonts w:asciiTheme="majorHAnsi" w:hAnsiTheme="majorHAnsi" w:cstheme="majorHAnsi"/>
          <w:sz w:val="20"/>
          <w:szCs w:val="20"/>
          <w:lang w:val="en-US"/>
        </w:rPr>
      </w:pPr>
      <w:r>
        <w:rPr>
          <w:rFonts w:asciiTheme="majorHAnsi" w:hAnsiTheme="majorHAnsi" w:cstheme="majorHAnsi"/>
          <w:i/>
          <w:iCs/>
          <w:sz w:val="20"/>
          <w:szCs w:val="20"/>
          <w:lang w:val="en-US"/>
        </w:rPr>
        <w:t xml:space="preserve">Note. </w:t>
      </w:r>
      <w:r>
        <w:rPr>
          <w:rFonts w:asciiTheme="majorHAnsi" w:hAnsiTheme="majorHAnsi" w:cstheme="majorHAnsi"/>
          <w:sz w:val="20"/>
          <w:szCs w:val="20"/>
          <w:lang w:val="en-US"/>
        </w:rPr>
        <w:t>Exponentiated coefficients; 95% confidence intervals in brackets</w:t>
      </w:r>
    </w:p>
    <w:p w14:paraId="4F395054" w14:textId="77777777" w:rsidR="00D644EE" w:rsidRPr="00AB4825" w:rsidRDefault="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0E3D0D2D" w14:textId="77777777" w:rsidR="00D644EE" w:rsidRPr="00824E21" w:rsidRDefault="00D644EE" w:rsidP="00AB4825">
      <w:pPr>
        <w:spacing w:line="360" w:lineRule="auto"/>
        <w:rPr>
          <w:rFonts w:asciiTheme="majorHAnsi" w:hAnsiTheme="majorHAnsi" w:cstheme="majorHAnsi"/>
        </w:rPr>
      </w:pPr>
    </w:p>
    <w:p w14:paraId="52282235" w14:textId="2E771C82" w:rsidR="002B2BA4" w:rsidRPr="00B621E1" w:rsidRDefault="002B2BA4" w:rsidP="004F595A">
      <w:pPr>
        <w:spacing w:line="360" w:lineRule="auto"/>
        <w:ind w:firstLine="720"/>
        <w:rPr>
          <w:rFonts w:asciiTheme="majorHAnsi" w:hAnsiTheme="majorHAnsi" w:cstheme="majorHAnsi"/>
        </w:rPr>
      </w:pPr>
      <w:r>
        <w:rPr>
          <w:rFonts w:asciiTheme="majorHAnsi" w:hAnsiTheme="majorHAnsi" w:cstheme="majorHAnsi"/>
        </w:rPr>
        <w:t xml:space="preserve">For degree aspirations (Tables 8 and 9), ordered logit results reported as odds ratios indicate that nonbinary students had significantly higher degree aspirations than cisgender men (OR = 1.80, 95% CI [1.43, 2.26]), with the largest and most precisely estimated odds ratio among the trans and gender expansive categories; this difference 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demographic controls (OR = 1.54, 95% CI [0.99, 2.41]). Cisgender women had significantly higher degree aspirations across both specifications (OR = 1.63 unconditional; OR = 1.73 with controls). For transgender women, the very small sample size (n = 20) produced estimates that were too imprecise to support meaningful inference (OR = 1.19, 95% CI [0.55, 2.61]); while the descriptive patterns suggest </w:t>
      </w:r>
      <w:r>
        <w:rPr>
          <w:rFonts w:asciiTheme="majorHAnsi" w:hAnsiTheme="majorHAnsi" w:cstheme="majorHAnsi"/>
        </w:rPr>
        <w:lastRenderedPageBreak/>
        <w:t>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12 rather than interpret these coefficients substantively. In terms of sexual orientation, gay or lesbian students (OR = 1.53, 95% CI [1.25, 1.87]) and bisexual/pansexual/omnisexual students (OR = 1.64, 95% CI [1.45, 1.84]) consistently reported higher degree aspirations across both specifications. The odds ratios for asexual/aromantic/demisexual students (OR = 1.52, 95% CI [1.17, 1.98]) and other/queer/questioning students (OR = 1.44, 95% CI [1.06, 1.96]) were significant in the unconditional models but attenuated and no longer statistically significant with the inclusion of demographic controls, suggesting that some of these descriptive differences may reflect compositional variation in race/ethnicity or parental education.</w:t>
      </w:r>
    </w:p>
    <w:p w14:paraId="6535ABED" w14:textId="77777777" w:rsidR="002A0567" w:rsidRPr="00B621E1" w:rsidRDefault="002A0567" w:rsidP="004F595A">
      <w:pPr>
        <w:spacing w:line="360" w:lineRule="auto"/>
        <w:rPr>
          <w:rFonts w:asciiTheme="majorHAnsi" w:hAnsiTheme="majorHAnsi" w:cstheme="majorHAnsi"/>
          <w:b/>
          <w:bCs/>
        </w:rPr>
      </w:pPr>
    </w:p>
    <w:p w14:paraId="49F9CAB8" w14:textId="413498AA"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Table 8</w:t>
      </w:r>
    </w:p>
    <w:p w14:paraId="4777BBC4" w14:textId="382D454A" w:rsidR="002A0567" w:rsidRPr="00824E21" w:rsidRDefault="002A0567" w:rsidP="002A0567">
      <w:pPr>
        <w:autoSpaceDE w:val="0"/>
        <w:autoSpaceDN w:val="0"/>
        <w:adjustRightInd w:val="0"/>
        <w:rPr>
          <w:rFonts w:asciiTheme="majorHAnsi" w:hAnsiTheme="majorHAnsi" w:cstheme="majorHAnsi"/>
          <w:i/>
          <w:iCs/>
        </w:rPr>
      </w:pPr>
      <w:r w:rsidRPr="00350E20">
        <w:rPr>
          <w:rFonts w:asciiTheme="majorHAnsi" w:hAnsiTheme="majorHAnsi" w:cstheme="majorHAnsi"/>
          <w:lang w:val="en-US"/>
        </w:rPr>
        <w:t>Ordered Logit Models: Highest Degree Plans (Odds Ratios)</w:t>
      </w:r>
      <w:r w:rsidRPr="00350E20">
        <w:rPr>
          <w:rFonts w:asciiTheme="majorHAnsi" w:hAnsiTheme="majorHAnsi" w:cstheme="majorHAnsi"/>
          <w:i/>
          <w:iCs/>
        </w:rPr>
        <w:t xml:space="preserve"> , by Gender Identity</w:t>
      </w:r>
    </w:p>
    <w:p w14:paraId="639D7C13" w14:textId="77777777" w:rsidR="002A0567" w:rsidRPr="006159A0" w:rsidRDefault="002A0567" w:rsidP="002A0567">
      <w:pPr>
        <w:autoSpaceDE w:val="0"/>
        <w:autoSpaceDN w:val="0"/>
        <w:adjustRightInd w:val="0"/>
        <w:rPr>
          <w:rFonts w:asciiTheme="majorHAnsi" w:hAnsiTheme="majorHAnsi" w:cstheme="majorHAnsi"/>
          <w:lang w:val="en-US"/>
        </w:rPr>
      </w:pPr>
    </w:p>
    <w:tbl>
      <w:tblPr>
        <w:tblW w:w="5000" w:type="pct"/>
        <w:tblLayout w:type="fixed"/>
        <w:tblLook w:val="0000" w:firstRow="0" w:lastRow="0" w:firstColumn="0" w:lastColumn="0" w:noHBand="0" w:noVBand="0"/>
      </w:tblPr>
      <w:tblGrid>
        <w:gridCol w:w="3120"/>
        <w:gridCol w:w="3121"/>
        <w:gridCol w:w="3119"/>
      </w:tblGrid>
      <w:tr w:rsidR="002A0567" w:rsidRPr="00B621E1" w14:paraId="64D86E65" w14:textId="77777777" w:rsidTr="006159A0">
        <w:tc>
          <w:tcPr>
            <w:tcW w:w="1667" w:type="pct"/>
            <w:tcBorders>
              <w:top w:val="single" w:sz="4" w:space="0" w:color="auto"/>
              <w:bottom w:val="single" w:sz="4" w:space="0" w:color="auto"/>
            </w:tcBorders>
            <w:tcMar>
              <w:top w:w="100" w:type="nil"/>
              <w:right w:w="100" w:type="nil"/>
            </w:tcMar>
            <w:vAlign w:val="center"/>
          </w:tcPr>
          <w:p w14:paraId="576B174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bottom w:val="single" w:sz="4" w:space="0" w:color="auto"/>
            </w:tcBorders>
            <w:tcMar>
              <w:top w:w="100" w:type="nil"/>
              <w:right w:w="100" w:type="nil"/>
            </w:tcMar>
            <w:vAlign w:val="center"/>
          </w:tcPr>
          <w:p w14:paraId="42681CA3"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667" w:type="pct"/>
            <w:tcBorders>
              <w:top w:val="single" w:sz="4" w:space="0" w:color="auto"/>
              <w:bottom w:val="single" w:sz="4" w:space="0" w:color="auto"/>
            </w:tcBorders>
            <w:tcMar>
              <w:top w:w="100" w:type="nil"/>
              <w:right w:w="100" w:type="nil"/>
            </w:tcMar>
            <w:vAlign w:val="center"/>
          </w:tcPr>
          <w:p w14:paraId="2F1F750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r>
      <w:tr w:rsidR="002A0567" w:rsidRPr="00B621E1" w14:paraId="31DE8C89" w14:textId="77777777" w:rsidTr="006159A0">
        <w:tc>
          <w:tcPr>
            <w:tcW w:w="1667" w:type="pct"/>
            <w:tcBorders>
              <w:top w:val="single" w:sz="4" w:space="0" w:color="auto"/>
            </w:tcBorders>
            <w:tcMar>
              <w:top w:w="100" w:type="nil"/>
              <w:right w:w="100" w:type="nil"/>
            </w:tcMar>
            <w:vAlign w:val="center"/>
          </w:tcPr>
          <w:p w14:paraId="5E0FFA06" w14:textId="10617A10"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F7902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61BEB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r>
      <w:tr w:rsidR="002A0567" w:rsidRPr="00B621E1" w14:paraId="5B3696DF" w14:textId="77777777" w:rsidTr="006159A0">
        <w:tc>
          <w:tcPr>
            <w:tcW w:w="1667" w:type="pct"/>
            <w:tcMar>
              <w:top w:w="100" w:type="nil"/>
              <w:right w:w="100" w:type="nil"/>
            </w:tcMar>
            <w:vAlign w:val="center"/>
          </w:tcPr>
          <w:p w14:paraId="41C228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Cisgender Woman</w:t>
            </w:r>
          </w:p>
        </w:tc>
        <w:tc>
          <w:tcPr>
            <w:tcW w:w="1667" w:type="pct"/>
            <w:tcMar>
              <w:top w:w="100" w:type="nil"/>
              <w:right w:w="100" w:type="nil"/>
            </w:tcMar>
            <w:vAlign w:val="center"/>
          </w:tcPr>
          <w:p w14:paraId="509D7F8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1.627</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453346F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1.734</w:t>
            </w:r>
            <w:r>
              <w:rPr>
                <w:rFonts w:asciiTheme="majorHAnsi" w:hAnsiTheme="majorHAnsi" w:cstheme="majorHAnsi"/>
                <w:sz w:val="20"/>
                <w:szCs w:val="20"/>
                <w:vertAlign w:val="superscript"/>
                <w:lang w:val="en-US"/>
              </w:rPr>
              <w:t>***</w:t>
            </w:r>
          </w:p>
        </w:tc>
      </w:tr>
      <w:tr w:rsidR="002A0567" w:rsidRPr="00B621E1" w14:paraId="60BD3CBB" w14:textId="77777777" w:rsidTr="006159A0">
        <w:tc>
          <w:tcPr>
            <w:tcW w:w="1667" w:type="pct"/>
            <w:tcMar>
              <w:top w:w="100" w:type="nil"/>
              <w:right w:w="100" w:type="nil"/>
            </w:tcMar>
            <w:vAlign w:val="center"/>
          </w:tcPr>
          <w:p w14:paraId="5846CFBD"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F9C60A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[1.489,1.777]</w:t>
            </w:r>
          </w:p>
        </w:tc>
        <w:tc>
          <w:tcPr>
            <w:tcW w:w="1667" w:type="pct"/>
            <w:tcMar>
              <w:top w:w="100" w:type="nil"/>
              <w:right w:w="100" w:type="nil"/>
            </w:tcMar>
            <w:vAlign w:val="center"/>
          </w:tcPr>
          <w:p w14:paraId="1D33A13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[1.585,1.896]</w:t>
            </w:r>
          </w:p>
        </w:tc>
      </w:tr>
      <w:tr w:rsidR="002A0567" w:rsidRPr="00B621E1" w14:paraId="33679E23" w14:textId="77777777" w:rsidTr="006159A0">
        <w:tc>
          <w:tcPr>
            <w:tcW w:w="1667" w:type="pct"/>
            <w:tcMar>
              <w:top w:w="100" w:type="nil"/>
              <w:right w:w="100" w:type="nil"/>
            </w:tcMar>
            <w:vAlign w:val="center"/>
          </w:tcPr>
          <w:p w14:paraId="56CFCC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CD764B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E404A1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5C5500" w14:textId="77777777" w:rsidTr="006159A0">
        <w:tc>
          <w:tcPr>
            <w:tcW w:w="1667" w:type="pct"/>
            <w:tcMar>
              <w:top w:w="100" w:type="nil"/>
              <w:right w:w="100" w:type="nil"/>
            </w:tcMar>
            <w:vAlign w:val="center"/>
          </w:tcPr>
          <w:p w14:paraId="292A84B3"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Man</w:t>
            </w:r>
          </w:p>
        </w:tc>
        <w:tc>
          <w:tcPr>
            <w:tcW w:w="1667" w:type="pct"/>
            <w:tcMar>
              <w:top w:w="100" w:type="nil"/>
              <w:right w:w="100" w:type="nil"/>
            </w:tcMar>
            <w:vAlign w:val="center"/>
          </w:tcPr>
          <w:p w14:paraId="5F3194A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0C20AB6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1.661</w:t>
            </w:r>
            <w:r>
              <w:rPr>
                <w:rFonts w:asciiTheme="majorHAnsi" w:hAnsiTheme="majorHAnsi" w:cstheme="majorHAnsi"/>
                <w:sz w:val="20"/>
                <w:szCs w:val="20"/>
                <w:vertAlign w:val="superscript"/>
                <w:lang w:val="en-US"/>
              </w:rPr>
              <w:t>**</w:t>
            </w:r>
          </w:p>
        </w:tc>
      </w:tr>
      <w:tr w:rsidR="002A0567" w:rsidRPr="00B621E1" w14:paraId="677FC4D2" w14:textId="77777777" w:rsidTr="006159A0">
        <w:tc>
          <w:tcPr>
            <w:tcW w:w="1667" w:type="pct"/>
            <w:tcMar>
              <w:top w:w="100" w:type="nil"/>
              <w:right w:w="100" w:type="nil"/>
            </w:tcMar>
            <w:vAlign w:val="center"/>
          </w:tcPr>
          <w:p w14:paraId="5D35BE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1E8D4CA"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[1.098,2.750]</w:t>
            </w:r>
          </w:p>
        </w:tc>
        <w:tc>
          <w:tcPr>
            <w:tcW w:w="1667" w:type="pct"/>
            <w:tcMar>
              <w:top w:w="100" w:type="nil"/>
              <w:right w:w="100" w:type="nil"/>
            </w:tcMar>
            <w:vAlign w:val="center"/>
          </w:tcPr>
          <w:p w14:paraId="0C3850C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[1.032,2.674]</w:t>
            </w:r>
          </w:p>
        </w:tc>
      </w:tr>
      <w:tr w:rsidR="002A0567" w:rsidRPr="00B621E1" w14:paraId="4A702B42" w14:textId="77777777" w:rsidTr="006159A0">
        <w:tc>
          <w:tcPr>
            <w:tcW w:w="1667" w:type="pct"/>
            <w:tcMar>
              <w:top w:w="100" w:type="nil"/>
              <w:right w:w="100" w:type="nil"/>
            </w:tcMar>
            <w:vAlign w:val="center"/>
          </w:tcPr>
          <w:p w14:paraId="2BAEA70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64A58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D40CFC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06E65B" w14:textId="77777777" w:rsidTr="006159A0">
        <w:tc>
          <w:tcPr>
            <w:tcW w:w="1667" w:type="pct"/>
            <w:tcMar>
              <w:top w:w="100" w:type="nil"/>
              <w:right w:w="100" w:type="nil"/>
            </w:tcMar>
            <w:vAlign w:val="center"/>
          </w:tcPr>
          <w:p w14:paraId="4C3869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Woman</w:t>
            </w:r>
          </w:p>
        </w:tc>
        <w:tc>
          <w:tcPr>
            <w:tcW w:w="1667" w:type="pct"/>
            <w:tcMar>
              <w:top w:w="100" w:type="nil"/>
              <w:right w:w="100" w:type="nil"/>
            </w:tcMar>
            <w:vAlign w:val="center"/>
          </w:tcPr>
          <w:p w14:paraId="2B39197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1.194</w:t>
            </w:r>
          </w:p>
        </w:tc>
        <w:tc>
          <w:tcPr>
            <w:tcW w:w="1667" w:type="pct"/>
            <w:tcMar>
              <w:top w:w="100" w:type="nil"/>
              <w:right w:w="100" w:type="nil"/>
            </w:tcMar>
            <w:vAlign w:val="center"/>
          </w:tcPr>
          <w:p w14:paraId="4893754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1.050</w:t>
            </w:r>
          </w:p>
        </w:tc>
      </w:tr>
      <w:tr w:rsidR="002A0567" w:rsidRPr="00B621E1" w14:paraId="042CCB68" w14:textId="77777777" w:rsidTr="006159A0">
        <w:tc>
          <w:tcPr>
            <w:tcW w:w="1667" w:type="pct"/>
            <w:tcMar>
              <w:top w:w="100" w:type="nil"/>
              <w:right w:w="100" w:type="nil"/>
            </w:tcMar>
            <w:vAlign w:val="center"/>
          </w:tcPr>
          <w:p w14:paraId="0FC0086E"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5100F7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[0.548,2.605]</w:t>
            </w:r>
          </w:p>
        </w:tc>
        <w:tc>
          <w:tcPr>
            <w:tcW w:w="1667" w:type="pct"/>
            <w:tcMar>
              <w:top w:w="100" w:type="nil"/>
              <w:right w:w="100" w:type="nil"/>
            </w:tcMar>
            <w:vAlign w:val="center"/>
          </w:tcPr>
          <w:p w14:paraId="642F431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[0.477,2.311]</w:t>
            </w:r>
          </w:p>
        </w:tc>
      </w:tr>
      <w:tr w:rsidR="002A0567" w:rsidRPr="00B621E1" w14:paraId="0408C1D1" w14:textId="77777777" w:rsidTr="006159A0">
        <w:tc>
          <w:tcPr>
            <w:tcW w:w="1667" w:type="pct"/>
            <w:tcMar>
              <w:top w:w="100" w:type="nil"/>
              <w:right w:w="100" w:type="nil"/>
            </w:tcMar>
            <w:vAlign w:val="center"/>
          </w:tcPr>
          <w:p w14:paraId="4583FB4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34C5405"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240339C"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45B95D1F" w14:textId="77777777" w:rsidTr="006159A0">
        <w:tc>
          <w:tcPr>
            <w:tcW w:w="1667" w:type="pct"/>
            <w:tcMar>
              <w:top w:w="100" w:type="nil"/>
              <w:right w:w="100" w:type="nil"/>
            </w:tcMar>
            <w:vAlign w:val="center"/>
          </w:tcPr>
          <w:p w14:paraId="5F000FBE"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Non-binary</w:t>
            </w:r>
          </w:p>
        </w:tc>
        <w:tc>
          <w:tcPr>
            <w:tcW w:w="1667" w:type="pct"/>
            <w:tcMar>
              <w:top w:w="100" w:type="nil"/>
              <w:right w:w="100" w:type="nil"/>
            </w:tcMar>
            <w:vAlign w:val="center"/>
          </w:tcPr>
          <w:p w14:paraId="2068DB4B"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1.798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71B19BF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1.829</w:t>
            </w:r>
            <w:r>
              <w:rPr>
                <w:rFonts w:asciiTheme="majorHAnsi" w:hAnsiTheme="majorHAnsi" w:cstheme="majorHAnsi"/>
                <w:sz w:val="20"/>
                <w:szCs w:val="20"/>
                <w:vertAlign w:val="superscript"/>
                <w:lang w:val="en-US"/>
              </w:rPr>
              <w:t>***</w:t>
            </w:r>
          </w:p>
        </w:tc>
      </w:tr>
      <w:tr w:rsidR="002A0567" w:rsidRPr="00B621E1" w14:paraId="631DE734" w14:textId="77777777" w:rsidTr="006159A0">
        <w:tc>
          <w:tcPr>
            <w:tcW w:w="1667" w:type="pct"/>
            <w:tcMar>
              <w:top w:w="100" w:type="nil"/>
              <w:right w:w="100" w:type="nil"/>
            </w:tcMar>
            <w:vAlign w:val="center"/>
          </w:tcPr>
          <w:p w14:paraId="73365AF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074D3E8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[1.432,2.257]</w:t>
            </w:r>
          </w:p>
        </w:tc>
        <w:tc>
          <w:tcPr>
            <w:tcW w:w="1667" w:type="pct"/>
            <w:tcMar>
              <w:top w:w="100" w:type="nil"/>
              <w:right w:w="100" w:type="nil"/>
            </w:tcMar>
            <w:vAlign w:val="center"/>
          </w:tcPr>
          <w:p w14:paraId="396497B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[1.451,2.304]</w:t>
            </w:r>
          </w:p>
        </w:tc>
      </w:tr>
      <w:tr w:rsidR="002A0567" w:rsidRPr="00B621E1" w14:paraId="2812562A" w14:textId="77777777" w:rsidTr="006159A0">
        <w:tc>
          <w:tcPr>
            <w:tcW w:w="1667" w:type="pct"/>
            <w:tcMar>
              <w:top w:w="100" w:type="nil"/>
              <w:right w:w="100" w:type="nil"/>
            </w:tcMar>
            <w:vAlign w:val="center"/>
          </w:tcPr>
          <w:p w14:paraId="0D3BA2EA"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3E5A980"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CA459B5"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315A9923" w14:textId="77777777" w:rsidTr="006159A0">
        <w:tc>
          <w:tcPr>
            <w:tcW w:w="1667" w:type="pct"/>
            <w:tcMar>
              <w:top w:w="100" w:type="nil"/>
              <w:right w:w="100" w:type="nil"/>
            </w:tcMar>
            <w:vAlign w:val="center"/>
          </w:tcPr>
          <w:p w14:paraId="628041D4"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Gender Diverse/Questioning</w:t>
            </w:r>
          </w:p>
        </w:tc>
        <w:tc>
          <w:tcPr>
            <w:tcW w:w="1667" w:type="pct"/>
            <w:tcMar>
              <w:top w:w="100" w:type="nil"/>
              <w:right w:w="100" w:type="nil"/>
            </w:tcMar>
            <w:vAlign w:val="center"/>
          </w:tcPr>
          <w:p w14:paraId="6D6A412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1.584</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053290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1.541</w:t>
            </w:r>
            <w:r>
              <w:rPr>
                <w:rFonts w:asciiTheme="majorHAnsi" w:hAnsiTheme="majorHAnsi" w:cstheme="majorHAnsi"/>
                <w:sz w:val="20"/>
                <w:szCs w:val="20"/>
                <w:vertAlign w:val="superscript"/>
                <w:lang w:val="en-US"/>
              </w:rPr>
              <w:t>*</w:t>
            </w:r>
          </w:p>
        </w:tc>
      </w:tr>
      <w:tr w:rsidR="002A0567" w:rsidRPr="00B621E1" w14:paraId="7200D2D6" w14:textId="77777777" w:rsidTr="006159A0">
        <w:tc>
          <w:tcPr>
            <w:tcW w:w="1667" w:type="pct"/>
            <w:tcMar>
              <w:top w:w="100" w:type="nil"/>
              <w:right w:w="100" w:type="nil"/>
            </w:tcMar>
            <w:vAlign w:val="center"/>
          </w:tcPr>
          <w:p w14:paraId="7BB19D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7E66E9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[1.023,2.453]</w:t>
            </w:r>
          </w:p>
        </w:tc>
        <w:tc>
          <w:tcPr>
            <w:tcW w:w="1667" w:type="pct"/>
            <w:tcMar>
              <w:top w:w="100" w:type="nil"/>
              <w:right w:w="100" w:type="nil"/>
            </w:tcMar>
            <w:vAlign w:val="center"/>
          </w:tcPr>
          <w:p w14:paraId="0E2D116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[0.985,2.411]</w:t>
            </w:r>
          </w:p>
        </w:tc>
      </w:tr>
      <w:tr w:rsidR="002A0567" w:rsidRPr="00B621E1" w14:paraId="5955FAB1" w14:textId="77777777" w:rsidTr="006159A0">
        <w:tc>
          <w:tcPr>
            <w:tcW w:w="1667" w:type="pct"/>
            <w:tcMar>
              <w:top w:w="100" w:type="nil"/>
              <w:right w:w="100" w:type="nil"/>
            </w:tcMar>
            <w:vAlign w:val="center"/>
          </w:tcPr>
          <w:p w14:paraId="24A54DB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4A2FD3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BD9B087"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6352CF05" w14:textId="77777777" w:rsidTr="006159A0">
        <w:tc>
          <w:tcPr>
            <w:tcW w:w="1667" w:type="pct"/>
            <w:tcMar>
              <w:top w:w="100" w:type="nil"/>
              <w:right w:w="100" w:type="nil"/>
            </w:tcMar>
            <w:vAlign w:val="center"/>
          </w:tcPr>
          <w:p w14:paraId="527F355C"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667" w:type="pct"/>
            <w:tcMar>
              <w:top w:w="100" w:type="nil"/>
              <w:right w:w="100" w:type="nil"/>
            </w:tcMar>
            <w:vAlign w:val="center"/>
          </w:tcPr>
          <w:p w14:paraId="752EFB3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1.368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667487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1.296</w:t>
            </w:r>
          </w:p>
        </w:tc>
      </w:tr>
      <w:tr w:rsidR="002A0567" w:rsidRPr="00B621E1" w14:paraId="507D51EC" w14:textId="77777777" w:rsidTr="006159A0">
        <w:tc>
          <w:tcPr>
            <w:tcW w:w="1667" w:type="pct"/>
            <w:tcBorders>
              <w:bottom w:val="single" w:sz="4" w:space="0" w:color="auto"/>
            </w:tcBorders>
            <w:tcMar>
              <w:top w:w="100" w:type="nil"/>
              <w:right w:w="100" w:type="nil"/>
            </w:tcMar>
            <w:vAlign w:val="center"/>
          </w:tcPr>
          <w:p w14:paraId="7ADCE6F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bottom w:val="single" w:sz="4" w:space="0" w:color="auto"/>
            </w:tcBorders>
            <w:tcMar>
              <w:top w:w="100" w:type="nil"/>
              <w:right w:w="100" w:type="nil"/>
            </w:tcMar>
            <w:vAlign w:val="center"/>
          </w:tcPr>
          <w:p w14:paraId="07950D5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[1.005,1.863]</w:t>
            </w:r>
          </w:p>
        </w:tc>
        <w:tc>
          <w:tcPr>
            <w:tcW w:w="1667" w:type="pct"/>
            <w:tcBorders>
              <w:bottom w:val="single" w:sz="4" w:space="0" w:color="auto"/>
            </w:tcBorders>
            <w:tcMar>
              <w:top w:w="100" w:type="nil"/>
              <w:right w:w="100" w:type="nil"/>
            </w:tcMar>
            <w:vAlign w:val="center"/>
          </w:tcPr>
          <w:p w14:paraId="7C2C747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[0.945,1.778]</w:t>
            </w:r>
          </w:p>
        </w:tc>
      </w:tr>
      <w:tr w:rsidR="002A0567" w:rsidRPr="00B621E1" w14:paraId="00192A1B" w14:textId="77777777" w:rsidTr="006159A0">
        <w:tc>
          <w:tcPr>
            <w:tcW w:w="1667" w:type="pct"/>
            <w:tcBorders>
              <w:top w:val="single" w:sz="4" w:space="0" w:color="auto"/>
            </w:tcBorders>
            <w:tcMar>
              <w:top w:w="100" w:type="nil"/>
              <w:right w:w="100" w:type="nil"/>
            </w:tcMar>
            <w:vAlign w:val="center"/>
          </w:tcPr>
          <w:p w14:paraId="72BCB042"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667" w:type="pct"/>
            <w:tcBorders>
              <w:top w:val="single" w:sz="4" w:space="0" w:color="auto"/>
            </w:tcBorders>
            <w:tcMar>
              <w:top w:w="100" w:type="nil"/>
              <w:right w:w="100" w:type="nil"/>
            </w:tcMar>
            <w:vAlign w:val="center"/>
          </w:tcPr>
          <w:p w14:paraId="4BC2D8E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7497</w:t>
            </w:r>
          </w:p>
        </w:tc>
        <w:tc>
          <w:tcPr>
            <w:tcW w:w="1667" w:type="pct"/>
            <w:tcBorders>
              <w:top w:val="single" w:sz="4" w:space="0" w:color="auto"/>
            </w:tcBorders>
            <w:tcMar>
              <w:top w:w="100" w:type="nil"/>
              <w:right w:w="100" w:type="nil"/>
            </w:tcMar>
            <w:vAlign w:val="center"/>
          </w:tcPr>
          <w:p w14:paraId="0D07D23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7475</w:t>
            </w:r>
          </w:p>
        </w:tc>
      </w:tr>
      <w:tr w:rsidR="002A0567" w:rsidRPr="00B621E1" w14:paraId="0E4B9302" w14:textId="77777777" w:rsidTr="006159A0">
        <w:tc>
          <w:tcPr>
            <w:tcW w:w="1667" w:type="pct"/>
            <w:tcBorders>
              <w:bottom w:val="single" w:sz="4" w:space="0" w:color="auto"/>
            </w:tcBorders>
            <w:tcMar>
              <w:top w:w="100" w:type="nil"/>
              <w:right w:w="100" w:type="nil"/>
            </w:tcMar>
            <w:vAlign w:val="center"/>
          </w:tcPr>
          <w:p w14:paraId="60710D45"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667" w:type="pct"/>
            <w:tcBorders>
              <w:bottom w:val="single" w:sz="4" w:space="0" w:color="auto"/>
            </w:tcBorders>
            <w:tcMar>
              <w:top w:w="100" w:type="nil"/>
              <w:right w:w="100" w:type="nil"/>
            </w:tcMar>
            <w:vAlign w:val="center"/>
          </w:tcPr>
          <w:p w14:paraId="6C170A8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667" w:type="pct"/>
            <w:tcBorders>
              <w:bottom w:val="single" w:sz="4" w:space="0" w:color="auto"/>
            </w:tcBorders>
            <w:tcMar>
              <w:top w:w="100" w:type="nil"/>
              <w:right w:w="100" w:type="nil"/>
            </w:tcMar>
            <w:vAlign w:val="center"/>
          </w:tcPr>
          <w:p w14:paraId="4AFAB055"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4537D4F" w14:textId="77777777" w:rsidR="002A0567" w:rsidRPr="006159A0" w:rsidRDefault="002A0567" w:rsidP="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408B4EB1" w14:textId="27E43568" w:rsidR="002A0567" w:rsidRPr="006159A0" w:rsidRDefault="002A0567" w:rsidP="006159A0">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78A34AE1" w14:textId="77777777" w:rsidR="00953074" w:rsidRPr="00824E21" w:rsidRDefault="00953074" w:rsidP="004F595A">
      <w:pPr>
        <w:rPr>
          <w:rFonts w:asciiTheme="majorHAnsi" w:hAnsiTheme="majorHAnsi" w:cstheme="majorHAnsi"/>
          <w:sz w:val="20"/>
          <w:szCs w:val="20"/>
        </w:rPr>
      </w:pPr>
    </w:p>
    <w:p w14:paraId="32664F1F" w14:textId="77777777" w:rsidR="00350E20" w:rsidRDefault="00350E20" w:rsidP="004F595A">
      <w:pPr>
        <w:spacing w:line="360" w:lineRule="auto"/>
        <w:rPr>
          <w:rFonts w:asciiTheme="majorHAnsi" w:hAnsiTheme="majorHAnsi" w:cstheme="majorHAnsi"/>
          <w:b/>
          <w:bCs/>
        </w:rPr>
      </w:pPr>
    </w:p>
    <w:p w14:paraId="79B1B7B9" w14:textId="1E54B311" w:rsidR="004F595A" w:rsidRPr="00B621E1" w:rsidRDefault="004F595A" w:rsidP="004F595A">
      <w:pPr>
        <w:spacing w:line="360" w:lineRule="auto"/>
        <w:rPr>
          <w:rFonts w:asciiTheme="majorHAnsi" w:hAnsiTheme="majorHAnsi" w:cstheme="majorHAnsi"/>
        </w:rPr>
      </w:pPr>
      <w:r>
        <w:rPr>
          <w:rFonts w:asciiTheme="majorHAnsi" w:hAnsiTheme="majorHAnsi" w:cstheme="majorHAnsi"/>
          <w:b/>
          <w:bCs/>
        </w:rPr>
        <w:lastRenderedPageBreak/>
        <w:t>Table 9</w:t>
      </w:r>
    </w:p>
    <w:p w14:paraId="65F6509D" w14:textId="3984C9FF" w:rsidR="00321FF7" w:rsidRPr="006159A0" w:rsidRDefault="00321FF7" w:rsidP="006159A0">
      <w:pPr>
        <w:spacing w:line="360" w:lineRule="auto"/>
        <w:rPr>
          <w:rFonts w:asciiTheme="majorHAnsi" w:hAnsiTheme="majorHAnsi" w:cstheme="majorHAnsi"/>
          <w:lang w:val="en-US"/>
        </w:rPr>
      </w:pPr>
      <w:r w:rsidRPr="00350E20">
        <w:rPr>
          <w:rFonts w:asciiTheme="majorHAnsi" w:hAnsiTheme="majorHAnsi" w:cstheme="majorHAnsi"/>
          <w:lang w:val="en-US"/>
        </w:rPr>
        <w:t>Ordered Logit Models: Highest Degree Plans (Odds Ratios)</w:t>
      </w:r>
      <w:r w:rsidRPr="00350E20">
        <w:rPr>
          <w:rFonts w:asciiTheme="majorHAnsi" w:hAnsiTheme="majorHAnsi" w:cstheme="majorHAnsi"/>
          <w:i/>
          <w:iCs/>
        </w:rPr>
        <w:t>, by Sexual Orientation</w:t>
      </w:r>
    </w:p>
    <w:tbl>
      <w:tblPr>
        <w:tblW w:w="5000" w:type="pct"/>
        <w:jc w:val="center"/>
        <w:tblLayout w:type="fixed"/>
        <w:tblLook w:val="0000" w:firstRow="0" w:lastRow="0" w:firstColumn="0" w:lastColumn="0" w:noHBand="0" w:noVBand="0"/>
      </w:tblPr>
      <w:tblGrid>
        <w:gridCol w:w="2340"/>
        <w:gridCol w:w="2340"/>
        <w:gridCol w:w="2340"/>
        <w:gridCol w:w="2340"/>
      </w:tblGrid>
      <w:tr w:rsidR="00321FF7" w:rsidRPr="00B621E1" w14:paraId="3CCDC271" w14:textId="77777777" w:rsidTr="006159A0">
        <w:trPr>
          <w:jc w:val="center"/>
        </w:trPr>
        <w:tc>
          <w:tcPr>
            <w:tcW w:w="1250" w:type="pct"/>
            <w:tcBorders>
              <w:top w:val="single" w:sz="4" w:space="0" w:color="auto"/>
              <w:bottom w:val="single" w:sz="4" w:space="0" w:color="auto"/>
            </w:tcBorders>
            <w:tcMar>
              <w:top w:w="100" w:type="nil"/>
              <w:right w:w="100" w:type="nil"/>
            </w:tcMar>
            <w:vAlign w:val="center"/>
          </w:tcPr>
          <w:p w14:paraId="357F741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bottom w:val="single" w:sz="4" w:space="0" w:color="auto"/>
            </w:tcBorders>
            <w:tcMar>
              <w:top w:w="100" w:type="nil"/>
              <w:right w:w="100" w:type="nil"/>
            </w:tcMar>
            <w:vAlign w:val="center"/>
          </w:tcPr>
          <w:p w14:paraId="7595AD7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250" w:type="pct"/>
            <w:tcBorders>
              <w:top w:val="single" w:sz="4" w:space="0" w:color="auto"/>
              <w:bottom w:val="single" w:sz="4" w:space="0" w:color="auto"/>
            </w:tcBorders>
            <w:tcMar>
              <w:top w:w="100" w:type="nil"/>
              <w:right w:w="100" w:type="nil"/>
            </w:tcMar>
            <w:vAlign w:val="center"/>
          </w:tcPr>
          <w:p w14:paraId="0A2D560D"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250" w:type="pct"/>
            <w:tcBorders>
              <w:top w:val="single" w:sz="4" w:space="0" w:color="auto"/>
              <w:bottom w:val="single" w:sz="4" w:space="0" w:color="auto"/>
            </w:tcBorders>
            <w:tcMar>
              <w:top w:w="100" w:type="nil"/>
              <w:right w:w="100" w:type="nil"/>
            </w:tcMar>
            <w:vAlign w:val="center"/>
          </w:tcPr>
          <w:p w14:paraId="084AE8B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321FF7" w:rsidRPr="00B621E1" w14:paraId="5FE8CA7E" w14:textId="77777777" w:rsidTr="006159A0">
        <w:trPr>
          <w:jc w:val="center"/>
        </w:trPr>
        <w:tc>
          <w:tcPr>
            <w:tcW w:w="1250" w:type="pct"/>
            <w:tcBorders>
              <w:top w:val="single" w:sz="4" w:space="0" w:color="auto"/>
            </w:tcBorders>
            <w:tcMar>
              <w:top w:w="100" w:type="nil"/>
              <w:right w:w="100" w:type="nil"/>
            </w:tcMar>
            <w:vAlign w:val="center"/>
          </w:tcPr>
          <w:p w14:paraId="3CA9315B" w14:textId="20E37F86"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41D754C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7CDB9B7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0FE85A9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r>
      <w:tr w:rsidR="00321FF7" w:rsidRPr="00B621E1" w14:paraId="5617B2F1" w14:textId="77777777" w:rsidTr="006159A0">
        <w:trPr>
          <w:jc w:val="center"/>
        </w:trPr>
        <w:tc>
          <w:tcPr>
            <w:tcW w:w="1250" w:type="pct"/>
            <w:tcMar>
              <w:top w:w="100" w:type="nil"/>
              <w:right w:w="100" w:type="nil"/>
            </w:tcMar>
            <w:vAlign w:val="center"/>
          </w:tcPr>
          <w:p w14:paraId="00AD29F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1250" w:type="pct"/>
            <w:tcMar>
              <w:top w:w="100" w:type="nil"/>
              <w:right w:w="100" w:type="nil"/>
            </w:tcMar>
            <w:vAlign w:val="center"/>
          </w:tcPr>
          <w:p w14:paraId="0E302C5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922F61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1.388</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7D48349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1.353</w:t>
            </w:r>
            <w:r>
              <w:rPr>
                <w:rFonts w:asciiTheme="majorHAnsi" w:hAnsiTheme="majorHAnsi" w:cstheme="majorHAnsi"/>
                <w:sz w:val="20"/>
                <w:szCs w:val="20"/>
                <w:vertAlign w:val="superscript"/>
                <w:lang w:val="en-US"/>
              </w:rPr>
              <w:t>***</w:t>
            </w:r>
          </w:p>
        </w:tc>
      </w:tr>
      <w:tr w:rsidR="00321FF7" w:rsidRPr="00B621E1" w14:paraId="4A8925F1" w14:textId="77777777" w:rsidTr="006159A0">
        <w:trPr>
          <w:jc w:val="center"/>
        </w:trPr>
        <w:tc>
          <w:tcPr>
            <w:tcW w:w="1250" w:type="pct"/>
            <w:tcMar>
              <w:top w:w="100" w:type="nil"/>
              <w:right w:w="100" w:type="nil"/>
            </w:tcMar>
            <w:vAlign w:val="center"/>
          </w:tcPr>
          <w:p w14:paraId="6638B91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920A22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[1.250,1.867]</w:t>
            </w:r>
          </w:p>
        </w:tc>
        <w:tc>
          <w:tcPr>
            <w:tcW w:w="1250" w:type="pct"/>
            <w:tcMar>
              <w:top w:w="100" w:type="nil"/>
              <w:right w:w="100" w:type="nil"/>
            </w:tcMar>
            <w:vAlign w:val="center"/>
          </w:tcPr>
          <w:p w14:paraId="63F8CD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[1.130,1.704]</w:t>
            </w:r>
          </w:p>
        </w:tc>
        <w:tc>
          <w:tcPr>
            <w:tcW w:w="1250" w:type="pct"/>
            <w:tcMar>
              <w:top w:w="100" w:type="nil"/>
              <w:right w:w="100" w:type="nil"/>
            </w:tcMar>
            <w:vAlign w:val="center"/>
          </w:tcPr>
          <w:p w14:paraId="5AFD82A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[1.101,1.663]</w:t>
            </w:r>
          </w:p>
        </w:tc>
      </w:tr>
      <w:tr w:rsidR="00321FF7" w:rsidRPr="00B621E1" w14:paraId="3934E8BC" w14:textId="77777777" w:rsidTr="006159A0">
        <w:trPr>
          <w:jc w:val="center"/>
        </w:trPr>
        <w:tc>
          <w:tcPr>
            <w:tcW w:w="1250" w:type="pct"/>
            <w:tcMar>
              <w:top w:w="100" w:type="nil"/>
              <w:right w:w="100" w:type="nil"/>
            </w:tcMar>
            <w:vAlign w:val="center"/>
          </w:tcPr>
          <w:p w14:paraId="0A81650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10D3BD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13BCBA5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4A444C6E"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2F2BC1C" w14:textId="77777777" w:rsidTr="006159A0">
        <w:trPr>
          <w:jc w:val="center"/>
        </w:trPr>
        <w:tc>
          <w:tcPr>
            <w:tcW w:w="1250" w:type="pct"/>
            <w:tcMar>
              <w:top w:w="100" w:type="nil"/>
              <w:right w:w="100" w:type="nil"/>
            </w:tcMar>
            <w:vAlign w:val="center"/>
          </w:tcPr>
          <w:p w14:paraId="3DD146C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1250" w:type="pct"/>
            <w:tcMar>
              <w:top w:w="100" w:type="nil"/>
              <w:right w:w="100" w:type="nil"/>
            </w:tcMar>
            <w:vAlign w:val="center"/>
          </w:tcPr>
          <w:p w14:paraId="2095B31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1.636</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2A03341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57F166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1.386</w:t>
            </w:r>
            <w:r>
              <w:rPr>
                <w:rFonts w:asciiTheme="majorHAnsi" w:hAnsiTheme="majorHAnsi" w:cstheme="majorHAnsi"/>
                <w:sz w:val="20"/>
                <w:szCs w:val="20"/>
                <w:vertAlign w:val="superscript"/>
                <w:lang w:val="en-US"/>
              </w:rPr>
              <w:t>***</w:t>
            </w:r>
          </w:p>
        </w:tc>
      </w:tr>
      <w:tr w:rsidR="00321FF7" w:rsidRPr="00B621E1" w14:paraId="2A52FD41" w14:textId="77777777" w:rsidTr="006159A0">
        <w:trPr>
          <w:jc w:val="center"/>
        </w:trPr>
        <w:tc>
          <w:tcPr>
            <w:tcW w:w="1250" w:type="pct"/>
            <w:tcMar>
              <w:top w:w="100" w:type="nil"/>
              <w:right w:w="100" w:type="nil"/>
            </w:tcMar>
            <w:vAlign w:val="center"/>
          </w:tcPr>
          <w:p w14:paraId="15276294"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FD8A8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[1.454,1.840]</w:t>
            </w:r>
          </w:p>
        </w:tc>
        <w:tc>
          <w:tcPr>
            <w:tcW w:w="1250" w:type="pct"/>
            <w:tcMar>
              <w:top w:w="100" w:type="nil"/>
              <w:right w:w="100" w:type="nil"/>
            </w:tcMar>
            <w:vAlign w:val="center"/>
          </w:tcPr>
          <w:p w14:paraId="73B830C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[1.408,1.788]</w:t>
            </w:r>
          </w:p>
        </w:tc>
        <w:tc>
          <w:tcPr>
            <w:tcW w:w="1250" w:type="pct"/>
            <w:tcMar>
              <w:top w:w="100" w:type="nil"/>
              <w:right w:w="100" w:type="nil"/>
            </w:tcMar>
            <w:vAlign w:val="center"/>
          </w:tcPr>
          <w:p w14:paraId="7C3578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[1.226,1.566]</w:t>
            </w:r>
          </w:p>
        </w:tc>
      </w:tr>
      <w:tr w:rsidR="00321FF7" w:rsidRPr="00B621E1" w14:paraId="630DCF73" w14:textId="77777777" w:rsidTr="006159A0">
        <w:trPr>
          <w:jc w:val="center"/>
        </w:trPr>
        <w:tc>
          <w:tcPr>
            <w:tcW w:w="1250" w:type="pct"/>
            <w:tcMar>
              <w:top w:w="100" w:type="nil"/>
              <w:right w:w="100" w:type="nil"/>
            </w:tcMar>
            <w:vAlign w:val="center"/>
          </w:tcPr>
          <w:p w14:paraId="4CCA5D8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A73301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0084AE8"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592E5F60"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097ED4F0" w14:textId="77777777" w:rsidTr="006159A0">
        <w:trPr>
          <w:jc w:val="center"/>
        </w:trPr>
        <w:tc>
          <w:tcPr>
            <w:tcW w:w="1250" w:type="pct"/>
            <w:tcMar>
              <w:top w:w="100" w:type="nil"/>
              <w:right w:w="100" w:type="nil"/>
            </w:tcMar>
            <w:vAlign w:val="center"/>
          </w:tcPr>
          <w:p w14:paraId="23DC53A2"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1250" w:type="pct"/>
            <w:tcMar>
              <w:top w:w="100" w:type="nil"/>
              <w:right w:w="100" w:type="nil"/>
            </w:tcMar>
            <w:vAlign w:val="center"/>
          </w:tcPr>
          <w:p w14:paraId="568134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35B704D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1.251</w:t>
            </w:r>
          </w:p>
        </w:tc>
        <w:tc>
          <w:tcPr>
            <w:tcW w:w="1250" w:type="pct"/>
            <w:tcMar>
              <w:top w:w="100" w:type="nil"/>
              <w:right w:w="100" w:type="nil"/>
            </w:tcMar>
            <w:vAlign w:val="center"/>
          </w:tcPr>
          <w:p w14:paraId="4942247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1.079</w:t>
            </w:r>
          </w:p>
        </w:tc>
      </w:tr>
      <w:tr w:rsidR="00321FF7" w:rsidRPr="00B621E1" w14:paraId="564EE3A7" w14:textId="77777777" w:rsidTr="006159A0">
        <w:trPr>
          <w:jc w:val="center"/>
        </w:trPr>
        <w:tc>
          <w:tcPr>
            <w:tcW w:w="1250" w:type="pct"/>
            <w:tcMar>
              <w:top w:w="100" w:type="nil"/>
              <w:right w:w="100" w:type="nil"/>
            </w:tcMar>
            <w:vAlign w:val="center"/>
          </w:tcPr>
          <w:p w14:paraId="61BBA28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656D66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[1.168,1.983]</w:t>
            </w:r>
          </w:p>
        </w:tc>
        <w:tc>
          <w:tcPr>
            <w:tcW w:w="1250" w:type="pct"/>
            <w:tcMar>
              <w:top w:w="100" w:type="nil"/>
              <w:right w:w="100" w:type="nil"/>
            </w:tcMar>
            <w:vAlign w:val="center"/>
          </w:tcPr>
          <w:p w14:paraId="7C6B30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[0.955,1.638]</w:t>
            </w:r>
          </w:p>
        </w:tc>
        <w:tc>
          <w:tcPr>
            <w:tcW w:w="1250" w:type="pct"/>
            <w:tcMar>
              <w:top w:w="100" w:type="nil"/>
              <w:right w:w="100" w:type="nil"/>
            </w:tcMar>
            <w:vAlign w:val="center"/>
          </w:tcPr>
          <w:p w14:paraId="371FB42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[0.822,1.416]</w:t>
            </w:r>
          </w:p>
        </w:tc>
      </w:tr>
      <w:tr w:rsidR="00321FF7" w:rsidRPr="00B621E1" w14:paraId="43A92BBA" w14:textId="77777777" w:rsidTr="006159A0">
        <w:trPr>
          <w:jc w:val="center"/>
        </w:trPr>
        <w:tc>
          <w:tcPr>
            <w:tcW w:w="1250" w:type="pct"/>
            <w:tcMar>
              <w:top w:w="100" w:type="nil"/>
              <w:right w:w="100" w:type="nil"/>
            </w:tcMar>
            <w:vAlign w:val="center"/>
          </w:tcPr>
          <w:p w14:paraId="2B80734F"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9D457EA"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623DB16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3CABC5D"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D5D9387" w14:textId="77777777" w:rsidTr="006159A0">
        <w:trPr>
          <w:jc w:val="center"/>
        </w:trPr>
        <w:tc>
          <w:tcPr>
            <w:tcW w:w="1250" w:type="pct"/>
            <w:tcMar>
              <w:top w:w="100" w:type="nil"/>
              <w:right w:w="100" w:type="nil"/>
            </w:tcMar>
            <w:vAlign w:val="center"/>
          </w:tcPr>
          <w:p w14:paraId="4BFF66A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1250" w:type="pct"/>
            <w:tcMar>
              <w:top w:w="100" w:type="nil"/>
              <w:right w:w="100" w:type="nil"/>
            </w:tcMar>
            <w:vAlign w:val="center"/>
          </w:tcPr>
          <w:p w14:paraId="2011AD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1.440</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130138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1.293</w:t>
            </w:r>
          </w:p>
        </w:tc>
        <w:tc>
          <w:tcPr>
            <w:tcW w:w="1250" w:type="pct"/>
            <w:tcMar>
              <w:top w:w="100" w:type="nil"/>
              <w:right w:w="100" w:type="nil"/>
            </w:tcMar>
            <w:vAlign w:val="center"/>
          </w:tcPr>
          <w:p w14:paraId="0C6A842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1.117</w:t>
            </w:r>
          </w:p>
        </w:tc>
      </w:tr>
      <w:tr w:rsidR="00321FF7" w:rsidRPr="00B621E1" w14:paraId="7FAF9A45" w14:textId="77777777" w:rsidTr="006159A0">
        <w:trPr>
          <w:jc w:val="center"/>
        </w:trPr>
        <w:tc>
          <w:tcPr>
            <w:tcW w:w="1250" w:type="pct"/>
            <w:tcMar>
              <w:top w:w="100" w:type="nil"/>
              <w:right w:w="100" w:type="nil"/>
            </w:tcMar>
            <w:vAlign w:val="center"/>
          </w:tcPr>
          <w:p w14:paraId="39F1927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38B97D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[1.056,1.963]</w:t>
            </w:r>
          </w:p>
        </w:tc>
        <w:tc>
          <w:tcPr>
            <w:tcW w:w="1250" w:type="pct"/>
            <w:tcMar>
              <w:top w:w="100" w:type="nil"/>
              <w:right w:w="100" w:type="nil"/>
            </w:tcMar>
            <w:vAlign w:val="center"/>
          </w:tcPr>
          <w:p w14:paraId="1D4D2C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[0.941,1.777]</w:t>
            </w:r>
          </w:p>
        </w:tc>
        <w:tc>
          <w:tcPr>
            <w:tcW w:w="1250" w:type="pct"/>
            <w:tcMar>
              <w:top w:w="100" w:type="nil"/>
              <w:right w:w="100" w:type="nil"/>
            </w:tcMar>
            <w:vAlign w:val="center"/>
          </w:tcPr>
          <w:p w14:paraId="34AD840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[0.811,1.537]</w:t>
            </w:r>
          </w:p>
        </w:tc>
      </w:tr>
      <w:tr w:rsidR="00321FF7" w:rsidRPr="00B621E1" w14:paraId="1587BD55" w14:textId="77777777" w:rsidTr="006159A0">
        <w:trPr>
          <w:jc w:val="center"/>
        </w:trPr>
        <w:tc>
          <w:tcPr>
            <w:tcW w:w="1250" w:type="pct"/>
            <w:tcMar>
              <w:top w:w="100" w:type="nil"/>
              <w:right w:w="100" w:type="nil"/>
            </w:tcMar>
            <w:vAlign w:val="center"/>
          </w:tcPr>
          <w:p w14:paraId="0EBE4813"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34DFAFE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46B46AC"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82F899"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2DE0318F" w14:textId="77777777" w:rsidTr="006159A0">
        <w:trPr>
          <w:jc w:val="center"/>
        </w:trPr>
        <w:tc>
          <w:tcPr>
            <w:tcW w:w="1250" w:type="pct"/>
            <w:tcMar>
              <w:top w:w="100" w:type="nil"/>
              <w:right w:w="100" w:type="nil"/>
            </w:tcMar>
            <w:vAlign w:val="center"/>
          </w:tcPr>
          <w:p w14:paraId="13771EC1"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250" w:type="pct"/>
            <w:tcMar>
              <w:top w:w="100" w:type="nil"/>
              <w:right w:w="100" w:type="nil"/>
            </w:tcMar>
            <w:vAlign w:val="center"/>
          </w:tcPr>
          <w:p w14:paraId="5BE3806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41C26C7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1.049</w:t>
            </w:r>
          </w:p>
        </w:tc>
        <w:tc>
          <w:tcPr>
            <w:tcW w:w="1250" w:type="pct"/>
            <w:tcMar>
              <w:top w:w="100" w:type="nil"/>
              <w:right w:w="100" w:type="nil"/>
            </w:tcMar>
            <w:vAlign w:val="center"/>
          </w:tcPr>
          <w:p w14:paraId="5AC760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0.957</w:t>
            </w:r>
          </w:p>
        </w:tc>
      </w:tr>
      <w:tr w:rsidR="00321FF7" w:rsidRPr="00B621E1" w14:paraId="5A4E4056" w14:textId="77777777" w:rsidTr="006159A0">
        <w:trPr>
          <w:jc w:val="center"/>
        </w:trPr>
        <w:tc>
          <w:tcPr>
            <w:tcW w:w="1250" w:type="pct"/>
            <w:tcBorders>
              <w:bottom w:val="single" w:sz="4" w:space="0" w:color="auto"/>
            </w:tcBorders>
            <w:tcMar>
              <w:top w:w="100" w:type="nil"/>
              <w:right w:w="100" w:type="nil"/>
            </w:tcMar>
            <w:vAlign w:val="center"/>
          </w:tcPr>
          <w:p w14:paraId="0CDA138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bottom w:val="single" w:sz="4" w:space="0" w:color="auto"/>
            </w:tcBorders>
            <w:tcMar>
              <w:top w:w="100" w:type="nil"/>
              <w:right w:w="100" w:type="nil"/>
            </w:tcMar>
            <w:vAlign w:val="center"/>
          </w:tcPr>
          <w:p w14:paraId="252B7D4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[0.986,1.370]</w:t>
            </w:r>
          </w:p>
        </w:tc>
        <w:tc>
          <w:tcPr>
            <w:tcW w:w="1250" w:type="pct"/>
            <w:tcBorders>
              <w:bottom w:val="single" w:sz="4" w:space="0" w:color="auto"/>
            </w:tcBorders>
            <w:tcMar>
              <w:top w:w="100" w:type="nil"/>
              <w:right w:w="100" w:type="nil"/>
            </w:tcMar>
            <w:vAlign w:val="center"/>
          </w:tcPr>
          <w:p w14:paraId="1070F9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[0.887,1.240]</w:t>
            </w:r>
          </w:p>
        </w:tc>
        <w:tc>
          <w:tcPr>
            <w:tcW w:w="1250" w:type="pct"/>
            <w:tcBorders>
              <w:bottom w:val="single" w:sz="4" w:space="0" w:color="auto"/>
            </w:tcBorders>
            <w:tcMar>
              <w:top w:w="100" w:type="nil"/>
              <w:right w:w="100" w:type="nil"/>
            </w:tcMar>
            <w:vAlign w:val="center"/>
          </w:tcPr>
          <w:p w14:paraId="591A201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[0.808,1.132]</w:t>
            </w:r>
          </w:p>
        </w:tc>
      </w:tr>
      <w:tr w:rsidR="00321FF7" w:rsidRPr="00B621E1" w14:paraId="0587D73B" w14:textId="77777777" w:rsidTr="006159A0">
        <w:trPr>
          <w:jc w:val="center"/>
        </w:trPr>
        <w:tc>
          <w:tcPr>
            <w:tcW w:w="1250" w:type="pct"/>
            <w:tcBorders>
              <w:top w:val="single" w:sz="4" w:space="0" w:color="auto"/>
            </w:tcBorders>
            <w:tcMar>
              <w:top w:w="100" w:type="nil"/>
              <w:right w:w="100" w:type="nil"/>
            </w:tcMar>
            <w:vAlign w:val="center"/>
          </w:tcPr>
          <w:p w14:paraId="07071A9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250" w:type="pct"/>
            <w:tcBorders>
              <w:top w:val="single" w:sz="4" w:space="0" w:color="auto"/>
            </w:tcBorders>
            <w:tcMar>
              <w:top w:w="100" w:type="nil"/>
              <w:right w:w="100" w:type="nil"/>
            </w:tcMar>
            <w:vAlign w:val="center"/>
          </w:tcPr>
          <w:p w14:paraId="36946D5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1250" w:type="pct"/>
            <w:tcBorders>
              <w:top w:val="single" w:sz="4" w:space="0" w:color="auto"/>
            </w:tcBorders>
            <w:tcMar>
              <w:top w:w="100" w:type="nil"/>
              <w:right w:w="100" w:type="nil"/>
            </w:tcMar>
            <w:vAlign w:val="center"/>
          </w:tcPr>
          <w:p w14:paraId="7733BC48"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7433</w:t>
            </w:r>
          </w:p>
        </w:tc>
        <w:tc>
          <w:tcPr>
            <w:tcW w:w="1250" w:type="pct"/>
            <w:tcBorders>
              <w:top w:val="single" w:sz="4" w:space="0" w:color="auto"/>
            </w:tcBorders>
            <w:tcMar>
              <w:top w:w="100" w:type="nil"/>
              <w:right w:w="100" w:type="nil"/>
            </w:tcMar>
            <w:vAlign w:val="center"/>
          </w:tcPr>
          <w:p w14:paraId="16CB04E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7423</w:t>
            </w:r>
          </w:p>
        </w:tc>
      </w:tr>
      <w:tr w:rsidR="00321FF7" w:rsidRPr="00B621E1" w14:paraId="4FBC133E" w14:textId="77777777" w:rsidTr="006159A0">
        <w:trPr>
          <w:jc w:val="center"/>
        </w:trPr>
        <w:tc>
          <w:tcPr>
            <w:tcW w:w="1250" w:type="pct"/>
            <w:tcMar>
              <w:top w:w="100" w:type="nil"/>
              <w:right w:w="100" w:type="nil"/>
            </w:tcMar>
            <w:vAlign w:val="center"/>
          </w:tcPr>
          <w:p w14:paraId="4758A69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250" w:type="pct"/>
            <w:tcMar>
              <w:top w:w="100" w:type="nil"/>
              <w:right w:w="100" w:type="nil"/>
            </w:tcMar>
            <w:vAlign w:val="center"/>
          </w:tcPr>
          <w:p w14:paraId="2EFB8C2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Mar>
              <w:top w:w="100" w:type="nil"/>
              <w:right w:w="100" w:type="nil"/>
            </w:tcMar>
            <w:vAlign w:val="center"/>
          </w:tcPr>
          <w:p w14:paraId="033C8E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1250" w:type="pct"/>
            <w:tcMar>
              <w:top w:w="100" w:type="nil"/>
              <w:right w:w="100" w:type="nil"/>
            </w:tcMar>
            <w:vAlign w:val="center"/>
          </w:tcPr>
          <w:p w14:paraId="454052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321FF7" w:rsidRPr="00B621E1" w14:paraId="3B8F8FE6" w14:textId="77777777" w:rsidTr="006159A0">
        <w:trPr>
          <w:jc w:val="center"/>
        </w:trPr>
        <w:tc>
          <w:tcPr>
            <w:tcW w:w="1250" w:type="pct"/>
            <w:tcBorders>
              <w:bottom w:val="single" w:sz="4" w:space="0" w:color="auto"/>
            </w:tcBorders>
            <w:tcMar>
              <w:top w:w="100" w:type="nil"/>
              <w:right w:w="100" w:type="nil"/>
            </w:tcMar>
            <w:vAlign w:val="center"/>
          </w:tcPr>
          <w:p w14:paraId="7D3B1ADF"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1250" w:type="pct"/>
            <w:tcBorders>
              <w:bottom w:val="single" w:sz="4" w:space="0" w:color="auto"/>
            </w:tcBorders>
            <w:tcMar>
              <w:top w:w="100" w:type="nil"/>
              <w:right w:w="100" w:type="nil"/>
            </w:tcMar>
            <w:vAlign w:val="center"/>
          </w:tcPr>
          <w:p w14:paraId="5F82C5A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36E6C1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4D93D64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D902FF1" w14:textId="77777777" w:rsidR="00321FF7" w:rsidRPr="006159A0" w:rsidRDefault="00321FF7" w:rsidP="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25F6B945" w14:textId="232D9B0A" w:rsidR="00321FF7" w:rsidRPr="00824E21" w:rsidRDefault="00321FF7" w:rsidP="006159A0">
      <w:pPr>
        <w:autoSpaceDE w:val="0"/>
        <w:autoSpaceDN w:val="0"/>
        <w:adjustRightInd w:val="0"/>
        <w:rPr>
          <w:rFonts w:asciiTheme="majorHAnsi" w:hAnsiTheme="majorHAnsi" w:cstheme="majorHAnsi"/>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49EA4FF7" w14:textId="089EC37C" w:rsidR="00824E21" w:rsidRPr="00B621E1" w:rsidRDefault="004F595A" w:rsidP="006159A0">
      <w:pPr>
        <w:spacing w:before="240" w:line="360" w:lineRule="auto"/>
        <w:ind w:firstLine="720"/>
        <w:rPr>
          <w:rFonts w:asciiTheme="majorHAnsi" w:hAnsiTheme="majorHAnsi" w:cstheme="majorHAnsi"/>
        </w:rPr>
      </w:pPr>
      <w:r>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t>Qualitative Findings</w:t>
      </w:r>
    </w:p>
    <w:p w14:paraId="69BA04D8" w14:textId="19379C0F" w:rsidR="00405435"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The survey also asked respondents two open-ended questions: (1) “</w:t>
      </w:r>
      <w:r>
        <w:rPr>
          <w:rFonts w:asciiTheme="majorHAnsi" w:hAnsiTheme="majorHAnsi" w:cstheme="majorHAnsi"/>
          <w:highlight w:val="white"/>
        </w:rPr>
        <w:t>What do you think is the biggest challenge you’ll face in college?” and (2) “What</w:t>
      </w:r>
      <w:r>
        <w:rPr>
          <w:rFonts w:asciiTheme="majorHAnsi" w:hAnsiTheme="majorHAnsi" w:cstheme="majorHAnsi"/>
        </w:rPr>
        <w:t xml:space="preserve"> are you most excited about for college?” Although a full qualitative analysis of these data is beyond the scope of this </w:t>
      </w:r>
      <w:commentRangeStart w:id="78"/>
      <w:commentRangeStart w:id="79"/>
      <w:r>
        <w:rPr>
          <w:rFonts w:asciiTheme="majorHAnsi" w:hAnsiTheme="majorHAnsi" w:cstheme="majorHAnsi"/>
        </w:rPr>
        <w:t>paper</w:t>
      </w:r>
      <w:commentRangeEnd w:id="78"/>
      <w:r>
        <w:rPr>
          <w:rStyle w:val="CommentReference"/>
          <w:rFonts w:asciiTheme="majorHAnsi" w:hAnsiTheme="majorHAnsi" w:cstheme="majorHAnsi"/>
          <w:sz w:val="24"/>
          <w:szCs w:val="24"/>
        </w:rPr>
        <w:commentReference w:id="78"/>
      </w:r>
      <w:commentRangeEnd w:id="79"/>
      <w:r>
        <w:rPr>
          <w:rStyle w:val="CommentReference"/>
          <w:rFonts w:asciiTheme="majorHAnsi" w:hAnsiTheme="majorHAnsi" w:cstheme="majorHAnsi"/>
          <w:sz w:val="24"/>
          <w:szCs w:val="24"/>
        </w:rPr>
        <w:commentReference w:id="79"/>
      </w:r>
      <w:r>
        <w:rPr>
          <w:rFonts w:asciiTheme="majorHAnsi" w:hAnsiTheme="majorHAnsi" w:cstheme="majorHAnsi"/>
        </w:rPr>
        <w:t xml:space="preserve">, we </w:t>
      </w:r>
      <w:r>
        <w:rPr>
          <w:rFonts w:asciiTheme="majorHAnsi" w:hAnsiTheme="majorHAnsi" w:cstheme="majorHAnsi"/>
        </w:rPr>
        <w:lastRenderedPageBreak/>
        <w:t>report some of the social concerns and hopes raised by transgender, nonbinary, and gender diverse/questioning students.</w:t>
      </w:r>
      <w:r>
        <w:rPr>
          <w:rStyle w:val="FootnoteReference"/>
          <w:rFonts w:asciiTheme="majorHAnsi" w:hAnsiTheme="majorHAnsi" w:cstheme="majorHAnsi"/>
        </w:rPr>
        <w:footnoteReference w:id="8"/>
      </w:r>
      <w:r>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 xml:space="preserve">Social Challenges and Discrimination </w:t>
      </w:r>
    </w:p>
    <w:p w14:paraId="7439B0B7" w14:textId="343AB57B"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commentRangeStart w:id="80"/>
      <w:r>
        <w:rPr>
          <w:rFonts w:asciiTheme="majorHAnsi" w:hAnsiTheme="majorHAnsi" w:cstheme="majorHAnsi"/>
        </w:rPr>
        <w:t xml:space="preserve"> </w:t>
      </w:r>
      <w:commentRangeEnd w:id="80"/>
      <w:r w:rsidRPr="00824E21">
        <w:rPr>
          <w:rStyle w:val="CommentReference"/>
          <w:rFonts w:asciiTheme="majorHAnsi" w:hAnsiTheme="majorHAnsi" w:cstheme="majorHAnsi"/>
          <w:sz w:val="24"/>
          <w:szCs w:val="24"/>
        </w:rPr>
        <w:commentReference w:id="80"/>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Finding Friends and Community</w:t>
      </w:r>
    </w:p>
    <w:p w14:paraId="7439B0B9" w14:textId="1913271A"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824E21" w:rsidRDefault="00602BF5" w:rsidP="001B2966">
      <w:pPr>
        <w:spacing w:line="360" w:lineRule="auto"/>
        <w:ind w:firstLine="720"/>
        <w:rPr>
          <w:rFonts w:asciiTheme="majorHAnsi" w:hAnsiTheme="majorHAnsi" w:cstheme="majorHAnsi"/>
          <w:highlight w:val="yellow"/>
        </w:rPr>
      </w:pPr>
      <w:r>
        <w:rPr>
          <w:rFonts w:asciiTheme="majorHAnsi" w:hAnsiTheme="majorHAnsi" w:cstheme="majorHAnsi"/>
        </w:rPr>
        <w:lastRenderedPageBreak/>
        <w:t>Several students were also excited to attend a college where they could access gender-affirming healthcare and housing. One gender diverse/questioning student mentioned, “I’m also going to be downtown for college and I know that the college I’m going to is very LGBTQ+ friendly.” Another nonbinary student explained, “I’m also looking forward to receiving certain medical treatment at my college’s health center that I currently don’t have access to.”</w:t>
      </w:r>
    </w:p>
    <w:p w14:paraId="7439B0BB" w14:textId="4A9996B8" w:rsidR="00BD041A" w:rsidRPr="00824E21" w:rsidRDefault="00602BF5" w:rsidP="001B2966">
      <w:pPr>
        <w:spacing w:line="360" w:lineRule="auto"/>
        <w:rPr>
          <w:rFonts w:asciiTheme="majorHAnsi" w:hAnsiTheme="majorHAnsi" w:cstheme="majorHAnsi"/>
        </w:rPr>
      </w:pPr>
      <w:r>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81" w:name="_h3kgdaj6y36" w:colFirst="0" w:colLast="0"/>
      <w:bookmarkEnd w:id="81"/>
      <w:r>
        <w:rPr>
          <w:rFonts w:asciiTheme="majorHAnsi" w:hAnsiTheme="majorHAnsi" w:cstheme="majorHAnsi"/>
          <w:b/>
          <w:bCs/>
          <w:sz w:val="24"/>
          <w:szCs w:val="28"/>
        </w:rPr>
        <w:t>Limitations</w:t>
      </w:r>
    </w:p>
    <w:p w14:paraId="7439B0BD" w14:textId="10D1D926"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One limitation to consider in this work is that our sample is restricted to students that indicated their plans to enroll in college in the fall after their senior year. In this case, our results uniquely speak to a group of students that made it to 12</w:t>
      </w:r>
      <w:r>
        <w:rPr>
          <w:rFonts w:asciiTheme="majorHAnsi" w:hAnsiTheme="majorHAnsi" w:cstheme="majorHAnsi"/>
          <w:vertAlign w:val="superscript"/>
        </w:rPr>
        <w:t>th</w:t>
      </w:r>
      <w:r>
        <w:rPr>
          <w:rFonts w:asciiTheme="majorHAnsi" w:hAnsiTheme="majorHAnsi" w:cstheme="majorHAnsi"/>
        </w:rPr>
        <w:t xml:space="preserve"> grade and made the decision to explore college. As such, results do not include students who dropped out prior to 12</w:t>
      </w:r>
      <w:r>
        <w:rPr>
          <w:rFonts w:asciiTheme="majorHAnsi" w:hAnsiTheme="majorHAnsi" w:cstheme="majorHAnsi"/>
          <w:vertAlign w:val="superscript"/>
        </w:rPr>
        <w:t>th</w:t>
      </w:r>
      <w:r>
        <w:rPr>
          <w:rFonts w:asciiTheme="majorHAnsi" w:hAnsiTheme="majorHAnsi" w:cstheme="majorHAnsi"/>
        </w:rPr>
        <w:t xml:space="preserve"> grade, had other plans, or for whom college seemed out of reach—a population future research should examine in more detail, particularly for LGBTQ+ students. We also wish to note that students’ plans can change—some students may not enroll in college after the survey was administered, underscoring that expectations to enroll do not always lead to enrollment (Klasik et al., 2025). Thus, these results reflect a unique sample of intended college-goers captured at one point in time. Future research on high school completion as well as college enrollment and retention by gender identity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82" w:name="_c599vspu63qn" w:colFirst="0" w:colLast="0"/>
      <w:bookmarkEnd w:id="82"/>
      <w:r>
        <w:rPr>
          <w:rFonts w:asciiTheme="majorHAnsi" w:hAnsiTheme="majorHAnsi" w:cstheme="majorHAnsi"/>
          <w:b/>
          <w:bCs/>
          <w:sz w:val="24"/>
          <w:szCs w:val="24"/>
        </w:rPr>
        <w:t>Discussion and Conclusion</w:t>
      </w:r>
    </w:p>
    <w:p w14:paraId="5BF7D84E" w14:textId="77777777" w:rsidR="005747E9" w:rsidRDefault="005747E9" w:rsidP="00192B96">
      <w:pPr>
        <w:spacing w:line="360" w:lineRule="auto"/>
        <w:ind w:firstLine="720"/>
        <w:rPr>
          <w:rFonts w:asciiTheme="majorHAnsi" w:hAnsiTheme="majorHAnsi" w:cstheme="majorHAnsi"/>
        </w:rPr>
      </w:pPr>
      <w:r>
        <w:rPr>
          <w:rFonts w:asciiTheme="majorHAnsi" w:hAnsiTheme="majorHAnsi" w:cstheme="majorHAnsi"/>
        </w:rPr>
        <w:t xml:space="preserve">The transition from high school to college is an important one, and the high school experiences of LGBTQ+ students can influence their educational expectations and later attainment. Results revealed a statistically significant difference between the experiences of cisgender students compared to trans and gender expansive students, who reported less positive high school experiences overall. Our regression analyses confirm that identity-based </w:t>
      </w:r>
      <w:r>
        <w:rPr>
          <w:rFonts w:asciiTheme="majorHAnsi" w:hAnsiTheme="majorHAnsi" w:cstheme="majorHAnsi"/>
        </w:rPr>
        <w:lastRenderedPageBreak/>
        <w:t>victimization is a meaningful driver of this gap: controlling for the frequency of bullying substantially attenuates the gender identity differences in high school experience, reducing the coefficient for gender diverse/questioning students from -3.29 to -2.46 and for nonbinary students from -2.03 to -1.44. Descriptively, only 35% of transgender students and 54% of nonbinary and gender diverse/questioning students reported no bullying in the past year, compared to 84% of cisgender men, and among those who were bullied, 100% of transgender students and 88% of nonbinary and gender diverse/questioning students attributed the bullying to their gender identity or sexual orientation -- consistent with prior research on gender-related victimization in high school (Hatchel et al., 2018; McBride, 2021). However, significant differences in high school experience persist even after accounting for bullying, indicating that the challenges these students face extend beyond victimization alone -- potentially including institutional climate, lack of representation, or navigating cis-normative policies and spaces. Similarly, by sexual orientation, controlling for bullying renders the coefficient for gay or lesbian students non-significant, while bisexual/pansexual/omnisexual students and those who prefer not to disclose their sexual orientation continue to report significantly lower high school experiences even after accounting for bullying.</w:t>
      </w:r>
    </w:p>
    <w:p w14:paraId="0ACCD87B" w14:textId="77777777" w:rsidR="002370B0" w:rsidRDefault="002370B0" w:rsidP="001B2966">
      <w:pPr>
        <w:spacing w:line="360" w:lineRule="auto"/>
        <w:ind w:firstLine="720"/>
        <w:rPr>
          <w:rFonts w:asciiTheme="majorHAnsi" w:hAnsiTheme="majorHAnsi" w:cstheme="majorHAnsi"/>
        </w:rPr>
      </w:pPr>
      <w:r>
        <w:rPr>
          <w:rFonts w:asciiTheme="majorHAnsi" w:hAnsiTheme="majorHAnsi" w:cstheme="majorHAnsi"/>
        </w:rPr>
        <w:t xml:space="preserve">Given these experiences, we examined students' concerns ahead of college enrollment. Overall, trans and gender expansive students worried more about discrimination compared to cisgender students. Notably, these elevated worries about discrimination persist after controlling for bullying experiences, with only modest attenuation of the coefficients. This suggests that worries about discrimination in college are not simply a reflection of past victimization but may represent anticipatory concerns about future discrimination -- consistent with the minority stress framework, in which the expectation of prejudice operates as a stressor independent of prior experiences of discrimination (Hunter et al., 2021). By contrast, general worries about college (e.g., tuition, finding community, academic performance) and worries about financial burdens showed little association with bullying, suggesting these concerns are driven by different factors. The energy that LGBTQ+ students expend navigating and trying to avoid adverse experiences -- including remaining closeted -- detracts from the quality of their educational experience and ability to create community (Goldberg &amp; Kuvalanka, </w:t>
      </w:r>
      <w:r>
        <w:rPr>
          <w:rFonts w:asciiTheme="majorHAnsi" w:hAnsiTheme="majorHAnsi" w:cstheme="majorHAnsi"/>
        </w:rPr>
        <w:lastRenderedPageBreak/>
        <w:t>2018; Kersey &amp; Voigt, 2021), and our findings suggest that this burden extends into the college transition: even after accounting for bullying, trans and gender expansive students report elevated concerns about facing discrimination in college, underscoring the pervasive nature of minority stress across educational settings.</w:t>
      </w:r>
    </w:p>
    <w:p w14:paraId="3C50B39B" w14:textId="21FD7A08" w:rsidR="006348D1" w:rsidRDefault="006348D1" w:rsidP="001B2966">
      <w:pPr>
        <w:spacing w:line="360" w:lineRule="auto"/>
        <w:ind w:firstLine="720"/>
        <w:rPr>
          <w:rFonts w:asciiTheme="majorHAnsi" w:hAnsiTheme="majorHAnsi" w:cstheme="majorHAnsi"/>
        </w:rPr>
      </w:pPr>
      <w:r>
        <w:rPr>
          <w:rFonts w:asciiTheme="majorHAnsi" w:hAnsiTheme="majorHAnsi" w:cstheme="majorHAnsi"/>
        </w:rPr>
        <w:t>However, despite (or because of) these worries, students still planned to pursue postsecondary schooling - in fact, trans and gender expansive students planned to pursue advanced degrees at higher rates than their peers. Our ordered logit results quantify these differences: nonbinary students had 1.80 times the odds of aspiring to a higher degree category compared to cisgender men (95% CI [1.43, 2.26]), transgender men had 1.74 times the odds (95% CI [1.10, 2.75]), and by sexual orientation, bisexual/pansexual/omnisexual students had 1.64 times the odds (95% CI [1.45, 1.84]). These differences were robust to the inclusion of demographic controls. While this differs from previous research (Feldman et al., 2022; Sansone, 2019; Wilkinson et al., 2021), the schooling experiences of transgender and gender expansive students in our sample may include supports (whether at school or at home)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w:t>
      </w:r>
    </w:p>
    <w:p w14:paraId="7439B0C1" w14:textId="1C747F9F"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These findings take on added significance in the current policy landscape. Since the collection of our data in 2023, the federal policy environment for LGBTQ+ students has shifted 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executive actions have further restricted Title IX protections for transgender students, banned transgender individuals from military service, and sought to curtail access to gender-affirming care for </w:t>
      </w:r>
      <w:commentRangeStart w:id="83"/>
      <w:r>
        <w:rPr>
          <w:rFonts w:asciiTheme="majorHAnsi" w:hAnsiTheme="majorHAnsi" w:cstheme="majorHAnsi"/>
        </w:rPr>
        <w:t>minors</w:t>
      </w:r>
      <w:commentRangeEnd w:id="83"/>
      <w:r>
        <w:rPr>
          <w:rStyle w:val="CommentReference"/>
          <w:rFonts w:asciiTheme="majorHAnsi" w:hAnsiTheme="majorHAnsi" w:cstheme="majorHAnsi"/>
          <w:sz w:val="24"/>
          <w:szCs w:val="24"/>
        </w:rPr>
        <w:commentReference w:id="83"/>
      </w:r>
      <w:r>
        <w:rPr>
          <w:rFonts w:asciiTheme="majorHAnsi" w:hAnsiTheme="majorHAnsi" w:cstheme="majorHAnsi"/>
        </w:rPr>
        <w:t xml:space="preserve"> (Exec. Order No. 14168, 2025; U.S. Department of Education, 2025). More recently, Congress has debated legislation that would restrict transgender students' participation in school sports consistent with their gender identity, and several states have </w:t>
      </w:r>
      <w:r>
        <w:rPr>
          <w:rFonts w:asciiTheme="majorHAnsi" w:hAnsiTheme="majorHAnsi" w:cstheme="majorHAnsi"/>
        </w:rPr>
        <w:lastRenderedPageBreak/>
        <w:t xml:space="preserve">enacted laws limiting discussion of sexual orientation and gender identity in schools (Movement Advancement Project, 2025). At the same time, California has continued to strengthen state-level protections for LGBTQ+ </w:t>
      </w:r>
      <w:commentRangeStart w:id="84"/>
      <w:r>
        <w:rPr>
          <w:rFonts w:asciiTheme="majorHAnsi" w:hAnsiTheme="majorHAnsi" w:cstheme="majorHAnsi"/>
        </w:rPr>
        <w:t>youth</w:t>
      </w:r>
      <w:commentRangeEnd w:id="84"/>
      <w:r>
        <w:rPr>
          <w:rStyle w:val="CommentReference"/>
          <w:rFonts w:asciiTheme="majorHAnsi" w:hAnsiTheme="majorHAnsi" w:cstheme="majorHAnsi"/>
          <w:sz w:val="24"/>
          <w:szCs w:val="24"/>
        </w:rPr>
        <w:commentReference w:id="84"/>
      </w:r>
      <w:r>
        <w:rPr>
          <w:rFonts w:asciiTheme="majorHAnsi" w:hAnsiTheme="majorHAnsi" w:cstheme="majorHAnsi"/>
        </w:rPr>
        <w:t xml:space="preserve"> (California Legislative Information, 2023; Equality California, 2025). For example, AB 1955, the Support Academic Futures and Educators for Today's Youth (SAFETY) Act, signed into law in 2024, prohibits school districts from requiring staff to disclose a student's gender identity or sexual orientation to parents without the student's consent. This divergence underscores the importance of state-level data and state-level action. </w:t>
      </w:r>
      <w:commentRangeStart w:id="85"/>
      <w:r>
        <w:rPr>
          <w:rFonts w:asciiTheme="majorHAnsi" w:hAnsiTheme="majorHAnsi" w:cstheme="majorHAnsi"/>
        </w:rPr>
        <w:t>Our results</w:t>
      </w:r>
      <w:commentRangeEnd w:id="85"/>
      <w:r>
        <w:rPr>
          <w:rStyle w:val="CommentReference"/>
          <w:rFonts w:asciiTheme="majorHAnsi" w:hAnsiTheme="majorHAnsi" w:cstheme="majorHAnsi"/>
          <w:sz w:val="24"/>
          <w:szCs w:val="24"/>
        </w:rPr>
        <w:commentReference w:id="85"/>
      </w:r>
      <w:r>
        <w:rPr>
          <w:rFonts w:asciiTheme="majorHAnsi" w:hAnsiTheme="majorHAnsi" w:cstheme="majorHAnsi"/>
        </w:rPr>
        <w:t xml:space="preserve"> suggest that even within California’s comparatively protective policy environment, trans and gender expansive students experienced significant disparities in high school climate and identity-based victimization at the time of our survey.</w:t>
      </w:r>
      <w:commentRangeStart w:id="86"/>
      <w:r>
        <w:rPr>
          <w:rFonts w:asciiTheme="majorHAnsi" w:hAnsiTheme="majorHAnsi" w:cstheme="majorHAnsi"/>
        </w:rPr>
        <w:t xml:space="preserve"> As federal protections for transgender students are rolled back, the role of state and local policy in addressing these disparities becomes even more critical.</w:t>
      </w:r>
    </w:p>
    <w:p w14:paraId="13ADECD5" w14:textId="77777777" w:rsidR="006573EF" w:rsidRDefault="006573EF" w:rsidP="001B2966">
      <w:pPr>
        <w:spacing w:line="360" w:lineRule="auto"/>
        <w:ind w:firstLine="720"/>
        <w:rPr>
          <w:rFonts w:asciiTheme="majorHAnsi" w:hAnsiTheme="majorHAnsi" w:cstheme="majorHAnsi"/>
        </w:rPr>
      </w:pPr>
      <w:r>
        <w:rPr>
          <w:rFonts w:asciiTheme="majorHAnsi" w:hAnsiTheme="majorHAnsi" w:cstheme="majorHAnsi"/>
        </w:rPr>
        <w:t>These policy considerations are further complicated by heterogeneity within the LGBTQ+ community. Our results on sexual orientation show that the associations between sexual orientation and both high school experience and college worries are partly but not fully explained by bullying. For some groups -- such as gay or lesbian students -- the high school experience gap is largely attributable to bullying, as the coefficient becomes non-significant when bullying is controlled for. For others, particularly bisexual/pansexual/omnisexual students, significant disparities in high school experience and elevated worries about discrimination persist even after accounting for bullying and assigned sex at birth. This heterogeneity reinforces the importance of disaggregated analysis and suggests that interventions must address a range of challenges beyond bullying alone.</w:t>
      </w:r>
    </w:p>
    <w:p w14:paraId="7439B0C2" w14:textId="2037B1D5"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86"/>
      <w:r>
        <w:rPr>
          <w:rStyle w:val="CommentReference"/>
          <w:rFonts w:asciiTheme="majorHAnsi" w:hAnsiTheme="majorHAnsi" w:cstheme="majorHAnsi"/>
          <w:sz w:val="24"/>
          <w:szCs w:val="24"/>
        </w:rPr>
        <w:commentReference w:id="86"/>
      </w:r>
      <w:r>
        <w:rPr>
          <w:rFonts w:asciiTheme="majorHAnsi" w:hAnsiTheme="majorHAnsi" w:cstheme="majorHAnsi"/>
        </w:rPr>
        <w:t xml:space="preserve"> That 100% of bullied transgender students (</w:t>
      </w:r>
      <w:r>
        <w:rPr>
          <w:rFonts w:asciiTheme="majorHAnsi" w:hAnsiTheme="majorHAnsi" w:cstheme="majorHAnsi"/>
          <w:i/>
          <w:iCs/>
        </w:rPr>
        <w:t>n</w:t>
      </w:r>
      <w:r>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w:t>
      </w:r>
      <w:r>
        <w:rPr>
          <w:rFonts w:asciiTheme="majorHAnsi" w:hAnsiTheme="majorHAnsi" w:cstheme="majorHAnsi"/>
        </w:rPr>
        <w:lastRenderedPageBreak/>
        <w:t>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065647D" w14:textId="77777777" w:rsidR="000B3292" w:rsidRDefault="000B3292" w:rsidP="001B2966">
      <w:pPr>
        <w:spacing w:line="360" w:lineRule="auto"/>
        <w:ind w:firstLine="720"/>
        <w:rPr>
          <w:rFonts w:asciiTheme="majorHAnsi" w:hAnsiTheme="majorHAnsi" w:cstheme="majorHAnsi"/>
        </w:rPr>
      </w:pPr>
      <w:r>
        <w:rPr>
          <w:rFonts w:asciiTheme="majorHAnsi" w:hAnsiTheme="majorHAnsi" w:cstheme="majorHAnsi"/>
        </w:rPr>
        <w:t>Second, the patterns documented here -- where trans and gender expansive students report less positive high school experiences and elevated rates of identity-based bullying yet maintain elevated educational aspirations -- are consistent with the social ecological theory of resilience framing this study (Ungar, 2011, 2012). We note, however, that our sample is restricted to college-bound seniors and purely voluntary responses, which likely introduces selection: students who persisted to 12th grade and planned to attend college may have had access to supports -- whether familial, institutional, or community-based -- that buffered against the negative effects of adverse high school experiences. Trans and gender expansive students who dropped out, were pushed out, or abandoned college plans prior to our survey are not represented here, and their experiences may differ substantially. With that caveat, that students maintain elevated educational aspirations in the face of documented adversity and identity-based victimization is consistent with resilience, and with the navigational capital that LGBTQ+ students develop through experience in cis-normative environments (Pennell, 2016). Policymakers and institutions can build on this by ensuring that the transition from high school to college is supported with resources that address the specific concerns these students reported, including worries about discrimination, finding community, and accessing gender-affirming services. This includes investments in bridge programs, mentoring, and campus resources that are responsive to the needs of incoming LGBTQ+ students.</w:t>
      </w:r>
    </w:p>
    <w:p w14:paraId="00ACB04B" w14:textId="77777777" w:rsidR="00712F59" w:rsidRDefault="00602BF5" w:rsidP="001B2966">
      <w:pPr>
        <w:spacing w:line="360" w:lineRule="auto"/>
        <w:ind w:firstLine="720"/>
        <w:rPr>
          <w:rFonts w:asciiTheme="majorHAnsi" w:hAnsiTheme="majorHAnsi" w:cstheme="majorHAnsi"/>
        </w:rPr>
      </w:pPr>
      <w:commentRangeStart w:id="87"/>
      <w:commentRangeStart w:id="88"/>
      <w:r>
        <w:rPr>
          <w:rFonts w:asciiTheme="majorHAnsi" w:hAnsiTheme="majorHAnsi" w:cstheme="majorHAnsi"/>
        </w:rPr>
        <w:t xml:space="preserve">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w:t>
      </w:r>
      <w:r>
        <w:rPr>
          <w:rFonts w:asciiTheme="majorHAnsi" w:hAnsiTheme="majorHAnsi" w:cstheme="majorHAnsi"/>
        </w:rPr>
        <w:lastRenderedPageBreak/>
        <w:t>forward, this level of detail will be essential to understanding and addressing the needs of this population.</w:t>
      </w:r>
      <w:commentRangeEnd w:id="87"/>
      <w:r>
        <w:rPr>
          <w:rStyle w:val="CommentReference"/>
          <w:rFonts w:asciiTheme="majorHAnsi" w:hAnsiTheme="majorHAnsi" w:cstheme="majorHAnsi"/>
          <w:sz w:val="24"/>
          <w:szCs w:val="24"/>
        </w:rPr>
        <w:commentReference w:id="87"/>
      </w:r>
      <w:commentRangeEnd w:id="88"/>
      <w:r>
        <w:rPr>
          <w:rStyle w:val="CommentReference"/>
          <w:rFonts w:asciiTheme="majorHAnsi" w:hAnsiTheme="majorHAnsi" w:cstheme="majorHAnsi"/>
          <w:sz w:val="24"/>
          <w:szCs w:val="24"/>
        </w:rPr>
        <w:commentReference w:id="88"/>
      </w:r>
      <w:r>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w:t>
      </w:r>
    </w:p>
    <w:p w14:paraId="52256DEE" w14:textId="2852845D" w:rsidR="00873C71"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89" w:name="_fq6vnb7c3e33" w:colFirst="0" w:colLast="0"/>
      <w:bookmarkEnd w:id="89"/>
    </w:p>
    <w:p w14:paraId="2342E39D" w14:textId="77777777" w:rsidR="00873C71" w:rsidRPr="00824E21" w:rsidRDefault="00873C71" w:rsidP="001B2966">
      <w:pPr>
        <w:spacing w:line="360" w:lineRule="auto"/>
        <w:rPr>
          <w:rFonts w:asciiTheme="majorHAnsi" w:hAnsiTheme="majorHAnsi" w:cstheme="majorHAnsi"/>
        </w:rPr>
      </w:pPr>
      <w:r>
        <w:rPr>
          <w:rFonts w:asciiTheme="majorHAnsi" w:hAnsiTheme="majorHAnsi" w:cstheme="majorHAnsi"/>
        </w:rPr>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Alvarado, S. E., &amp; An, B. P. (2015). Race, friends, and college readiness: Evidence from the high school longitudinal study. </w:t>
      </w:r>
      <w:r>
        <w:rPr>
          <w:rFonts w:asciiTheme="majorHAnsi" w:hAnsiTheme="majorHAnsi" w:cstheme="majorHAnsi"/>
          <w:i/>
          <w:iCs/>
        </w:rPr>
        <w:t>Race and Social Problems</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 150–167. </w:t>
      </w:r>
      <w:hyperlink r:id="rId27" w:history="1">
        <w:r>
          <w:rPr>
            <w:rStyle w:val="Hyperlink"/>
            <w:rFonts w:asciiTheme="majorHAnsi" w:hAnsiTheme="majorHAnsi" w:cstheme="majorHAnsi"/>
          </w:rPr>
          <w:t>https://doi.org/ 10.1007/s12552-015-9146-5</w:t>
        </w:r>
      </w:hyperlink>
      <w:r>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Aragon, S. R., Poteat, V. P., Espelage, D. L., &amp; Koenig, B. W. (2014). The influence of peer victimization on educational outcomes for LGBTQ and non-LGBTQ high school students.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(1), 1–19. </w:t>
      </w:r>
      <w:hyperlink r:id="rId28" w:history="1">
        <w:r>
          <w:rPr>
            <w:rStyle w:val="Hyperlink"/>
            <w:rFonts w:asciiTheme="majorHAnsi" w:hAnsiTheme="majorHAnsi" w:cstheme="majorHAnsi"/>
          </w:rPr>
          <w:t>https://doi.org/10.1080/ 19361653.2014.840761</w:t>
        </w:r>
      </w:hyperlink>
      <w:r>
        <w:rPr>
          <w:rFonts w:asciiTheme="majorHAnsi" w:hAnsiTheme="majorHAnsi" w:cstheme="majorHAnsi"/>
        </w:rPr>
        <w:t xml:space="preserve"> </w:t>
      </w:r>
    </w:p>
    <w:p w14:paraId="7439B0D5" w14:textId="3923B6A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Austin, G., Hanson, T., Bala, N., &amp; Zheng, C. (2023). </w:t>
      </w:r>
      <w:r>
        <w:rPr>
          <w:rFonts w:asciiTheme="majorHAnsi" w:hAnsiTheme="majorHAnsi" w:cstheme="majorHAnsi"/>
          <w:i/>
          <w:iCs/>
        </w:rPr>
        <w:t>Student engagement and well-being in California, 2019–21: Results of the Eighteenth Biennial State California Healthy Kids Survey, grades 7, 9, and 11.</w:t>
      </w:r>
      <w:r>
        <w:rPr>
          <w:rFonts w:asciiTheme="majorHAnsi" w:hAnsiTheme="majorHAnsi" w:cstheme="majorHAnsi"/>
        </w:rPr>
        <w:t xml:space="preserve"> WestEd. </w:t>
      </w:r>
      <w:hyperlink r:id="rId29" w:history="1">
        <w:r>
          <w:rPr>
            <w:rStyle w:val="Hyperlink"/>
            <w:rFonts w:asciiTheme="majorHAnsi" w:hAnsiTheme="majorHAnsi" w:cstheme="majorHAnsi"/>
          </w:rPr>
          <w:t>https://data.calschls.org/resources/18th_ Biennial_State_1921.pdf</w:t>
        </w:r>
      </w:hyperlink>
      <w:r>
        <w:rPr>
          <w:rFonts w:asciiTheme="majorHAnsi" w:hAnsiTheme="majorHAnsi" w:cstheme="majorHAnsi"/>
        </w:rPr>
        <w:t xml:space="preserve">     </w:t>
      </w:r>
    </w:p>
    <w:p w14:paraId="2C4AB194" w14:textId="03FD94D9" w:rsidR="003F369F" w:rsidRPr="00824E21" w:rsidRDefault="003F369F" w:rsidP="003F369F">
      <w:pPr>
        <w:spacing w:line="360" w:lineRule="auto"/>
        <w:ind w:left="720" w:hanging="720"/>
        <w:rPr>
          <w:rFonts w:asciiTheme="majorHAnsi" w:hAnsiTheme="majorHAnsi" w:cstheme="majorHAnsi"/>
          <w:lang w:val="en-US"/>
        </w:rPr>
      </w:pPr>
      <w:r>
        <w:rPr>
          <w:rFonts w:asciiTheme="majorHAnsi" w:hAnsiTheme="majorHAnsi" w:cstheme="majorHAnsi"/>
        </w:rPr>
        <w:t xml:space="preserve">Badgett, M. V., Goldberg, N., Conron, K., &amp; Gates, G. (2009, November). </w:t>
      </w:r>
      <w:r>
        <w:rPr>
          <w:rFonts w:asciiTheme="majorHAnsi" w:hAnsiTheme="majorHAnsi" w:cstheme="majorHAnsi"/>
          <w:i/>
          <w:iCs/>
          <w:lang w:val="en-US"/>
        </w:rPr>
        <w:t>Best practices for asking questions about sexual orientation on surveys.</w:t>
      </w:r>
      <w:r>
        <w:rPr>
          <w:rFonts w:asciiTheme="majorHAnsi" w:hAnsiTheme="majorHAnsi" w:cstheme="majorHAnsi"/>
          <w:lang w:val="en-US"/>
        </w:rPr>
        <w:t xml:space="preserve"> The Williams Institute. https://williamsinstitute.law.ucla.edu/wp-content/uploads/Best-Practices-SO-Surveys-Nov-2009.pdf</w:t>
      </w:r>
    </w:p>
    <w:p w14:paraId="7439B0D7" w14:textId="77777777" w:rsidR="00BD041A" w:rsidRPr="00824E21" w:rsidRDefault="00602BF5" w:rsidP="001B2966">
      <w:pPr>
        <w:spacing w:line="360" w:lineRule="auto"/>
        <w:ind w:left="720" w:hanging="720"/>
        <w:rPr>
          <w:rFonts w:asciiTheme="majorHAnsi" w:hAnsiTheme="majorHAnsi" w:cstheme="majorHAnsi"/>
          <w:i/>
          <w:iCs/>
        </w:rPr>
      </w:pPr>
      <w:r>
        <w:rPr>
          <w:rFonts w:asciiTheme="majorHAnsi" w:hAnsiTheme="majorHAnsi" w:cstheme="majorHAnsi"/>
        </w:rPr>
        <w:t xml:space="preserve">Bandura, A. (1981). Self-referent thought: A developmental analysis of self-efficacy. In J.H. Flavell &amp; L. Ross (Eds.), </w:t>
      </w:r>
      <w:r>
        <w:rPr>
          <w:rFonts w:asciiTheme="majorHAnsi" w:hAnsiTheme="majorHAnsi" w:cstheme="majorHAnsi"/>
          <w:i/>
          <w:iCs/>
        </w:rPr>
        <w:t>Social cognitive development: Frontiers and possible futures</w:t>
      </w:r>
      <w:r>
        <w:rPr>
          <w:rFonts w:asciiTheme="majorHAnsi" w:hAnsiTheme="majorHAnsi" w:cstheme="majorHAnsi"/>
        </w:rPr>
        <w:t xml:space="preserve"> (pp. 200–239). Cambridge, England: Cambridge</w:t>
      </w:r>
      <w:r>
        <w:rPr>
          <w:rFonts w:asciiTheme="majorHAnsi" w:hAnsiTheme="majorHAnsi" w:cstheme="majorHAnsi"/>
          <w:i/>
          <w:iCs/>
        </w:rPr>
        <w:t xml:space="preserve"> </w:t>
      </w:r>
      <w:r>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Beemyn, G. (2022). The changing nature of gender in the 21st century: How trans and nonbinary students applying to college today self-identify. </w:t>
      </w:r>
      <w:r>
        <w:rPr>
          <w:rFonts w:asciiTheme="majorHAnsi" w:hAnsiTheme="majorHAnsi" w:cstheme="majorHAnsi"/>
          <w:i/>
          <w:iCs/>
        </w:rPr>
        <w:t>Campus Pride.</w:t>
      </w:r>
      <w:r>
        <w:rPr>
          <w:rFonts w:asciiTheme="majorHAnsi" w:hAnsiTheme="majorHAnsi" w:cstheme="majorHAnsi"/>
        </w:rPr>
        <w:t xml:space="preserve"> </w:t>
      </w:r>
      <w:hyperlink r:id="rId30" w:history="1">
        <w:r>
          <w:rPr>
            <w:rStyle w:val="Hyperlink"/>
            <w:rFonts w:asciiTheme="majorHAnsi" w:hAnsiTheme="majorHAnsi" w:cstheme="majorHAnsi"/>
          </w:rPr>
          <w:t>https://www.campuspride.org/wp-content/uploads/CampusPride_ChangingNature ofGender21stCentury.pdf</w:t>
        </w:r>
      </w:hyperlink>
      <w:r>
        <w:rPr>
          <w:rFonts w:asciiTheme="majorHAnsi" w:hAnsiTheme="majorHAnsi" w:cstheme="majorHAnsi"/>
        </w:rPr>
        <w:t xml:space="preserve"> </w:t>
      </w:r>
    </w:p>
    <w:p w14:paraId="7439B0DA"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Bourdieu, P. (1986). The forms of capital. In J.G. Richardson (Ed.), </w:t>
      </w:r>
      <w:r>
        <w:rPr>
          <w:rFonts w:asciiTheme="majorHAnsi" w:hAnsiTheme="majorHAnsi" w:cstheme="majorHAnsi"/>
          <w:i/>
          <w:iCs/>
        </w:rPr>
        <w:t>Handbook of theory and research for the sociology of education</w:t>
      </w:r>
      <w:r>
        <w:rPr>
          <w:rFonts w:asciiTheme="majorHAnsi" w:hAnsiTheme="majorHAnsi" w:cstheme="majorHAnsi"/>
        </w:rPr>
        <w:t>, (pp. 241–258). New York, NY: Greenwood.</w:t>
      </w:r>
    </w:p>
    <w:p w14:paraId="7439B0DB" w14:textId="508FFBD3"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Callis, A. S. (2014). Bisexual, pansexual, queer: Non-binary identities and the sexual borderlands. </w:t>
      </w:r>
      <w:r>
        <w:rPr>
          <w:rFonts w:asciiTheme="majorHAnsi" w:hAnsiTheme="majorHAnsi" w:cstheme="majorHAnsi"/>
          <w:i/>
          <w:iCs/>
        </w:rPr>
        <w:t>Sexualities</w:t>
      </w:r>
      <w:r>
        <w:rPr>
          <w:rFonts w:asciiTheme="majorHAnsi" w:hAnsiTheme="majorHAnsi" w:cstheme="majorHAnsi"/>
        </w:rPr>
        <w:t>, </w:t>
      </w:r>
      <w:r>
        <w:rPr>
          <w:rFonts w:asciiTheme="majorHAnsi" w:hAnsiTheme="majorHAnsi" w:cstheme="majorHAnsi"/>
          <w:i/>
          <w:iCs/>
        </w:rPr>
        <w:t>17</w:t>
      </w:r>
      <w:r>
        <w:rPr>
          <w:rFonts w:asciiTheme="majorHAnsi" w:hAnsiTheme="majorHAnsi" w:cstheme="majorHAnsi"/>
        </w:rPr>
        <w:t xml:space="preserve">(1-2), 63–80. </w:t>
      </w:r>
      <w:hyperlink r:id="rId31" w:history="1">
        <w:r>
          <w:rPr>
            <w:rStyle w:val="Hyperlink"/>
            <w:rFonts w:asciiTheme="majorHAnsi" w:hAnsiTheme="majorHAnsi" w:cstheme="majorHAnsi"/>
          </w:rPr>
          <w:t>https://doi.org/10.1177/1363460713511094</w:t>
        </w:r>
      </w:hyperlink>
      <w:r>
        <w:rPr>
          <w:rFonts w:asciiTheme="majorHAnsi" w:hAnsiTheme="majorHAnsi" w:cstheme="majorHAnsi"/>
        </w:rPr>
        <w:t xml:space="preserve"> </w:t>
      </w:r>
    </w:p>
    <w:p w14:paraId="0C157863" w14:textId="22C80701" w:rsidR="005E0AD3" w:rsidRPr="00824E21" w:rsidRDefault="005E0AD3" w:rsidP="001B2966">
      <w:pPr>
        <w:spacing w:line="360" w:lineRule="auto"/>
        <w:ind w:left="720" w:hanging="720"/>
        <w:rPr>
          <w:rFonts w:asciiTheme="majorHAnsi" w:hAnsiTheme="majorHAnsi" w:cstheme="majorHAnsi"/>
        </w:rPr>
      </w:pPr>
      <w:r>
        <w:rPr>
          <w:rFonts w:asciiTheme="majorHAnsi" w:hAnsiTheme="majorHAnsi" w:cstheme="majorHAnsi"/>
        </w:rPr>
        <w:lastRenderedPageBreak/>
        <w:t>California Legislative Information. (2023). AB 1955, Support Academic Futures and Educators for Today's Youth (SAFETY) Act. https://leginfo.legislature.ca.gov/faces/billNavClient.xhtml?bill_id=202320240AB1955</w:t>
      </w:r>
    </w:p>
    <w:p w14:paraId="7439B0DC" w14:textId="531AE5F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Casillas, A., Robbins, S., Allen, J., Kuo, Y. L., Hanson, M. A., &amp; Schmeiser, C. (2012). Predicting early academic failure in high school from prior academic achievement, psychosocial characteristics, and behavior. </w:t>
      </w:r>
      <w:r>
        <w:rPr>
          <w:rFonts w:asciiTheme="majorHAnsi" w:hAnsiTheme="majorHAnsi" w:cstheme="majorHAnsi"/>
          <w:i/>
          <w:iCs/>
        </w:rPr>
        <w:t>Journal of Educational Psychology</w:t>
      </w:r>
      <w:r>
        <w:rPr>
          <w:rFonts w:asciiTheme="majorHAnsi" w:hAnsiTheme="majorHAnsi" w:cstheme="majorHAnsi"/>
        </w:rPr>
        <w:t>, </w:t>
      </w:r>
      <w:r>
        <w:rPr>
          <w:rFonts w:asciiTheme="majorHAnsi" w:hAnsiTheme="majorHAnsi" w:cstheme="majorHAnsi"/>
          <w:i/>
          <w:iCs/>
        </w:rPr>
        <w:t>104</w:t>
      </w:r>
      <w:r>
        <w:rPr>
          <w:rFonts w:asciiTheme="majorHAnsi" w:hAnsiTheme="majorHAnsi" w:cstheme="majorHAnsi"/>
        </w:rPr>
        <w:t xml:space="preserve">(2), 407–420. </w:t>
      </w:r>
      <w:hyperlink r:id="rId32" w:history="1">
        <w:r>
          <w:rPr>
            <w:rStyle w:val="Hyperlink"/>
            <w:rFonts w:asciiTheme="majorHAnsi" w:hAnsiTheme="majorHAnsi" w:cstheme="majorHAnsi"/>
          </w:rPr>
          <w:t>https://doi.org/10.1037/a0027180</w:t>
        </w:r>
      </w:hyperlink>
      <w:r>
        <w:rPr>
          <w:rFonts w:asciiTheme="majorHAnsi" w:hAnsiTheme="majorHAnsi" w:cstheme="majorHAnsi"/>
        </w:rPr>
        <w:t xml:space="preserve"> </w:t>
      </w:r>
    </w:p>
    <w:p w14:paraId="7439B0DD" w14:textId="183205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Choi, K. H., Kelly Raley, R., Muller, C., &amp; Riegle‐Crumb, C. (2008). Class composition: Socioeconomic characteristics of coursemates and college enrollment. </w:t>
      </w:r>
      <w:r>
        <w:rPr>
          <w:rFonts w:asciiTheme="majorHAnsi" w:hAnsiTheme="majorHAnsi" w:cstheme="majorHAnsi"/>
          <w:i/>
          <w:iCs/>
        </w:rPr>
        <w:t>Social Science Quarterly</w:t>
      </w:r>
      <w:r>
        <w:rPr>
          <w:rFonts w:asciiTheme="majorHAnsi" w:hAnsiTheme="majorHAnsi" w:cstheme="majorHAnsi"/>
        </w:rPr>
        <w:t>, </w:t>
      </w:r>
      <w:r>
        <w:rPr>
          <w:rFonts w:asciiTheme="majorHAnsi" w:hAnsiTheme="majorHAnsi" w:cstheme="majorHAnsi"/>
          <w:i/>
          <w:iCs/>
        </w:rPr>
        <w:t>89</w:t>
      </w:r>
      <w:r>
        <w:rPr>
          <w:rFonts w:asciiTheme="majorHAnsi" w:hAnsiTheme="majorHAnsi" w:cstheme="majorHAnsi"/>
        </w:rPr>
        <w:t xml:space="preserve">(4), 846–866. </w:t>
      </w:r>
      <w:hyperlink r:id="rId33" w:history="1">
        <w:r>
          <w:rPr>
            <w:rStyle w:val="Hyperlink"/>
            <w:rFonts w:asciiTheme="majorHAnsi" w:hAnsiTheme="majorHAnsi" w:cstheme="majorHAnsi"/>
          </w:rPr>
          <w:t>https://doi.org/10.1111/j.1540-6237.2008.00587.x</w:t>
        </w:r>
      </w:hyperlink>
      <w:r>
        <w:rPr>
          <w:rFonts w:asciiTheme="majorHAnsi" w:hAnsiTheme="majorHAnsi" w:cstheme="majorHAnsi"/>
        </w:rPr>
        <w:t xml:space="preserve"> </w:t>
      </w:r>
    </w:p>
    <w:p w14:paraId="7439B0DE" w14:textId="0EE72F7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Day, J. K., Perez-Brumer, A., &amp; Russell, S.T. (2018). Safe schools? Transgender youth's school experiences and perceptions of school climate. </w:t>
      </w:r>
      <w:r>
        <w:rPr>
          <w:rFonts w:asciiTheme="majorHAnsi" w:hAnsiTheme="majorHAnsi" w:cstheme="majorHAnsi"/>
          <w:i/>
          <w:iCs/>
        </w:rPr>
        <w:t>Journal of Youth and Adolescence</w:t>
      </w:r>
      <w:r>
        <w:rPr>
          <w:rFonts w:asciiTheme="majorHAnsi" w:hAnsiTheme="majorHAnsi" w:cstheme="majorHAnsi"/>
        </w:rPr>
        <w:t xml:space="preserve">, </w:t>
      </w:r>
      <w:r>
        <w:rPr>
          <w:rFonts w:asciiTheme="majorHAnsi" w:hAnsiTheme="majorHAnsi" w:cstheme="majorHAnsi"/>
          <w:i/>
          <w:iCs/>
        </w:rPr>
        <w:t>47</w:t>
      </w:r>
      <w:r>
        <w:rPr>
          <w:rFonts w:asciiTheme="majorHAnsi" w:hAnsiTheme="majorHAnsi" w:cstheme="majorHAnsi"/>
        </w:rPr>
        <w:t xml:space="preserve">(8), 1731–1742. </w:t>
      </w:r>
      <w:hyperlink r:id="rId34">
        <w:r>
          <w:rPr>
            <w:rFonts w:asciiTheme="majorHAnsi" w:hAnsiTheme="majorHAnsi" w:cstheme="majorHAnsi"/>
            <w:color w:val="1155CC"/>
            <w:u w:val="single"/>
          </w:rPr>
          <w:t>https://doi.org/10.1007/s10964-018-0866-x</w:t>
        </w:r>
      </w:hyperlink>
    </w:p>
    <w:p w14:paraId="7439B0DF" w14:textId="769B96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DesJardins, S. L., Toutkoushian, R. K., Hossler, D., &amp; Chen, J. (2019). Time may change me: Examining how aspirations for college evolve during high school. </w:t>
      </w:r>
      <w:r>
        <w:rPr>
          <w:rFonts w:asciiTheme="majorHAnsi" w:hAnsiTheme="majorHAnsi" w:cstheme="majorHAnsi"/>
          <w:i/>
          <w:iCs/>
        </w:rPr>
        <w:t>The Review of Higher Education</w:t>
      </w:r>
      <w:r>
        <w:rPr>
          <w:rFonts w:asciiTheme="majorHAnsi" w:hAnsiTheme="majorHAnsi" w:cstheme="majorHAnsi"/>
        </w:rPr>
        <w:t>, </w:t>
      </w:r>
      <w:r>
        <w:rPr>
          <w:rFonts w:asciiTheme="majorHAnsi" w:hAnsiTheme="majorHAnsi" w:cstheme="majorHAnsi"/>
          <w:i/>
          <w:iCs/>
        </w:rPr>
        <w:t>43</w:t>
      </w:r>
      <w:r>
        <w:rPr>
          <w:rFonts w:asciiTheme="majorHAnsi" w:hAnsiTheme="majorHAnsi" w:cstheme="majorHAnsi"/>
        </w:rPr>
        <w:t xml:space="preserve">(1), 263–294. </w:t>
      </w:r>
      <w:hyperlink r:id="rId35" w:history="1">
        <w:r>
          <w:rPr>
            <w:rStyle w:val="Hyperlink"/>
            <w:rFonts w:asciiTheme="majorHAnsi" w:hAnsiTheme="majorHAnsi" w:cstheme="majorHAnsi"/>
          </w:rPr>
          <w:t>https://doi.org/10.1353/rhe.2019.0096</w:t>
        </w:r>
      </w:hyperlink>
      <w:r>
        <w:rPr>
          <w:rFonts w:asciiTheme="majorHAnsi" w:hAnsiTheme="majorHAnsi" w:cstheme="majorHAnsi"/>
        </w:rPr>
        <w:t xml:space="preserve"> </w:t>
      </w:r>
    </w:p>
    <w:p w14:paraId="7439B0E0" w14:textId="6BA588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DiFulvio, G. T. (2011). Sexual minority youth, social connection and resilience: From personal struggle to collective identity. </w:t>
      </w:r>
      <w:r>
        <w:rPr>
          <w:rFonts w:asciiTheme="majorHAnsi" w:hAnsiTheme="majorHAnsi" w:cstheme="majorHAnsi"/>
          <w:i/>
          <w:iCs/>
        </w:rPr>
        <w:t>Social Science &amp; Medicine</w:t>
      </w:r>
      <w:r>
        <w:rPr>
          <w:rFonts w:asciiTheme="majorHAnsi" w:hAnsiTheme="majorHAnsi" w:cstheme="majorHAnsi"/>
        </w:rPr>
        <w:t>, </w:t>
      </w:r>
      <w:r>
        <w:rPr>
          <w:rFonts w:asciiTheme="majorHAnsi" w:hAnsiTheme="majorHAnsi" w:cstheme="majorHAnsi"/>
          <w:i/>
          <w:iCs/>
        </w:rPr>
        <w:t>72</w:t>
      </w:r>
      <w:r>
        <w:rPr>
          <w:rFonts w:asciiTheme="majorHAnsi" w:hAnsiTheme="majorHAnsi" w:cstheme="majorHAnsi"/>
        </w:rPr>
        <w:t xml:space="preserve">(10), 1611–1617. </w:t>
      </w:r>
      <w:hyperlink r:id="rId36" w:history="1">
        <w:r>
          <w:rPr>
            <w:rStyle w:val="Hyperlink"/>
            <w:rFonts w:asciiTheme="majorHAnsi" w:hAnsiTheme="majorHAnsi" w:cstheme="majorHAnsi"/>
          </w:rPr>
          <w:t>https://doi.org/10.1016/j.socscimed.2011.02.045</w:t>
        </w:r>
      </w:hyperlink>
      <w:r>
        <w:rPr>
          <w:rFonts w:asciiTheme="majorHAnsi" w:hAnsiTheme="majorHAnsi" w:cstheme="majorHAnsi"/>
        </w:rPr>
        <w:t xml:space="preserve"> </w:t>
      </w:r>
    </w:p>
    <w:p w14:paraId="7439B0E1" w14:textId="5112E7AD"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Eccles, J. S., &amp; Roeser, R. W. (2011). Schools as developmental contexts during adolescence.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21</w:t>
      </w:r>
      <w:r>
        <w:rPr>
          <w:rFonts w:asciiTheme="majorHAnsi" w:hAnsiTheme="majorHAnsi" w:cstheme="majorHAnsi"/>
        </w:rPr>
        <w:t xml:space="preserve">(1), 225–241. </w:t>
      </w:r>
      <w:hyperlink r:id="rId37" w:history="1">
        <w:r>
          <w:rPr>
            <w:rStyle w:val="Hyperlink"/>
            <w:rFonts w:asciiTheme="majorHAnsi" w:hAnsiTheme="majorHAnsi" w:cstheme="majorHAnsi"/>
          </w:rPr>
          <w:t>https://doi.org/10.1111/j.1532-7795.2010.00725.x</w:t>
        </w:r>
      </w:hyperlink>
      <w:r>
        <w:rPr>
          <w:rFonts w:asciiTheme="majorHAnsi" w:hAnsiTheme="majorHAnsi" w:cstheme="majorHAnsi"/>
        </w:rPr>
        <w:t xml:space="preserve"> </w:t>
      </w:r>
    </w:p>
    <w:p w14:paraId="3A05E5CF" w14:textId="035C926A" w:rsidR="00816094" w:rsidRDefault="00816094" w:rsidP="001B2966">
      <w:pPr>
        <w:spacing w:line="360" w:lineRule="auto"/>
        <w:ind w:left="720" w:hanging="720"/>
        <w:rPr>
          <w:rFonts w:asciiTheme="majorHAnsi" w:hAnsiTheme="majorHAnsi" w:cstheme="majorHAnsi"/>
        </w:rPr>
      </w:pPr>
      <w:r>
        <w:rPr>
          <w:rFonts w:asciiTheme="majorHAnsi" w:hAnsiTheme="majorHAnsi" w:cstheme="majorHAnsi"/>
        </w:rPr>
        <w:t xml:space="preserve">Equality California. (2025). 2025 legislative priorities. </w:t>
      </w:r>
      <w:hyperlink r:id="rId38" w:history="1">
        <w:r>
          <w:rPr>
            <w:rStyle w:val="Hyperlink"/>
            <w:rFonts w:asciiTheme="majorHAnsi" w:hAnsiTheme="majorHAnsi" w:cstheme="majorHAnsi"/>
          </w:rPr>
          <w:t>https://www.eqca.org/</w:t>
        </w:r>
      </w:hyperlink>
    </w:p>
    <w:p w14:paraId="7CEF3945" w14:textId="013FAF8C" w:rsidR="00D404BA" w:rsidRPr="00824E21" w:rsidRDefault="00D404BA" w:rsidP="001B2966">
      <w:pPr>
        <w:spacing w:line="360" w:lineRule="auto"/>
        <w:ind w:left="720" w:hanging="720"/>
        <w:rPr>
          <w:rFonts w:asciiTheme="majorHAnsi" w:hAnsiTheme="majorHAnsi" w:cstheme="majorHAnsi"/>
        </w:rPr>
      </w:pPr>
      <w:r>
        <w:rPr>
          <w:rFonts w:asciiTheme="majorHAnsi" w:hAnsiTheme="majorHAnsi" w:cstheme="majorHAnsi"/>
        </w:rPr>
        <w:t>Exec. Order No. 14168, 90 Fed. Reg. 4,603 (January 20, 2025). Defending Women from Gender Ideology Extremism and Restoring Biological Truth to the Federal Government.</w:t>
      </w:r>
    </w:p>
    <w:p w14:paraId="7439B0E2" w14:textId="6543ED0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Feldman, S., Watson, R. J., &amp; Gallik, C. (2022). College aspirations, gender sexuality alliances, and teacher support among diverse LGBTQ youth. </w:t>
      </w:r>
      <w:r>
        <w:rPr>
          <w:rFonts w:asciiTheme="majorHAnsi" w:hAnsiTheme="majorHAnsi" w:cstheme="majorHAnsi"/>
          <w:i/>
          <w:iCs/>
        </w:rPr>
        <w:t>Educational Review</w:t>
      </w:r>
      <w:r>
        <w:rPr>
          <w:rFonts w:asciiTheme="majorHAnsi" w:hAnsiTheme="majorHAnsi" w:cstheme="majorHAnsi"/>
        </w:rPr>
        <w:t>, </w:t>
      </w:r>
      <w:r>
        <w:rPr>
          <w:rFonts w:asciiTheme="majorHAnsi" w:hAnsiTheme="majorHAnsi" w:cstheme="majorHAnsi"/>
          <w:i/>
          <w:iCs/>
        </w:rPr>
        <w:t>74</w:t>
      </w:r>
      <w:r>
        <w:rPr>
          <w:rFonts w:asciiTheme="majorHAnsi" w:hAnsiTheme="majorHAnsi" w:cstheme="majorHAnsi"/>
        </w:rPr>
        <w:t xml:space="preserve">(2), 281–297. </w:t>
      </w:r>
      <w:hyperlink r:id="rId39" w:history="1">
        <w:r>
          <w:rPr>
            <w:rStyle w:val="Hyperlink"/>
            <w:rFonts w:asciiTheme="majorHAnsi" w:hAnsiTheme="majorHAnsi" w:cstheme="majorHAnsi"/>
          </w:rPr>
          <w:t>https://doi.org/10.1080/00131911.2020.1816907</w:t>
        </w:r>
      </w:hyperlink>
      <w:r>
        <w:rPr>
          <w:rFonts w:asciiTheme="majorHAnsi" w:hAnsiTheme="majorHAnsi" w:cstheme="majorHAnsi"/>
        </w:rPr>
        <w:t xml:space="preserve"> </w:t>
      </w:r>
    </w:p>
    <w:p w14:paraId="7439B0E3" w14:textId="3FED728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Fletcher, J. M. (2015). Social interactions and college enrollment: A combined school fixed effects/instrumental variables approach. </w:t>
      </w:r>
      <w:r>
        <w:rPr>
          <w:rFonts w:asciiTheme="majorHAnsi" w:hAnsiTheme="majorHAnsi" w:cstheme="majorHAnsi"/>
          <w:i/>
          <w:iCs/>
        </w:rPr>
        <w:t>Social Science Research</w:t>
      </w:r>
      <w:r>
        <w:rPr>
          <w:rFonts w:asciiTheme="majorHAnsi" w:hAnsiTheme="majorHAnsi" w:cstheme="majorHAnsi"/>
        </w:rPr>
        <w:t>, </w:t>
      </w:r>
      <w:r>
        <w:rPr>
          <w:rFonts w:asciiTheme="majorHAnsi" w:hAnsiTheme="majorHAnsi" w:cstheme="majorHAnsi"/>
          <w:i/>
          <w:iCs/>
        </w:rPr>
        <w:t>52</w:t>
      </w:r>
      <w:r>
        <w:rPr>
          <w:rFonts w:asciiTheme="majorHAnsi" w:hAnsiTheme="majorHAnsi" w:cstheme="majorHAnsi"/>
        </w:rPr>
        <w:t xml:space="preserve">, 494–507. </w:t>
      </w:r>
      <w:hyperlink r:id="rId40" w:history="1">
        <w:r>
          <w:rPr>
            <w:rStyle w:val="Hyperlink"/>
            <w:rFonts w:asciiTheme="majorHAnsi" w:hAnsiTheme="majorHAnsi" w:cstheme="majorHAnsi"/>
          </w:rPr>
          <w:t>https://doi.org/10.1016/j.ssresearch.2015.03.004</w:t>
        </w:r>
      </w:hyperlink>
      <w:r>
        <w:rPr>
          <w:rFonts w:asciiTheme="majorHAnsi" w:hAnsiTheme="majorHAnsi" w:cstheme="majorHAnsi"/>
        </w:rPr>
        <w:t xml:space="preserve"> </w:t>
      </w:r>
    </w:p>
    <w:p w14:paraId="7439B0E4" w14:textId="1FBE8DE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Forbes, T. D. (2022). Queer-free majors?: LGBTQ+ college students’ accounts of chilly and warm academic disciplines.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19</w:t>
      </w:r>
      <w:r>
        <w:rPr>
          <w:rFonts w:asciiTheme="majorHAnsi" w:hAnsiTheme="majorHAnsi" w:cstheme="majorHAnsi"/>
        </w:rPr>
        <w:t xml:space="preserve">(3), 330–349. </w:t>
      </w:r>
      <w:hyperlink r:id="rId41" w:history="1">
        <w:r>
          <w:rPr>
            <w:rStyle w:val="Hyperlink"/>
            <w:rFonts w:asciiTheme="majorHAnsi" w:hAnsiTheme="majorHAnsi" w:cstheme="majorHAnsi"/>
          </w:rPr>
          <w:t>https://doi.org/10.1080/19361653.2020.1813673</w:t>
        </w:r>
      </w:hyperlink>
      <w:r>
        <w:rPr>
          <w:rFonts w:asciiTheme="majorHAnsi" w:hAnsiTheme="majorHAnsi" w:cstheme="majorHAnsi"/>
        </w:rPr>
        <w:t xml:space="preserve"> </w:t>
      </w:r>
    </w:p>
    <w:p w14:paraId="7439B0E5" w14:textId="0E5CE8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Fotopoulou, A. (2012). Intersectionality queer studies and hybridity: Methodological frameworks for social research. </w:t>
      </w:r>
      <w:r>
        <w:rPr>
          <w:rFonts w:asciiTheme="majorHAnsi" w:hAnsiTheme="majorHAnsi" w:cstheme="majorHAnsi"/>
          <w:i/>
          <w:iCs/>
        </w:rPr>
        <w:t>Journal of International Women's Studies</w:t>
      </w:r>
      <w:r>
        <w:rPr>
          <w:rFonts w:asciiTheme="majorHAnsi" w:hAnsiTheme="majorHAnsi" w:cstheme="majorHAnsi"/>
        </w:rPr>
        <w:t>, </w:t>
      </w:r>
      <w:r>
        <w:rPr>
          <w:rFonts w:asciiTheme="majorHAnsi" w:hAnsiTheme="majorHAnsi" w:cstheme="majorHAnsi"/>
          <w:i/>
          <w:iCs/>
        </w:rPr>
        <w:t>13</w:t>
      </w:r>
      <w:r>
        <w:rPr>
          <w:rFonts w:asciiTheme="majorHAnsi" w:hAnsiTheme="majorHAnsi" w:cstheme="majorHAnsi"/>
        </w:rPr>
        <w:t xml:space="preserve">(2), 19–32. </w:t>
      </w:r>
      <w:hyperlink r:id="rId42" w:history="1">
        <w:r>
          <w:rPr>
            <w:rStyle w:val="Hyperlink"/>
            <w:rFonts w:asciiTheme="majorHAnsi" w:hAnsiTheme="majorHAnsi" w:cstheme="majorHAnsi"/>
          </w:rPr>
          <w:t>https://vc.bridgew.edu/jiws/vol13/iss2/3</w:t>
        </w:r>
      </w:hyperlink>
      <w:r>
        <w:rPr>
          <w:rFonts w:asciiTheme="majorHAnsi" w:hAnsiTheme="majorHAnsi" w:cstheme="majorHAnsi"/>
        </w:rPr>
        <w:t xml:space="preserve"> </w:t>
      </w:r>
    </w:p>
    <w:p w14:paraId="7439B0E6" w14:textId="5F6B5C8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Galupo, M. P., Mitchell, R. C., &amp; Davis, K. S. (2015). Sexual minority self-identification: Multiple identities and complexity.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(4), 355–364. </w:t>
      </w:r>
      <w:hyperlink r:id="rId43" w:history="1">
        <w:r>
          <w:rPr>
            <w:rStyle w:val="Hyperlink"/>
            <w:rFonts w:asciiTheme="majorHAnsi" w:hAnsiTheme="majorHAnsi" w:cstheme="majorHAnsi"/>
          </w:rPr>
          <w:t>https://doi.org/10.1037/sgd0000131</w:t>
        </w:r>
      </w:hyperlink>
      <w:r>
        <w:rPr>
          <w:rFonts w:asciiTheme="majorHAnsi" w:hAnsiTheme="majorHAnsi" w:cstheme="majorHAnsi"/>
        </w:rPr>
        <w:t xml:space="preserve"> </w:t>
      </w:r>
    </w:p>
    <w:p w14:paraId="7439B0E7" w14:textId="6CC69DD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Goldberg, A. E., Beemyn, G., &amp; Smith, J. Z. (2019). What is needed, what is valued: Trans students’ perspectives on trans-inclusive policies and practices in higher education. </w:t>
      </w:r>
      <w:r>
        <w:rPr>
          <w:rFonts w:asciiTheme="majorHAnsi" w:hAnsiTheme="majorHAnsi" w:cstheme="majorHAnsi"/>
          <w:i/>
          <w:iCs/>
        </w:rPr>
        <w:t>Journal of Educational and Psychological Consultation</w:t>
      </w:r>
      <w:r>
        <w:rPr>
          <w:rFonts w:asciiTheme="majorHAnsi" w:hAnsiTheme="majorHAnsi" w:cstheme="majorHAnsi"/>
        </w:rPr>
        <w:t>, </w:t>
      </w:r>
      <w:r>
        <w:rPr>
          <w:rFonts w:asciiTheme="majorHAnsi" w:hAnsiTheme="majorHAnsi" w:cstheme="majorHAnsi"/>
          <w:i/>
          <w:iCs/>
        </w:rPr>
        <w:t>29</w:t>
      </w:r>
      <w:r>
        <w:rPr>
          <w:rFonts w:asciiTheme="majorHAnsi" w:hAnsiTheme="majorHAnsi" w:cstheme="majorHAnsi"/>
        </w:rPr>
        <w:t xml:space="preserve">(1), 27–67. </w:t>
      </w:r>
      <w:hyperlink r:id="rId44" w:history="1">
        <w:r>
          <w:rPr>
            <w:rStyle w:val="Hyperlink"/>
            <w:rFonts w:asciiTheme="majorHAnsi" w:hAnsiTheme="majorHAnsi" w:cstheme="majorHAnsi"/>
          </w:rPr>
          <w:t>https://doi.org/10.1080/10474412.2018.1480376</w:t>
        </w:r>
      </w:hyperlink>
      <w:r>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Goldberg, A. E., &amp; Kuvalanka, K. A. (2018). Navigating identity development and community belonging when “there are only two boxes to check”: An exploratory study of nonbinary, trans college students. </w:t>
      </w:r>
      <w:r>
        <w:rPr>
          <w:rFonts w:asciiTheme="majorHAnsi" w:hAnsiTheme="majorHAnsi" w:cstheme="majorHAnsi"/>
          <w:i/>
          <w:iCs/>
        </w:rPr>
        <w:t>Journal of LGBT Youth, 15</w:t>
      </w:r>
      <w:r>
        <w:rPr>
          <w:rFonts w:asciiTheme="majorHAnsi" w:hAnsiTheme="majorHAnsi" w:cstheme="majorHAnsi"/>
        </w:rPr>
        <w:t xml:space="preserve">(2), 106–131. </w:t>
      </w:r>
      <w:hyperlink r:id="rId45" w:history="1">
        <w:r>
          <w:rPr>
            <w:rStyle w:val="Hyperlink"/>
            <w:rFonts w:asciiTheme="majorHAnsi" w:hAnsiTheme="majorHAnsi" w:cstheme="majorHAnsi"/>
          </w:rPr>
          <w:t>https://doi.org/10.1080/19361653.2018.1429979</w:t>
        </w:r>
      </w:hyperlink>
      <w:r>
        <w:rPr>
          <w:rFonts w:asciiTheme="majorHAnsi" w:hAnsiTheme="majorHAnsi" w:cstheme="majorHAnsi"/>
        </w:rPr>
        <w:t xml:space="preserve"> </w:t>
      </w:r>
    </w:p>
    <w:p w14:paraId="7439B0E9" w14:textId="2AFB9B1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Gong, H. J., &amp; Toutkoushian, R. K. (2024). High school students’ expectations and college aspirations: Causes and consequences. </w:t>
      </w:r>
      <w:r>
        <w:rPr>
          <w:rFonts w:asciiTheme="majorHAnsi" w:hAnsiTheme="majorHAnsi" w:cstheme="majorHAnsi"/>
          <w:i/>
          <w:iCs/>
        </w:rPr>
        <w:t>Educational Policy</w:t>
      </w:r>
      <w:r>
        <w:rPr>
          <w:rFonts w:asciiTheme="majorHAnsi" w:hAnsiTheme="majorHAnsi" w:cstheme="majorHAnsi"/>
        </w:rPr>
        <w:t>, </w:t>
      </w:r>
      <w:r>
        <w:rPr>
          <w:rFonts w:asciiTheme="majorHAnsi" w:hAnsiTheme="majorHAnsi" w:cstheme="majorHAnsi"/>
          <w:i/>
          <w:iCs/>
        </w:rPr>
        <w:t>38</w:t>
      </w:r>
      <w:r>
        <w:rPr>
          <w:rFonts w:asciiTheme="majorHAnsi" w:hAnsiTheme="majorHAnsi" w:cstheme="majorHAnsi"/>
        </w:rPr>
        <w:t xml:space="preserve">(1), 254–28. </w:t>
      </w:r>
      <w:hyperlink r:id="rId46" w:history="1">
        <w:r>
          <w:rPr>
            <w:rStyle w:val="Hyperlink"/>
            <w:rFonts w:asciiTheme="majorHAnsi" w:hAnsiTheme="majorHAnsi" w:cstheme="majorHAnsi"/>
          </w:rPr>
          <w:t>https://doi.org/10.1177/08959048231153600</w:t>
        </w:r>
      </w:hyperlink>
      <w:r>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Hammack, P. L., Hughes, S. D., Atwood, J. M., Cohen, E. M., &amp; Clark, R. C. (2022). Gender and sexual identity in adolescence: A mixed-methods study of labeling in diverse community settings. </w:t>
      </w:r>
      <w:r>
        <w:rPr>
          <w:rFonts w:asciiTheme="majorHAnsi" w:hAnsiTheme="majorHAnsi" w:cstheme="majorHAnsi"/>
          <w:i/>
          <w:iCs/>
        </w:rPr>
        <w:t>Journal of Adolescent Research, 37</w:t>
      </w:r>
      <w:r>
        <w:rPr>
          <w:rFonts w:asciiTheme="majorHAnsi" w:hAnsiTheme="majorHAnsi" w:cstheme="majorHAnsi"/>
        </w:rPr>
        <w:t xml:space="preserve">(2), 167–220. </w:t>
      </w:r>
      <w:hyperlink r:id="rId47" w:history="1">
        <w:r>
          <w:rPr>
            <w:rStyle w:val="Hyperlink"/>
            <w:rFonts w:asciiTheme="majorHAnsi" w:hAnsiTheme="majorHAnsi" w:cstheme="majorHAnsi"/>
          </w:rPr>
          <w:t>https://doi.org/10.1177/ 07435584211000315</w:t>
        </w:r>
      </w:hyperlink>
      <w:r>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Hatchel, T., Valido, A., De Pedro, K. T., Huang, Y., &amp; Espelage, D. L. (2018). Minority stress among transgender adolescents: The role of peer victimization, school belonging, and </w:t>
      </w:r>
      <w:r>
        <w:rPr>
          <w:rFonts w:asciiTheme="majorHAnsi" w:hAnsiTheme="majorHAnsi" w:cstheme="majorHAnsi"/>
        </w:rPr>
        <w:lastRenderedPageBreak/>
        <w:t>ethnicity. </w:t>
      </w:r>
      <w:r>
        <w:rPr>
          <w:rFonts w:asciiTheme="majorHAnsi" w:hAnsiTheme="majorHAnsi" w:cstheme="majorHAnsi"/>
          <w:i/>
          <w:iCs/>
        </w:rPr>
        <w:t>Journal of Child and Family Studies</w:t>
      </w:r>
      <w:r>
        <w:rPr>
          <w:rFonts w:asciiTheme="majorHAnsi" w:hAnsiTheme="majorHAnsi" w:cstheme="majorHAnsi"/>
        </w:rPr>
        <w:t xml:space="preserve">, </w:t>
      </w:r>
      <w:r>
        <w:rPr>
          <w:rFonts w:asciiTheme="majorHAnsi" w:hAnsiTheme="majorHAnsi" w:cstheme="majorHAnsi"/>
          <w:i/>
          <w:iCs/>
        </w:rPr>
        <w:t>28</w:t>
      </w:r>
      <w:r>
        <w:rPr>
          <w:rFonts w:asciiTheme="majorHAnsi" w:hAnsiTheme="majorHAnsi" w:cstheme="majorHAnsi"/>
        </w:rPr>
        <w:t xml:space="preserve">(9), 2467–2476. </w:t>
      </w:r>
      <w:hyperlink r:id="rId48" w:history="1">
        <w:r>
          <w:rPr>
            <w:rStyle w:val="Hyperlink"/>
            <w:rFonts w:asciiTheme="majorHAnsi" w:hAnsiTheme="majorHAnsi" w:cstheme="majorHAnsi"/>
          </w:rPr>
          <w:t>https://doi.org/ 10.1007/s10826-018-1168-3</w:t>
        </w:r>
      </w:hyperlink>
      <w:r>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Hattie, J. (2009). </w:t>
      </w:r>
      <w:r>
        <w:rPr>
          <w:rFonts w:asciiTheme="majorHAnsi" w:hAnsiTheme="majorHAnsi" w:cstheme="majorHAnsi"/>
          <w:i/>
          <w:iCs/>
        </w:rPr>
        <w:t>Visible learning: A synthesis of over 800 meta-analyses relating to achievement</w:t>
      </w:r>
      <w:r>
        <w:rPr>
          <w:rFonts w:asciiTheme="majorHAnsi" w:hAnsiTheme="majorHAnsi" w:cstheme="majorHAnsi"/>
        </w:rPr>
        <w:t>. Corwin.</w:t>
      </w:r>
    </w:p>
    <w:p w14:paraId="501401E9" w14:textId="5A3A4892" w:rsidR="00255044" w:rsidRPr="00824E21" w:rsidRDefault="00255044" w:rsidP="00255044">
      <w:pPr>
        <w:spacing w:line="360" w:lineRule="auto"/>
        <w:ind w:left="720" w:hanging="720"/>
        <w:rPr>
          <w:rFonts w:asciiTheme="majorHAnsi" w:hAnsiTheme="majorHAnsi" w:cstheme="majorHAnsi"/>
        </w:rPr>
      </w:pPr>
      <w:r>
        <w:rPr>
          <w:rFonts w:asciiTheme="majorHAnsi" w:hAnsiTheme="majorHAnsi" w:cstheme="majorHAnsi"/>
        </w:rPr>
        <w:t xml:space="preserve">Herman, J. L. (2014, September). </w:t>
      </w:r>
      <w:r>
        <w:rPr>
          <w:rFonts w:asciiTheme="majorHAnsi" w:hAnsiTheme="majorHAnsi" w:cstheme="majorHAnsi"/>
          <w:i/>
          <w:iCs/>
        </w:rPr>
        <w:t>Best practices for asking questions to identify transgender and other gender minority respondents on population-based surveys</w:t>
      </w:r>
      <w:r>
        <w:rPr>
          <w:rFonts w:asciiTheme="majorHAnsi" w:hAnsiTheme="majorHAnsi" w:cstheme="majorHAnsi"/>
        </w:rPr>
        <w:t xml:space="preserve">. The Williams Institute. </w:t>
      </w:r>
      <w:hyperlink r:id="rId49" w:history="1">
        <w:r>
          <w:rPr>
            <w:rStyle w:val="Hyperlink"/>
            <w:rFonts w:asciiTheme="majorHAnsi" w:hAnsiTheme="majorHAnsi" w:cstheme="majorHAnsi"/>
          </w:rPr>
          <w:t>https://williamsinstitute.law.ucla.edu/wp-content/uploads/Survey-Measures-Trans-GenIUSS-Sep-2014.pdf</w:t>
        </w:r>
      </w:hyperlink>
    </w:p>
    <w:p w14:paraId="7439B0F0" w14:textId="5EB13A3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Hershbein, B. &amp; Kearney, M. (2014). Major decisions: What graduates earn over their lifetimes. </w:t>
      </w:r>
      <w:r>
        <w:rPr>
          <w:rFonts w:asciiTheme="majorHAnsi" w:hAnsiTheme="majorHAnsi" w:cstheme="majorHAnsi"/>
          <w:i/>
          <w:iCs/>
        </w:rPr>
        <w:t>The Hamilton Project</w:t>
      </w:r>
      <w:r>
        <w:rPr>
          <w:rFonts w:asciiTheme="majorHAnsi" w:hAnsiTheme="majorHAnsi" w:cstheme="majorHAnsi"/>
        </w:rPr>
        <w:t xml:space="preserve">. </w:t>
      </w:r>
      <w:hyperlink r:id="rId50" w:history="1">
        <w:r>
          <w:rPr>
            <w:rStyle w:val="Hyperlink"/>
            <w:rFonts w:asciiTheme="majorHAnsi" w:hAnsiTheme="majorHAnsi" w:cstheme="majorHAnsi"/>
          </w:rPr>
          <w:t>http://www.hamiltonproject.org/assets/legacy/files/downloads_ and_links/Major_Decisions_Lifetime__Earnings_by_Major.pdf</w:t>
        </w:r>
      </w:hyperlink>
      <w:r>
        <w:rPr>
          <w:rFonts w:asciiTheme="majorHAnsi" w:hAnsiTheme="majorHAnsi" w:cstheme="majorHAnsi"/>
        </w:rPr>
        <w:t xml:space="preserve"> </w:t>
      </w:r>
    </w:p>
    <w:p w14:paraId="7439B0F1" w14:textId="5BE94B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Hill, L. D. (2008). School strategies and the ‘college-linking’ process: Reconsidering the effects of high schools on college enrollment. </w:t>
      </w:r>
      <w:r>
        <w:rPr>
          <w:rFonts w:asciiTheme="majorHAnsi" w:hAnsiTheme="majorHAnsi" w:cstheme="majorHAnsi"/>
          <w:i/>
          <w:iCs/>
        </w:rPr>
        <w:t>Sociology of Education, 81</w:t>
      </w:r>
      <w:r>
        <w:rPr>
          <w:rFonts w:asciiTheme="majorHAnsi" w:hAnsiTheme="majorHAnsi" w:cstheme="majorHAnsi"/>
        </w:rPr>
        <w:t xml:space="preserve">(1), 53–76. </w:t>
      </w:r>
      <w:hyperlink r:id="rId51" w:history="1">
        <w:r>
          <w:rPr>
            <w:rStyle w:val="Hyperlink"/>
            <w:rFonts w:asciiTheme="majorHAnsi" w:hAnsiTheme="majorHAnsi" w:cstheme="majorHAnsi"/>
          </w:rPr>
          <w:t>https://doi.org/10.1177/003804070808100103</w:t>
        </w:r>
      </w:hyperlink>
      <w:r>
        <w:rPr>
          <w:rFonts w:asciiTheme="majorHAnsi" w:hAnsiTheme="majorHAnsi" w:cstheme="majorHAnsi"/>
        </w:rPr>
        <w:t xml:space="preserve"> </w:t>
      </w:r>
    </w:p>
    <w:p w14:paraId="7439B0F2"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Hunter, J., Butler, C., &amp; Cooper, K. (2021). Gender minority stress in trans and gender diverse adolescents and young people. </w:t>
      </w:r>
      <w:r>
        <w:rPr>
          <w:rFonts w:asciiTheme="majorHAnsi" w:hAnsiTheme="majorHAnsi" w:cstheme="majorHAnsi"/>
          <w:i/>
          <w:iCs/>
        </w:rPr>
        <w:t>Clinical Child Psychology and Psychiatry, 26</w:t>
      </w:r>
      <w:r>
        <w:rPr>
          <w:rFonts w:asciiTheme="majorHAnsi" w:hAnsiTheme="majorHAnsi" w:cstheme="majorHAnsi"/>
        </w:rPr>
        <w:t xml:space="preserve">(4), 1182–1195. </w:t>
      </w:r>
      <w:hyperlink r:id="rId52">
        <w:r>
          <w:rPr>
            <w:rFonts w:asciiTheme="majorHAnsi" w:hAnsiTheme="majorHAnsi" w:cstheme="majorHAnsi"/>
            <w:color w:val="1155CC"/>
            <w:u w:val="single"/>
          </w:rPr>
          <w:t>https://doi.org/10.1177/13591045211033187</w:t>
        </w:r>
      </w:hyperlink>
    </w:p>
    <w:p w14:paraId="7439B0F3" w14:textId="1249A02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Hurtt, A., Kurlaender, M., Sun, C., Weber, K., &amp; Zhou, B. (2026). The transition to college for LGBTQ+ youth: High school experiences and college expectations. </w:t>
      </w:r>
      <w:r>
        <w:rPr>
          <w:rFonts w:asciiTheme="majorHAnsi" w:hAnsiTheme="majorHAnsi" w:cstheme="majorHAnsi"/>
          <w:i/>
          <w:iCs/>
        </w:rPr>
        <w:t>Forthcoming</w:t>
      </w:r>
      <w:r>
        <w:rPr>
          <w:rFonts w:asciiTheme="majorHAnsi" w:hAnsiTheme="majorHAnsi" w:cstheme="majorHAnsi"/>
        </w:rPr>
        <w:t>.</w:t>
      </w:r>
    </w:p>
    <w:p w14:paraId="7439B0F4" w14:textId="210303D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Kersey, E. &amp; Voigt, M. (2021). Finding community and overcoming barriers: Experiences of queer and transgender postsecondary students in mathematics and other STEM fields.” </w:t>
      </w:r>
      <w:r>
        <w:rPr>
          <w:rFonts w:asciiTheme="majorHAnsi" w:hAnsiTheme="majorHAnsi" w:cstheme="majorHAnsi"/>
          <w:i/>
          <w:iCs/>
        </w:rPr>
        <w:t>Mathematics Education Research Journal, 33</w:t>
      </w:r>
      <w:r>
        <w:rPr>
          <w:rFonts w:asciiTheme="majorHAnsi" w:hAnsiTheme="majorHAnsi" w:cstheme="majorHAnsi"/>
        </w:rPr>
        <w:t xml:space="preserve">(4), 733–756. </w:t>
      </w:r>
      <w:hyperlink r:id="rId53" w:history="1">
        <w:r>
          <w:rPr>
            <w:rStyle w:val="Hyperlink"/>
            <w:rFonts w:asciiTheme="majorHAnsi" w:hAnsiTheme="majorHAnsi" w:cstheme="majorHAnsi"/>
          </w:rPr>
          <w:t>https://doi.org/10.1007/s13394-020-00356-5</w:t>
        </w:r>
      </w:hyperlink>
      <w:r>
        <w:rPr>
          <w:rFonts w:asciiTheme="majorHAnsi" w:hAnsiTheme="majorHAnsi" w:cstheme="majorHAnsi"/>
        </w:rPr>
        <w:t xml:space="preserve"> </w:t>
      </w:r>
    </w:p>
    <w:p w14:paraId="7439B0F5" w14:textId="00C1587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Kosciw, J. G., Clark, C. M., &amp; Menard, L. (2022). </w:t>
      </w:r>
      <w:r>
        <w:rPr>
          <w:rFonts w:asciiTheme="majorHAnsi" w:hAnsiTheme="majorHAnsi" w:cstheme="majorHAnsi"/>
          <w:i/>
          <w:iCs/>
        </w:rPr>
        <w:t>The 2021 national school climate survey: The experiences of LGBTQ+ youth in our nation’s schools</w:t>
      </w:r>
      <w:r>
        <w:rPr>
          <w:rFonts w:asciiTheme="majorHAnsi" w:hAnsiTheme="majorHAnsi" w:cstheme="majorHAnsi"/>
        </w:rPr>
        <w:t xml:space="preserve">. New York: GLSEN. </w:t>
      </w:r>
      <w:hyperlink r:id="rId54" w:history="1">
        <w:r>
          <w:rPr>
            <w:rStyle w:val="Hyperlink"/>
            <w:rFonts w:asciiTheme="majorHAnsi" w:hAnsiTheme="majorHAnsi" w:cstheme="majorHAnsi"/>
          </w:rPr>
          <w:t>https://www.glsen.org/sites/default/files/2022-10/NSCS-2021-Full-Report.pdf</w:t>
        </w:r>
      </w:hyperlink>
      <w:r>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Kurlaender, M., Reed, S., &amp; Hurtt, A.</w:t>
      </w:r>
      <w:r>
        <w:rPr>
          <w:rFonts w:asciiTheme="majorHAnsi" w:hAnsiTheme="majorHAnsi" w:cstheme="majorHAnsi"/>
          <w:b/>
          <w:bCs/>
        </w:rPr>
        <w:t xml:space="preserve"> </w:t>
      </w:r>
      <w:r>
        <w:rPr>
          <w:rFonts w:asciiTheme="majorHAnsi" w:hAnsiTheme="majorHAnsi" w:cstheme="majorHAnsi"/>
        </w:rPr>
        <w:t xml:space="preserve">(2019, August). </w:t>
      </w:r>
      <w:r>
        <w:rPr>
          <w:rFonts w:asciiTheme="majorHAnsi" w:hAnsiTheme="majorHAnsi" w:cstheme="majorHAnsi"/>
          <w:i/>
          <w:iCs/>
        </w:rPr>
        <w:t xml:space="preserve">Improving college readiness: A research summary and implications for practice. </w:t>
      </w:r>
      <w:r>
        <w:rPr>
          <w:rFonts w:asciiTheme="majorHAnsi" w:hAnsiTheme="majorHAnsi" w:cstheme="majorHAnsi"/>
        </w:rPr>
        <w:t xml:space="preserve">Policy Analysis for California Education, PACE. </w:t>
      </w:r>
      <w:hyperlink r:id="rId55" w:history="1">
        <w:r>
          <w:rPr>
            <w:rStyle w:val="Hyperlink"/>
            <w:rFonts w:asciiTheme="majorHAnsi" w:hAnsiTheme="majorHAnsi" w:cstheme="majorHAnsi"/>
          </w:rPr>
          <w:t>https://edpolicyinca.org/sites/default/files/R_Kurlaender_Aug19_01.pdf</w:t>
        </w:r>
      </w:hyperlink>
      <w:r>
        <w:rPr>
          <w:rFonts w:asciiTheme="majorHAnsi" w:hAnsiTheme="majorHAnsi" w:cstheme="majorHAnsi"/>
        </w:rPr>
        <w:t xml:space="preserve"> </w:t>
      </w:r>
    </w:p>
    <w:p w14:paraId="7439B0F7" w14:textId="7FE9583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Lazowski, R. A., &amp; Hulleman, C. S. (2016). Motivation interventions in education: A meta-analytic review.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86</w:t>
      </w:r>
      <w:r>
        <w:rPr>
          <w:rFonts w:asciiTheme="majorHAnsi" w:hAnsiTheme="majorHAnsi" w:cstheme="majorHAnsi"/>
        </w:rPr>
        <w:t xml:space="preserve">(2), 602–640. </w:t>
      </w:r>
      <w:hyperlink r:id="rId56" w:history="1">
        <w:r>
          <w:rPr>
            <w:rStyle w:val="Hyperlink"/>
            <w:rFonts w:asciiTheme="majorHAnsi" w:hAnsiTheme="majorHAnsi" w:cstheme="majorHAnsi"/>
          </w:rPr>
          <w:t>https://doi.org/10.3102/ 0034654315617832</w:t>
        </w:r>
      </w:hyperlink>
      <w:r>
        <w:rPr>
          <w:rFonts w:asciiTheme="majorHAnsi" w:hAnsiTheme="majorHAnsi" w:cstheme="majorHAnsi"/>
        </w:rPr>
        <w:t xml:space="preserve"> </w:t>
      </w:r>
    </w:p>
    <w:p w14:paraId="7439B0F8" w14:textId="1B468B3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Linley, J. L., Renn, K. A., &amp; Woodford, M. R. (2018). Examining the ecological systems of LGBTQ STEM majors. </w:t>
      </w:r>
      <w:r>
        <w:rPr>
          <w:rFonts w:asciiTheme="majorHAnsi" w:hAnsiTheme="majorHAnsi" w:cstheme="majorHAnsi"/>
          <w:i/>
          <w:iCs/>
        </w:rPr>
        <w:t>Journal of Women and Minorities in Science and Engineering</w:t>
      </w:r>
      <w:r>
        <w:rPr>
          <w:rFonts w:asciiTheme="majorHAnsi" w:hAnsiTheme="majorHAnsi" w:cstheme="majorHAnsi"/>
        </w:rPr>
        <w:t>, </w:t>
      </w:r>
      <w:r>
        <w:rPr>
          <w:rFonts w:asciiTheme="majorHAnsi" w:hAnsiTheme="majorHAnsi" w:cstheme="majorHAnsi"/>
          <w:i/>
          <w:iCs/>
        </w:rPr>
        <w:t>24</w:t>
      </w:r>
      <w:r>
        <w:rPr>
          <w:rFonts w:asciiTheme="majorHAnsi" w:hAnsiTheme="majorHAnsi" w:cstheme="majorHAnsi"/>
        </w:rPr>
        <w:t xml:space="preserve">(1), 1–16. </w:t>
      </w:r>
      <w:hyperlink r:id="rId57" w:history="1">
        <w:r>
          <w:rPr>
            <w:rStyle w:val="Hyperlink"/>
            <w:rFonts w:asciiTheme="majorHAnsi" w:hAnsiTheme="majorHAnsi" w:cstheme="majorHAnsi"/>
          </w:rPr>
          <w:t>https://doi.org/10.1615/jwomenminorscieneng.2017018836</w:t>
        </w:r>
      </w:hyperlink>
      <w:r>
        <w:rPr>
          <w:rFonts w:asciiTheme="majorHAnsi" w:hAnsiTheme="majorHAnsi" w:cstheme="majorHAnsi"/>
        </w:rPr>
        <w:t xml:space="preserve"> </w:t>
      </w:r>
    </w:p>
    <w:p w14:paraId="7439B0F9" w14:textId="138802C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Luh, H. J., deLeyer-Tiarks, J., Wojcik, H., &amp; Mandracchia, F. (2023). Preparing LGBTQ youth for the high school to college transition: A multidimensional approach. </w:t>
      </w:r>
      <w:r>
        <w:rPr>
          <w:rFonts w:asciiTheme="majorHAnsi" w:hAnsiTheme="majorHAnsi" w:cstheme="majorHAnsi"/>
          <w:i/>
          <w:iCs/>
        </w:rPr>
        <w:t>Journal of LGBT Youth</w:t>
      </w:r>
      <w:r>
        <w:rPr>
          <w:rFonts w:asciiTheme="majorHAnsi" w:hAnsiTheme="majorHAnsi" w:cstheme="majorHAnsi"/>
        </w:rPr>
        <w:t xml:space="preserve">, 1–20. </w:t>
      </w:r>
      <w:hyperlink r:id="rId58" w:history="1">
        <w:r>
          <w:rPr>
            <w:rStyle w:val="Hyperlink"/>
            <w:rFonts w:asciiTheme="majorHAnsi" w:hAnsiTheme="majorHAnsi" w:cstheme="majorHAnsi"/>
          </w:rPr>
          <w:t>https://doi.org/10.1080/19361653.2023.2264830</w:t>
        </w:r>
      </w:hyperlink>
      <w:r>
        <w:rPr>
          <w:rFonts w:asciiTheme="majorHAnsi" w:hAnsiTheme="majorHAnsi" w:cstheme="majorHAnsi"/>
        </w:rPr>
        <w:t xml:space="preserve"> </w:t>
      </w:r>
    </w:p>
    <w:p w14:paraId="7439B0FA" w14:textId="3688EE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 J., Pender, M., &amp; Welch, M. (2019). Education pays 2019: The benefits of higher education for individuals and society. </w:t>
      </w:r>
      <w:r>
        <w:rPr>
          <w:rFonts w:asciiTheme="majorHAnsi" w:hAnsiTheme="majorHAnsi" w:cstheme="majorHAnsi"/>
          <w:i/>
          <w:iCs/>
        </w:rPr>
        <w:t xml:space="preserve">Trends in Higher Education Series. </w:t>
      </w:r>
      <w:r>
        <w:rPr>
          <w:rFonts w:asciiTheme="majorHAnsi" w:hAnsiTheme="majorHAnsi" w:cstheme="majorHAnsi"/>
        </w:rPr>
        <w:t xml:space="preserve">College Board. </w:t>
      </w:r>
      <w:hyperlink r:id="rId59" w:history="1">
        <w:r>
          <w:rPr>
            <w:rStyle w:val="Hyperlink"/>
            <w:rFonts w:asciiTheme="majorHAnsi" w:hAnsiTheme="majorHAnsi" w:cstheme="majorHAnsi"/>
          </w:rPr>
          <w:t>https://research.collegeboard.org/media/pdf/education-pays-2019-full-report.pdf</w:t>
        </w:r>
      </w:hyperlink>
      <w:r>
        <w:rPr>
          <w:rFonts w:asciiTheme="majorHAnsi" w:hAnsiTheme="majorHAnsi" w:cstheme="majorHAnsi"/>
        </w:rPr>
        <w:t xml:space="preserve"> </w:t>
      </w:r>
    </w:p>
    <w:p w14:paraId="7439B0FB" w14:textId="2C5A7D6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Marine, S. B., &amp; Nicolazzo, Z. (2014). Names that matter: Exploring the tensions of campus LGBTQ centers and trans* inclusion. </w:t>
      </w:r>
      <w:r>
        <w:rPr>
          <w:rFonts w:asciiTheme="majorHAnsi" w:hAnsiTheme="majorHAnsi" w:cstheme="majorHAnsi"/>
          <w:i/>
          <w:iCs/>
        </w:rPr>
        <w:t>Journal of Diversity in Higher Education</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(4), 265–281. </w:t>
      </w:r>
      <w:hyperlink r:id="rId60" w:history="1">
        <w:r>
          <w:rPr>
            <w:rStyle w:val="Hyperlink"/>
            <w:rFonts w:asciiTheme="majorHAnsi" w:hAnsiTheme="majorHAnsi" w:cstheme="majorHAnsi"/>
          </w:rPr>
          <w:t>https://doi.org/10.1037/a0037990</w:t>
        </w:r>
      </w:hyperlink>
      <w:r>
        <w:rPr>
          <w:rFonts w:asciiTheme="majorHAnsi" w:hAnsiTheme="majorHAnsi" w:cstheme="majorHAnsi"/>
        </w:rPr>
        <w:t xml:space="preserve"> </w:t>
      </w:r>
    </w:p>
    <w:p w14:paraId="7439B0FD" w14:textId="5319B9D3"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McBride, R. S. (2021). A literature review of the secondary school experiences of trans youth.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18</w:t>
      </w:r>
      <w:r>
        <w:rPr>
          <w:rFonts w:asciiTheme="majorHAnsi" w:hAnsiTheme="majorHAnsi" w:cstheme="majorHAnsi"/>
        </w:rPr>
        <w:t xml:space="preserve">(2), 103–134. </w:t>
      </w:r>
      <w:hyperlink r:id="rId61" w:history="1">
        <w:r>
          <w:rPr>
            <w:rStyle w:val="Hyperlink"/>
            <w:rFonts w:asciiTheme="majorHAnsi" w:hAnsiTheme="majorHAnsi" w:cstheme="majorHAnsi"/>
          </w:rPr>
          <w:t>https://doi.org/10.1080/19361653. 2020.1727815</w:t>
        </w:r>
      </w:hyperlink>
      <w:r>
        <w:rPr>
          <w:rFonts w:asciiTheme="majorHAnsi" w:hAnsiTheme="majorHAnsi" w:cstheme="majorHAnsi"/>
        </w:rPr>
        <w:t xml:space="preserve"> </w:t>
      </w:r>
    </w:p>
    <w:p w14:paraId="7439B0FE" w14:textId="74FB457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Means, B., Wang, H., Young, V., Peters, V. L., &amp; Lynch, S. J. (2016). STEM-focused high schools as a strategy for enhancing readiness for postsecondary STEM programs. </w:t>
      </w:r>
      <w:r>
        <w:rPr>
          <w:rFonts w:asciiTheme="majorHAnsi" w:hAnsiTheme="majorHAnsi" w:cstheme="majorHAnsi"/>
          <w:i/>
          <w:iCs/>
        </w:rPr>
        <w:t>Journal of Research in Science Teaching, 53</w:t>
      </w:r>
      <w:r>
        <w:rPr>
          <w:rFonts w:asciiTheme="majorHAnsi" w:hAnsiTheme="majorHAnsi" w:cstheme="majorHAnsi"/>
        </w:rPr>
        <w:t xml:space="preserve">(5), 709–736. </w:t>
      </w:r>
      <w:hyperlink r:id="rId62" w:history="1">
        <w:r>
          <w:rPr>
            <w:rStyle w:val="Hyperlink"/>
            <w:rFonts w:asciiTheme="majorHAnsi" w:hAnsiTheme="majorHAnsi" w:cstheme="majorHAnsi"/>
          </w:rPr>
          <w:t>https://doi.org/10.1002/tea.21313</w:t>
        </w:r>
      </w:hyperlink>
      <w:r>
        <w:rPr>
          <w:rFonts w:asciiTheme="majorHAnsi" w:hAnsiTheme="majorHAnsi" w:cstheme="majorHAnsi"/>
        </w:rPr>
        <w:t xml:space="preserve"> </w:t>
      </w:r>
    </w:p>
    <w:p w14:paraId="7439B0FF" w14:textId="6066A3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Meyer, I. H. (2015). Resilience in the study of minority stress and health of sexual and gender minorities. </w:t>
      </w:r>
      <w:r>
        <w:rPr>
          <w:rFonts w:asciiTheme="majorHAnsi" w:hAnsiTheme="majorHAnsi" w:cstheme="majorHAnsi"/>
          <w:i/>
          <w:iCs/>
        </w:rPr>
        <w:t>Psychology of Sexual Orientation and Gender Diversity</w:t>
      </w:r>
      <w:r>
        <w:rPr>
          <w:rFonts w:asciiTheme="majorHAnsi" w:hAnsiTheme="majorHAnsi" w:cstheme="majorHAnsi"/>
        </w:rPr>
        <w:t xml:space="preserve">, </w:t>
      </w:r>
      <w:r>
        <w:rPr>
          <w:rFonts w:asciiTheme="majorHAnsi" w:hAnsiTheme="majorHAnsi" w:cstheme="majorHAnsi"/>
          <w:i/>
          <w:iCs/>
        </w:rPr>
        <w:t>2</w:t>
      </w:r>
      <w:r>
        <w:rPr>
          <w:rFonts w:asciiTheme="majorHAnsi" w:hAnsiTheme="majorHAnsi" w:cstheme="majorHAnsi"/>
        </w:rPr>
        <w:t xml:space="preserve">(3), 209–213. </w:t>
      </w:r>
      <w:hyperlink r:id="rId63" w:history="1">
        <w:r>
          <w:rPr>
            <w:rStyle w:val="Hyperlink"/>
            <w:rFonts w:asciiTheme="majorHAnsi" w:hAnsiTheme="majorHAnsi" w:cstheme="majorHAnsi"/>
          </w:rPr>
          <w:t>https://doi.org/10.1037/sgd0000132</w:t>
        </w:r>
      </w:hyperlink>
      <w:r>
        <w:rPr>
          <w:rFonts w:asciiTheme="majorHAnsi" w:hAnsiTheme="majorHAnsi" w:cstheme="majorHAnsi"/>
        </w:rPr>
        <w:t xml:space="preserve"> </w:t>
      </w:r>
    </w:p>
    <w:p w14:paraId="4DDF2D1A" w14:textId="09A346BD" w:rsidR="00255044" w:rsidRPr="00824E21" w:rsidRDefault="00255044" w:rsidP="00255044">
      <w:pPr>
        <w:spacing w:line="360" w:lineRule="auto"/>
        <w:ind w:left="720" w:hanging="720"/>
        <w:rPr>
          <w:rFonts w:asciiTheme="majorHAnsi" w:hAnsiTheme="majorHAnsi" w:cstheme="majorHAnsi"/>
          <w:lang w:val="en-US"/>
        </w:rPr>
      </w:pPr>
      <w:r>
        <w:rPr>
          <w:rFonts w:asciiTheme="majorHAnsi" w:hAnsiTheme="majorHAnsi" w:cstheme="majorHAnsi"/>
          <w:lang w:val="en-US"/>
        </w:rPr>
        <w:t>Mittleman, J. (2022). Intersecting the academic gender gap: The education of lesbian, gay, and bisexual America. </w:t>
      </w:r>
      <w:r>
        <w:rPr>
          <w:rFonts w:asciiTheme="majorHAnsi" w:hAnsiTheme="majorHAnsi" w:cstheme="majorHAnsi"/>
          <w:i/>
          <w:iCs/>
          <w:lang w:val="en-US"/>
        </w:rPr>
        <w:t>American Sociological Review</w:t>
      </w:r>
      <w:r>
        <w:rPr>
          <w:rFonts w:asciiTheme="majorHAnsi" w:hAnsiTheme="majorHAnsi" w:cstheme="majorHAnsi"/>
          <w:lang w:val="en-US"/>
        </w:rPr>
        <w:t>, </w:t>
      </w:r>
      <w:r>
        <w:rPr>
          <w:rFonts w:asciiTheme="majorHAnsi" w:hAnsiTheme="majorHAnsi" w:cstheme="majorHAnsi"/>
          <w:i/>
          <w:iCs/>
          <w:lang w:val="en-US"/>
        </w:rPr>
        <w:t>87</w:t>
      </w:r>
      <w:r>
        <w:rPr>
          <w:rFonts w:asciiTheme="majorHAnsi" w:hAnsiTheme="majorHAnsi" w:cstheme="majorHAnsi"/>
          <w:lang w:val="en-US"/>
        </w:rPr>
        <w:t>(2), 303-335. https://doi.org/10.1177/00031224221075776</w:t>
      </w:r>
    </w:p>
    <w:p w14:paraId="7439B101" w14:textId="6CC962B0"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Morgan, E. M. (2013). Contemporary issues in sexual orientation and identity development in emerging adulthood. </w:t>
      </w:r>
      <w:r>
        <w:rPr>
          <w:rFonts w:asciiTheme="majorHAnsi" w:hAnsiTheme="majorHAnsi" w:cstheme="majorHAnsi"/>
          <w:i/>
          <w:iCs/>
        </w:rPr>
        <w:t>Emerging Adulthood,</w:t>
      </w:r>
      <w:r>
        <w:rPr>
          <w:rFonts w:asciiTheme="majorHAnsi" w:hAnsiTheme="majorHAnsi" w:cstheme="majorHAnsi"/>
        </w:rPr>
        <w:t> </w:t>
      </w:r>
      <w:r>
        <w:rPr>
          <w:rFonts w:asciiTheme="majorHAnsi" w:hAnsiTheme="majorHAnsi" w:cstheme="majorHAnsi"/>
          <w:i/>
          <w:iCs/>
        </w:rPr>
        <w:t>1</w:t>
      </w:r>
      <w:r>
        <w:rPr>
          <w:rFonts w:asciiTheme="majorHAnsi" w:hAnsiTheme="majorHAnsi" w:cstheme="majorHAnsi"/>
        </w:rPr>
        <w:t xml:space="preserve">(1), 52–66. </w:t>
      </w:r>
      <w:hyperlink r:id="rId64" w:history="1">
        <w:r>
          <w:rPr>
            <w:rStyle w:val="Hyperlink"/>
            <w:rFonts w:asciiTheme="majorHAnsi" w:hAnsiTheme="majorHAnsi" w:cstheme="majorHAnsi"/>
          </w:rPr>
          <w:t>https://doi.org/10.1177/ 2167696812469187</w:t>
        </w:r>
      </w:hyperlink>
      <w:r>
        <w:rPr>
          <w:rFonts w:asciiTheme="majorHAnsi" w:hAnsiTheme="majorHAnsi" w:cstheme="majorHAnsi"/>
        </w:rPr>
        <w:t xml:space="preserve"> </w:t>
      </w:r>
    </w:p>
    <w:p w14:paraId="7439B102" w14:textId="2AB630BB"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Morton, T. R., Ramirez, N. A., Meece, J. L., Demetriou, C., &amp; Panter, A. T. (2018). Perceived barriers, anxieties, and fears in prospective college students from rural high schools. </w:t>
      </w:r>
      <w:r>
        <w:rPr>
          <w:rFonts w:asciiTheme="majorHAnsi" w:hAnsiTheme="majorHAnsi" w:cstheme="majorHAnsi"/>
          <w:i/>
          <w:iCs/>
        </w:rPr>
        <w:t>High School Journal</w:t>
      </w:r>
      <w:r>
        <w:rPr>
          <w:rFonts w:asciiTheme="majorHAnsi" w:hAnsiTheme="majorHAnsi" w:cstheme="majorHAnsi"/>
        </w:rPr>
        <w:t>, </w:t>
      </w:r>
      <w:r>
        <w:rPr>
          <w:rFonts w:asciiTheme="majorHAnsi" w:hAnsiTheme="majorHAnsi" w:cstheme="majorHAnsi"/>
          <w:i/>
          <w:iCs/>
        </w:rPr>
        <w:t>101</w:t>
      </w:r>
      <w:r>
        <w:rPr>
          <w:rFonts w:asciiTheme="majorHAnsi" w:hAnsiTheme="majorHAnsi" w:cstheme="majorHAnsi"/>
        </w:rPr>
        <w:t xml:space="preserve">(3), 155–176. </w:t>
      </w:r>
      <w:hyperlink r:id="rId65" w:history="1">
        <w:r>
          <w:rPr>
            <w:rStyle w:val="Hyperlink"/>
            <w:rFonts w:asciiTheme="majorHAnsi" w:hAnsiTheme="majorHAnsi" w:cstheme="majorHAnsi"/>
          </w:rPr>
          <w:t>https://www.jstor.org/stable/90024241</w:t>
        </w:r>
      </w:hyperlink>
      <w:r>
        <w:rPr>
          <w:rFonts w:asciiTheme="majorHAnsi" w:hAnsiTheme="majorHAnsi" w:cstheme="majorHAnsi"/>
        </w:rPr>
        <w:t xml:space="preserve"> </w:t>
      </w:r>
    </w:p>
    <w:p w14:paraId="6AA5131F" w14:textId="3EB71DA3" w:rsidR="00E45A99" w:rsidRPr="00824E21" w:rsidRDefault="00E45A99" w:rsidP="001B2966">
      <w:pPr>
        <w:spacing w:line="360" w:lineRule="auto"/>
        <w:ind w:left="720" w:hanging="720"/>
        <w:rPr>
          <w:rFonts w:asciiTheme="majorHAnsi" w:hAnsiTheme="majorHAnsi" w:cstheme="majorHAnsi"/>
        </w:rPr>
      </w:pPr>
      <w:r>
        <w:rPr>
          <w:rFonts w:asciiTheme="majorHAnsi" w:hAnsiTheme="majorHAnsi" w:cstheme="majorHAnsi"/>
        </w:rPr>
        <w:t>Movement Advancement Project. (2025). Equality maps: Safe schools laws. https://www.lgbtmap.org/equality-maps/safe_school_laws</w:t>
      </w:r>
    </w:p>
    <w:p w14:paraId="64C12D05" w14:textId="4B0022F7" w:rsidR="00887134" w:rsidRPr="00824E21" w:rsidRDefault="00887134" w:rsidP="00887134">
      <w:pPr>
        <w:spacing w:line="360" w:lineRule="auto"/>
        <w:ind w:left="720" w:hanging="720"/>
        <w:rPr>
          <w:rFonts w:asciiTheme="majorHAnsi" w:hAnsiTheme="majorHAnsi" w:cstheme="majorHAnsi"/>
          <w:lang w:val="en-US"/>
        </w:rPr>
      </w:pPr>
      <w:r>
        <w:rPr>
          <w:rFonts w:asciiTheme="majorHAnsi" w:hAnsiTheme="majorHAnsi" w:cstheme="majorHAnsi"/>
          <w:lang w:val="en-US"/>
        </w:rPr>
        <w:t xml:space="preserve">O’Neill, K. K. &amp; Conron, K. J. (co-first authors), Goldberg, A. E., &amp; Guardado, R. (2022). </w:t>
      </w:r>
      <w:r>
        <w:rPr>
          <w:rFonts w:asciiTheme="majorHAnsi" w:hAnsiTheme="majorHAnsi" w:cstheme="majorHAnsi"/>
          <w:i/>
          <w:iCs/>
          <w:lang w:val="en-US"/>
        </w:rPr>
        <w:t>The experiences of LGBTQ people in four-year colleges and graduate programs: Findings from a national probability survey.</w:t>
      </w:r>
      <w:r>
        <w:rPr>
          <w:rFonts w:asciiTheme="majorHAnsi" w:hAnsiTheme="majorHAnsi" w:cstheme="majorHAnsi"/>
          <w:lang w:val="en-US"/>
        </w:rPr>
        <w:t xml:space="preserve"> The Williams Institute. </w:t>
      </w:r>
      <w:hyperlink r:id="rId66" w:history="1">
        <w:r>
          <w:rPr>
            <w:rStyle w:val="Hyperlink"/>
            <w:rFonts w:asciiTheme="majorHAnsi" w:hAnsiTheme="majorHAnsi" w:cstheme="majorHAnsi"/>
            <w:lang w:val="en-US"/>
          </w:rPr>
          <w:t>https://williamsinstitute.law.ucla.edu/wp-content/uploads/LGBTQ-College-Grad-School-May-2022.pdf</w:t>
        </w:r>
      </w:hyperlink>
      <w:r>
        <w:rPr>
          <w:rFonts w:asciiTheme="majorHAnsi" w:hAnsiTheme="majorHAnsi" w:cstheme="majorHAnsi"/>
          <w:lang w:val="en-US"/>
        </w:rPr>
        <w:t xml:space="preserve"> </w:t>
      </w:r>
    </w:p>
    <w:p w14:paraId="7439B103" w14:textId="59A331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Olson, J. (2017). Moving up, feeling down: Socioemotional health during the transition into college.</w:t>
      </w:r>
      <w:r>
        <w:rPr>
          <w:rFonts w:asciiTheme="majorHAnsi" w:hAnsiTheme="majorHAnsi" w:cstheme="majorHAnsi"/>
          <w:i/>
          <w:iCs/>
        </w:rPr>
        <w:t xml:space="preserve"> Longitudinal and Life Course Studies, 8</w:t>
      </w:r>
      <w:r>
        <w:rPr>
          <w:rFonts w:asciiTheme="majorHAnsi" w:hAnsiTheme="majorHAnsi" w:cstheme="majorHAnsi"/>
        </w:rPr>
        <w:t xml:space="preserve">(3), 3. </w:t>
      </w:r>
      <w:hyperlink r:id="rId67" w:history="1">
        <w:r>
          <w:rPr>
            <w:rStyle w:val="Hyperlink"/>
            <w:rFonts w:asciiTheme="majorHAnsi" w:hAnsiTheme="majorHAnsi" w:cstheme="majorHAnsi"/>
          </w:rPr>
          <w:t>http://dx.doi.org/10.14301/ llcs.v8i3.419</w:t>
        </w:r>
      </w:hyperlink>
      <w:r>
        <w:rPr>
          <w:rFonts w:asciiTheme="majorHAnsi" w:hAnsiTheme="majorHAnsi" w:cstheme="majorHAnsi"/>
        </w:rPr>
        <w:t xml:space="preserve"> </w:t>
      </w:r>
    </w:p>
    <w:p w14:paraId="7439B104" w14:textId="5DDA31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Osterman, K. F. (2000). Students’ need for belonging in the school community.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70</w:t>
      </w:r>
      <w:r>
        <w:rPr>
          <w:rFonts w:asciiTheme="majorHAnsi" w:hAnsiTheme="majorHAnsi" w:cstheme="majorHAnsi"/>
        </w:rPr>
        <w:t xml:space="preserve">(3), 323–367. </w:t>
      </w:r>
      <w:hyperlink r:id="rId68" w:history="1">
        <w:r>
          <w:rPr>
            <w:rStyle w:val="Hyperlink"/>
            <w:rFonts w:asciiTheme="majorHAnsi" w:hAnsiTheme="majorHAnsi" w:cstheme="majorHAnsi"/>
          </w:rPr>
          <w:t>https://doi.org/10.2307/1170786</w:t>
        </w:r>
      </w:hyperlink>
      <w:r>
        <w:rPr>
          <w:rFonts w:asciiTheme="majorHAnsi" w:hAnsiTheme="majorHAnsi" w:cstheme="majorHAnsi"/>
        </w:rPr>
        <w:t xml:space="preserve"> </w:t>
      </w:r>
    </w:p>
    <w:p w14:paraId="7439B105" w14:textId="09D79F3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Perez, N., &amp; Farruggia, S. P. (2022). Pathways to early departure from college: The interrelated and precarious role of finances among Black and Latinx students. </w:t>
      </w:r>
      <w:r>
        <w:rPr>
          <w:rFonts w:asciiTheme="majorHAnsi" w:hAnsiTheme="majorHAnsi" w:cstheme="majorHAnsi"/>
          <w:i/>
          <w:iCs/>
        </w:rPr>
        <w:t>Race Ethnicity and Education</w:t>
      </w:r>
      <w:r>
        <w:rPr>
          <w:rFonts w:asciiTheme="majorHAnsi" w:hAnsiTheme="majorHAnsi" w:cstheme="majorHAnsi"/>
        </w:rPr>
        <w:t>, </w:t>
      </w:r>
      <w:r>
        <w:rPr>
          <w:rFonts w:asciiTheme="majorHAnsi" w:hAnsiTheme="majorHAnsi" w:cstheme="majorHAnsi"/>
          <w:i/>
          <w:iCs/>
        </w:rPr>
        <w:t>25</w:t>
      </w:r>
      <w:r>
        <w:rPr>
          <w:rFonts w:asciiTheme="majorHAnsi" w:hAnsiTheme="majorHAnsi" w:cstheme="majorHAnsi"/>
        </w:rPr>
        <w:t xml:space="preserve">(2), 155–172. </w:t>
      </w:r>
      <w:hyperlink r:id="rId69" w:history="1">
        <w:r>
          <w:rPr>
            <w:rStyle w:val="Hyperlink"/>
            <w:rFonts w:asciiTheme="majorHAnsi" w:hAnsiTheme="majorHAnsi" w:cstheme="majorHAnsi"/>
          </w:rPr>
          <w:t>https://doi.org/10.1080/13613324.2021.1890561</w:t>
        </w:r>
      </w:hyperlink>
      <w:r>
        <w:rPr>
          <w:rFonts w:asciiTheme="majorHAnsi" w:hAnsiTheme="majorHAnsi" w:cstheme="majorHAnsi"/>
        </w:rPr>
        <w:t xml:space="preserve"> </w:t>
      </w:r>
    </w:p>
    <w:p w14:paraId="7439B106" w14:textId="3A29509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Perna, L., &amp; Titus, M. (2005). The relationship between parental involvement as social capital and college enrollment: An examination of racial/ethnic group differences. </w:t>
      </w:r>
      <w:r>
        <w:rPr>
          <w:rFonts w:asciiTheme="majorHAnsi" w:hAnsiTheme="majorHAnsi" w:cstheme="majorHAnsi"/>
          <w:i/>
          <w:iCs/>
        </w:rPr>
        <w:t>The Journal of Higher Education, 76</w:t>
      </w:r>
      <w:r>
        <w:rPr>
          <w:rFonts w:asciiTheme="majorHAnsi" w:hAnsiTheme="majorHAnsi" w:cstheme="majorHAnsi"/>
        </w:rPr>
        <w:t xml:space="preserve">(5), 485–518. </w:t>
      </w:r>
      <w:hyperlink r:id="rId70" w:history="1">
        <w:r>
          <w:rPr>
            <w:rStyle w:val="Hyperlink"/>
            <w:rFonts w:asciiTheme="majorHAnsi" w:hAnsiTheme="majorHAnsi" w:cstheme="majorHAnsi"/>
          </w:rPr>
          <w:t>https://doi.org/10.1080/00221546.2005.11772296</w:t>
        </w:r>
      </w:hyperlink>
      <w:r>
        <w:rPr>
          <w:rFonts w:asciiTheme="majorHAnsi" w:hAnsiTheme="majorHAnsi" w:cstheme="majorHAnsi"/>
        </w:rPr>
        <w:t xml:space="preserve"> </w:t>
      </w:r>
    </w:p>
    <w:p w14:paraId="7439B107" w14:textId="34AB60F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Pike, G. R., &amp; Robbins, K. (2016). The relationships among individual characteristics, high school characteristics, and college enrollment: Using enrollment propensity as a baseline for evaluating strategic enrollment management efforts. </w:t>
      </w:r>
      <w:r>
        <w:rPr>
          <w:rFonts w:asciiTheme="majorHAnsi" w:hAnsiTheme="majorHAnsi" w:cstheme="majorHAnsi"/>
          <w:i/>
          <w:iCs/>
        </w:rPr>
        <w:t>Strategic Enrollment Management Quarterly</w:t>
      </w:r>
      <w:r>
        <w:rPr>
          <w:rFonts w:asciiTheme="majorHAnsi" w:hAnsiTheme="majorHAnsi" w:cstheme="majorHAnsi"/>
        </w:rPr>
        <w:t>, </w:t>
      </w:r>
      <w:r>
        <w:rPr>
          <w:rFonts w:asciiTheme="majorHAnsi" w:hAnsiTheme="majorHAnsi" w:cstheme="majorHAnsi"/>
          <w:i/>
          <w:iCs/>
        </w:rPr>
        <w:t>3</w:t>
      </w:r>
      <w:r>
        <w:rPr>
          <w:rFonts w:asciiTheme="majorHAnsi" w:hAnsiTheme="majorHAnsi" w:cstheme="majorHAnsi"/>
        </w:rPr>
        <w:t xml:space="preserve">(4), 282–304. </w:t>
      </w:r>
      <w:hyperlink r:id="rId71" w:history="1">
        <w:r>
          <w:rPr>
            <w:rStyle w:val="Hyperlink"/>
            <w:rFonts w:asciiTheme="majorHAnsi" w:hAnsiTheme="majorHAnsi" w:cstheme="majorHAnsi"/>
          </w:rPr>
          <w:t>https://doi.org/10.1002/sem3.20075</w:t>
        </w:r>
      </w:hyperlink>
      <w:r>
        <w:rPr>
          <w:rFonts w:asciiTheme="majorHAnsi" w:hAnsiTheme="majorHAnsi" w:cstheme="majorHAnsi"/>
        </w:rPr>
        <w:t xml:space="preserve"> </w:t>
      </w:r>
    </w:p>
    <w:p w14:paraId="7439B109" w14:textId="6535A0B2"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Plagens, G. K. (2011). Social capital and education: Implications for student and school performance. </w:t>
      </w:r>
      <w:r>
        <w:rPr>
          <w:rFonts w:asciiTheme="majorHAnsi" w:hAnsiTheme="majorHAnsi" w:cstheme="majorHAnsi"/>
          <w:i/>
          <w:iCs/>
        </w:rPr>
        <w:t>Education and Culture</w:t>
      </w:r>
      <w:r>
        <w:rPr>
          <w:rFonts w:asciiTheme="majorHAnsi" w:hAnsiTheme="majorHAnsi" w:cstheme="majorHAnsi"/>
        </w:rPr>
        <w:t>, </w:t>
      </w:r>
      <w:r>
        <w:rPr>
          <w:rFonts w:asciiTheme="majorHAnsi" w:hAnsiTheme="majorHAnsi" w:cstheme="majorHAnsi"/>
          <w:i/>
          <w:iCs/>
        </w:rPr>
        <w:t>27</w:t>
      </w:r>
      <w:r>
        <w:rPr>
          <w:rFonts w:asciiTheme="majorHAnsi" w:hAnsiTheme="majorHAnsi" w:cstheme="majorHAnsi"/>
        </w:rPr>
        <w:t xml:space="preserve">(1), 40–64 </w:t>
      </w:r>
      <w:hyperlink r:id="rId72" w:history="1">
        <w:r>
          <w:rPr>
            <w:rStyle w:val="Hyperlink"/>
            <w:rFonts w:asciiTheme="majorHAnsi" w:hAnsiTheme="majorHAnsi" w:cstheme="majorHAnsi"/>
          </w:rPr>
          <w:t>https://doi.org/10.1353/ eac.2011.0007</w:t>
        </w:r>
      </w:hyperlink>
      <w:r>
        <w:rPr>
          <w:rFonts w:asciiTheme="majorHAnsi" w:hAnsiTheme="majorHAnsi" w:cstheme="majorHAnsi"/>
        </w:rPr>
        <w:t xml:space="preserve"> </w:t>
      </w:r>
    </w:p>
    <w:p w14:paraId="7439B10A" w14:textId="550D559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Reber, S., &amp; Smith, E. (2023). College enrollment disparities: Understanding the role of academic preparation. </w:t>
      </w:r>
      <w:r>
        <w:rPr>
          <w:rFonts w:asciiTheme="majorHAnsi" w:hAnsiTheme="majorHAnsi" w:cstheme="majorHAnsi"/>
          <w:i/>
          <w:iCs/>
        </w:rPr>
        <w:t>Brookings</w:t>
      </w:r>
      <w:r>
        <w:rPr>
          <w:rFonts w:asciiTheme="majorHAnsi" w:hAnsiTheme="majorHAnsi" w:cstheme="majorHAnsi"/>
        </w:rPr>
        <w:t xml:space="preserve">. </w:t>
      </w:r>
      <w:hyperlink r:id="rId73" w:history="1">
        <w:r>
          <w:rPr>
            <w:rStyle w:val="Hyperlink"/>
            <w:rFonts w:asciiTheme="majorHAnsi" w:hAnsiTheme="majorHAnsi" w:cstheme="majorHAnsi"/>
          </w:rPr>
          <w:t>https://www.brookings.edu/wp-content/ uploads/2023/02/20230123_CCF_CollegeEnrollment_FINAL2.pdf</w:t>
        </w:r>
      </w:hyperlink>
      <w:r>
        <w:rPr>
          <w:rFonts w:asciiTheme="majorHAnsi" w:hAnsiTheme="majorHAnsi" w:cstheme="majorHAnsi"/>
        </w:rPr>
        <w:t xml:space="preserve"> </w:t>
      </w:r>
    </w:p>
    <w:p w14:paraId="7439B10B" w14:textId="0E57AD5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Riggle, E. D., Rostosky, S. S., McCants, L. E., &amp; Pascale-Hague, D. (2011). The positive aspects of a transgender self-identification. </w:t>
      </w:r>
      <w:r>
        <w:rPr>
          <w:rFonts w:asciiTheme="majorHAnsi" w:hAnsiTheme="majorHAnsi" w:cstheme="majorHAnsi"/>
          <w:i/>
          <w:iCs/>
        </w:rPr>
        <w:t>Psychology &amp; Sexuality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(2), 147–158. </w:t>
      </w:r>
      <w:hyperlink r:id="rId74" w:history="1">
        <w:r>
          <w:rPr>
            <w:rStyle w:val="Hyperlink"/>
            <w:rFonts w:asciiTheme="majorHAnsi" w:hAnsiTheme="majorHAnsi" w:cstheme="majorHAnsi"/>
          </w:rPr>
          <w:t>https://doi.org/10.1080/19419899.2010.534490</w:t>
        </w:r>
      </w:hyperlink>
      <w:r>
        <w:rPr>
          <w:rFonts w:asciiTheme="majorHAnsi" w:hAnsiTheme="majorHAnsi" w:cstheme="majorHAnsi"/>
        </w:rPr>
        <w:t xml:space="preserve"> </w:t>
      </w:r>
    </w:p>
    <w:p w14:paraId="7439B10C" w14:textId="7D7AFBE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Sanlo, R. (2004). Lesbian, gay, and bisexual college students: Risk, resiliency, and retention. </w:t>
      </w:r>
      <w:r>
        <w:rPr>
          <w:rFonts w:asciiTheme="majorHAnsi" w:hAnsiTheme="majorHAnsi" w:cstheme="majorHAnsi"/>
          <w:i/>
          <w:iCs/>
        </w:rPr>
        <w:t>Journal of College Student Retention: Research, Theory and Practice, 6</w:t>
      </w:r>
      <w:r>
        <w:rPr>
          <w:rFonts w:asciiTheme="majorHAnsi" w:hAnsiTheme="majorHAnsi" w:cstheme="majorHAnsi"/>
        </w:rPr>
        <w:t xml:space="preserve">(1), 97–110. </w:t>
      </w:r>
      <w:hyperlink r:id="rId75" w:history="1">
        <w:r>
          <w:rPr>
            <w:rStyle w:val="Hyperlink"/>
            <w:rFonts w:asciiTheme="majorHAnsi" w:hAnsiTheme="majorHAnsi" w:cstheme="majorHAnsi"/>
          </w:rPr>
          <w:t>https://doi.org/10.2190/fh61-ve7v-hhcx-0pur</w:t>
        </w:r>
      </w:hyperlink>
      <w:r>
        <w:rPr>
          <w:rFonts w:asciiTheme="majorHAnsi" w:hAnsiTheme="majorHAnsi" w:cstheme="majorHAnsi"/>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Sansone, D. (2019). LGBT students: New evidence on demographics and educational outcomes. </w:t>
      </w:r>
      <w:r>
        <w:rPr>
          <w:rFonts w:asciiTheme="majorHAnsi" w:hAnsiTheme="majorHAnsi" w:cstheme="majorHAnsi"/>
          <w:i/>
          <w:iCs/>
        </w:rPr>
        <w:t>Economics of Education Review, 73</w:t>
      </w:r>
      <w:r>
        <w:rPr>
          <w:rFonts w:asciiTheme="majorHAnsi" w:hAnsiTheme="majorHAnsi" w:cstheme="majorHAnsi"/>
        </w:rPr>
        <w:t xml:space="preserve">, 101933. </w:t>
      </w:r>
      <w:hyperlink r:id="rId76" w:history="1">
        <w:r>
          <w:rPr>
            <w:rStyle w:val="Hyperlink"/>
            <w:rFonts w:asciiTheme="majorHAnsi" w:hAnsiTheme="majorHAnsi" w:cstheme="majorHAnsi"/>
          </w:rPr>
          <w:t>https://doi.org/10.1016/ j.econedurev.2019.101933</w:t>
        </w:r>
      </w:hyperlink>
      <w:r>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Saperstein, A., &amp; Westbrook, L. (2021). Categorical and gradational: Alternative survey measures of sex and gender. </w:t>
      </w:r>
      <w:r>
        <w:rPr>
          <w:rFonts w:asciiTheme="majorHAnsi" w:hAnsiTheme="majorHAnsi" w:cstheme="majorHAnsi"/>
          <w:i/>
          <w:iCs/>
        </w:rPr>
        <w:t>European Journal of Politics and Gender</w:t>
      </w:r>
      <w:r>
        <w:rPr>
          <w:rFonts w:asciiTheme="majorHAnsi" w:hAnsiTheme="majorHAnsi" w:cstheme="majorHAnsi"/>
        </w:rPr>
        <w:t>, </w:t>
      </w:r>
      <w:r>
        <w:rPr>
          <w:rFonts w:asciiTheme="majorHAnsi" w:hAnsiTheme="majorHAnsi" w:cstheme="majorHAnsi"/>
          <w:i/>
          <w:iCs/>
        </w:rPr>
        <w:t>4</w:t>
      </w:r>
      <w:r>
        <w:rPr>
          <w:rFonts w:asciiTheme="majorHAnsi" w:hAnsiTheme="majorHAnsi" w:cstheme="majorHAnsi"/>
        </w:rPr>
        <w:t xml:space="preserve">(1), 11–30. </w:t>
      </w:r>
      <w:hyperlink r:id="rId77" w:history="1">
        <w:r>
          <w:rPr>
            <w:rStyle w:val="Hyperlink"/>
            <w:rFonts w:asciiTheme="majorHAnsi" w:hAnsiTheme="majorHAnsi" w:cstheme="majorHAnsi"/>
          </w:rPr>
          <w:t>https://doi.org/10.1332/251510820x15995647280686</w:t>
        </w:r>
      </w:hyperlink>
      <w:r>
        <w:rPr>
          <w:rFonts w:asciiTheme="majorHAnsi" w:hAnsiTheme="majorHAnsi" w:cstheme="majorHAnsi"/>
        </w:rPr>
        <w:t xml:space="preserve"> </w:t>
      </w:r>
    </w:p>
    <w:p w14:paraId="7439B10F" w14:textId="4F20770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Skobba, K., Meyers, D., &amp; Tiller, L. (2018). Getting by and getting ahead: Social capital and transition to college among homeless and foster youth. </w:t>
      </w:r>
      <w:r>
        <w:rPr>
          <w:rFonts w:asciiTheme="majorHAnsi" w:hAnsiTheme="majorHAnsi" w:cstheme="majorHAnsi"/>
          <w:i/>
          <w:iCs/>
        </w:rPr>
        <w:t>Children and Youth Services Review</w:t>
      </w:r>
      <w:r>
        <w:rPr>
          <w:rFonts w:asciiTheme="majorHAnsi" w:hAnsiTheme="majorHAnsi" w:cstheme="majorHAnsi"/>
        </w:rPr>
        <w:t>, </w:t>
      </w:r>
      <w:r>
        <w:rPr>
          <w:rFonts w:asciiTheme="majorHAnsi" w:hAnsiTheme="majorHAnsi" w:cstheme="majorHAnsi"/>
          <w:i/>
          <w:iCs/>
        </w:rPr>
        <w:t>94</w:t>
      </w:r>
      <w:r>
        <w:rPr>
          <w:rFonts w:asciiTheme="majorHAnsi" w:hAnsiTheme="majorHAnsi" w:cstheme="majorHAnsi"/>
        </w:rPr>
        <w:t xml:space="preserve">, 198–206. </w:t>
      </w:r>
      <w:hyperlink r:id="rId78" w:history="1">
        <w:r>
          <w:rPr>
            <w:rStyle w:val="Hyperlink"/>
            <w:rFonts w:asciiTheme="majorHAnsi" w:hAnsiTheme="majorHAnsi" w:cstheme="majorHAnsi"/>
          </w:rPr>
          <w:t>https://doi.org/10.1016/j.childyouth.2018.10.003</w:t>
        </w:r>
      </w:hyperlink>
      <w:r>
        <w:rPr>
          <w:rFonts w:asciiTheme="majorHAnsi" w:hAnsiTheme="majorHAnsi" w:cstheme="majorHAnsi"/>
        </w:rPr>
        <w:t xml:space="preserve"> </w:t>
      </w:r>
    </w:p>
    <w:p w14:paraId="7439B111" w14:textId="59CE75CA"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Stolzenberg, E. B., Aragon, M. C., Romo, E., Couch, V., McLennan, D., Eagan, M. K., &amp; Kang, N. (2020). The American freshman: National norms fall 2019. </w:t>
      </w:r>
      <w:r>
        <w:rPr>
          <w:rFonts w:asciiTheme="majorHAnsi" w:hAnsiTheme="majorHAnsi" w:cstheme="majorHAnsi"/>
          <w:i/>
          <w:iCs/>
        </w:rPr>
        <w:t>Higher Education Research Institute, UCLA</w:t>
      </w:r>
      <w:r>
        <w:rPr>
          <w:rFonts w:asciiTheme="majorHAnsi" w:hAnsiTheme="majorHAnsi" w:cstheme="majorHAnsi"/>
        </w:rPr>
        <w:t>, </w:t>
      </w:r>
      <w:r>
        <w:rPr>
          <w:rFonts w:asciiTheme="majorHAnsi" w:hAnsiTheme="majorHAnsi" w:cstheme="majorHAnsi"/>
          <w:i/>
          <w:iCs/>
        </w:rPr>
        <w:t>42</w:t>
      </w:r>
      <w:r>
        <w:rPr>
          <w:rFonts w:asciiTheme="majorHAnsi" w:hAnsiTheme="majorHAnsi" w:cstheme="majorHAnsi"/>
        </w:rPr>
        <w:t xml:space="preserve">. </w:t>
      </w:r>
      <w:hyperlink r:id="rId79" w:history="1">
        <w:r>
          <w:rPr>
            <w:rStyle w:val="Hyperlink"/>
            <w:rFonts w:asciiTheme="majorHAnsi" w:hAnsiTheme="majorHAnsi" w:cstheme="majorHAnsi"/>
          </w:rPr>
          <w:t>https://www.heri.ucla.edu/monographs/TheAmericanFreshman 2019.pdf</w:t>
        </w:r>
      </w:hyperlink>
      <w:r>
        <w:rPr>
          <w:rFonts w:asciiTheme="majorHAnsi" w:hAnsiTheme="majorHAnsi" w:cstheme="majorHAnsi"/>
        </w:rPr>
        <w:t xml:space="preserve">  </w:t>
      </w:r>
    </w:p>
    <w:p w14:paraId="2979C656" w14:textId="33CA080C"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Toutkoushian, R. K., Stollberg, R. A., &amp; Slaton, K. A. (2018). Talking ‘bout my generation: Defining “first-generation college students” in higher education research. </w:t>
      </w:r>
      <w:r>
        <w:rPr>
          <w:rFonts w:asciiTheme="majorHAnsi" w:hAnsiTheme="majorHAnsi" w:cstheme="majorHAnsi"/>
          <w:i/>
          <w:iCs/>
        </w:rPr>
        <w:t>Teachers College Record</w:t>
      </w:r>
      <w:r>
        <w:rPr>
          <w:rFonts w:asciiTheme="majorHAnsi" w:hAnsiTheme="majorHAnsi" w:cstheme="majorHAnsi"/>
        </w:rPr>
        <w:t>, </w:t>
      </w:r>
      <w:r>
        <w:rPr>
          <w:rFonts w:asciiTheme="majorHAnsi" w:hAnsiTheme="majorHAnsi" w:cstheme="majorHAnsi"/>
          <w:i/>
          <w:iCs/>
        </w:rPr>
        <w:t>120</w:t>
      </w:r>
      <w:r>
        <w:rPr>
          <w:rFonts w:asciiTheme="majorHAnsi" w:hAnsiTheme="majorHAnsi" w:cstheme="majorHAnsi"/>
        </w:rPr>
        <w:t xml:space="preserve">(4), 1–38. </w:t>
      </w:r>
      <w:hyperlink r:id="rId80" w:history="1">
        <w:r>
          <w:rPr>
            <w:rStyle w:val="Hyperlink"/>
            <w:rFonts w:asciiTheme="majorHAnsi" w:hAnsiTheme="majorHAnsi" w:cstheme="majorHAnsi"/>
          </w:rPr>
          <w:t>https://doi.org/10.1177/016146811812000407</w:t>
        </w:r>
      </w:hyperlink>
    </w:p>
    <w:p w14:paraId="5BAA26A1" w14:textId="77777777"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 xml:space="preserve">Ungar, M. (2011). The social ecology of resilience: Addressing contextual and cultural ambiguity of a nascent construct. </w:t>
      </w:r>
      <w:r>
        <w:rPr>
          <w:rFonts w:asciiTheme="majorHAnsi" w:hAnsiTheme="majorHAnsi" w:cstheme="majorHAnsi"/>
          <w:i/>
          <w:iCs/>
        </w:rPr>
        <w:t>American Journal of Orthopsychiatry</w:t>
      </w:r>
      <w:r>
        <w:rPr>
          <w:rFonts w:asciiTheme="majorHAnsi" w:hAnsiTheme="majorHAnsi" w:cstheme="majorHAnsi"/>
        </w:rPr>
        <w:t xml:space="preserve">, </w:t>
      </w:r>
      <w:r>
        <w:rPr>
          <w:rFonts w:asciiTheme="majorHAnsi" w:hAnsiTheme="majorHAnsi" w:cstheme="majorHAnsi"/>
          <w:i/>
          <w:iCs/>
        </w:rPr>
        <w:t>81</w:t>
      </w:r>
      <w:r>
        <w:rPr>
          <w:rFonts w:asciiTheme="majorHAnsi" w:hAnsiTheme="majorHAnsi" w:cstheme="majorHAnsi"/>
        </w:rPr>
        <w:t xml:space="preserve">(1), 1–17. </w:t>
      </w:r>
      <w:hyperlink r:id="rId81">
        <w:r>
          <w:rPr>
            <w:rFonts w:asciiTheme="majorHAnsi" w:hAnsiTheme="majorHAnsi" w:cstheme="majorHAnsi"/>
            <w:color w:val="1155CC"/>
            <w:u w:val="single"/>
          </w:rPr>
          <w:t>https://doi.org/10.1111/j.1939-0025.2010.01067.x</w:t>
        </w:r>
      </w:hyperlink>
    </w:p>
    <w:p w14:paraId="7439B116" w14:textId="6ED0CF35" w:rsidR="00BD041A" w:rsidRDefault="00602BF5" w:rsidP="001B2966">
      <w:pPr>
        <w:spacing w:line="360" w:lineRule="auto"/>
        <w:ind w:left="720" w:hanging="720"/>
      </w:pPr>
      <w:r>
        <w:rPr>
          <w:rFonts w:asciiTheme="majorHAnsi" w:hAnsiTheme="majorHAnsi" w:cstheme="majorHAnsi"/>
        </w:rPr>
        <w:t xml:space="preserve">Ungar, M. (Ed.). (2012). </w:t>
      </w:r>
      <w:r>
        <w:rPr>
          <w:rFonts w:asciiTheme="majorHAnsi" w:hAnsiTheme="majorHAnsi" w:cstheme="majorHAnsi"/>
          <w:i/>
          <w:iCs/>
        </w:rPr>
        <w:t>The social ecology of resilience: A handbook of theory and practice</w:t>
      </w:r>
      <w:r>
        <w:rPr>
          <w:rFonts w:asciiTheme="majorHAnsi" w:hAnsiTheme="majorHAnsi" w:cstheme="majorHAnsi"/>
        </w:rPr>
        <w:t xml:space="preserve">. Springer. </w:t>
      </w:r>
      <w:hyperlink r:id="rId82">
        <w:r>
          <w:rPr>
            <w:rFonts w:asciiTheme="majorHAnsi" w:hAnsiTheme="majorHAnsi" w:cstheme="majorHAnsi"/>
            <w:color w:val="1155CC"/>
            <w:u w:val="single"/>
          </w:rPr>
          <w:t>https://doi.org/10.1007/978-1-4614-0586-3</w:t>
        </w:r>
      </w:hyperlink>
    </w:p>
    <w:p w14:paraId="2FC4A2D6" w14:textId="30A15B5F" w:rsidR="009B4B34" w:rsidRPr="00824E21" w:rsidRDefault="009B4B34" w:rsidP="001B2966">
      <w:pPr>
        <w:spacing w:line="360" w:lineRule="auto"/>
        <w:ind w:left="720" w:hanging="720"/>
        <w:rPr>
          <w:rFonts w:asciiTheme="majorHAnsi" w:hAnsiTheme="majorHAnsi" w:cstheme="majorHAnsi"/>
        </w:rPr>
      </w:pPr>
      <w:r>
        <w:rPr>
          <w:rFonts w:asciiTheme="majorHAnsi" w:hAnsiTheme="majorHAnsi" w:cstheme="majorHAnsi"/>
        </w:rPr>
        <w:t>U.S. Department of Education. (2025). Dear Colleague Letter on Title IX enforcement regarding gender identity. https://www.ed.gov/media/document/title-ix-enforcement-directive-dcl-109477.pdf</w:t>
      </w:r>
    </w:p>
    <w:p w14:paraId="7439B117" w14:textId="07285CB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Pr>
          <w:rFonts w:asciiTheme="majorHAnsi" w:hAnsiTheme="majorHAnsi" w:cstheme="majorHAnsi"/>
          <w:i/>
          <w:iCs/>
        </w:rPr>
        <w:t>Professional School Counseling</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(5), 296–305. </w:t>
      </w:r>
      <w:hyperlink r:id="rId83" w:history="1">
        <w:r>
          <w:rPr>
            <w:rStyle w:val="Hyperlink"/>
            <w:rFonts w:asciiTheme="majorHAnsi" w:hAnsiTheme="majorHAnsi" w:cstheme="majorHAnsi"/>
          </w:rPr>
          <w:t>https://doi.org/10.1177/2156759x0801100503</w:t>
        </w:r>
      </w:hyperlink>
      <w:r>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Walton, G. M., &amp; Cohen, G. L. (2011). A brief social-belonging intervention improves academic and health outcomes of minority students. </w:t>
      </w:r>
      <w:r>
        <w:rPr>
          <w:rFonts w:asciiTheme="majorHAnsi" w:hAnsiTheme="majorHAnsi" w:cstheme="majorHAnsi"/>
          <w:i/>
          <w:iCs/>
        </w:rPr>
        <w:t>Science</w:t>
      </w:r>
      <w:r>
        <w:rPr>
          <w:rFonts w:asciiTheme="majorHAnsi" w:hAnsiTheme="majorHAnsi" w:cstheme="majorHAnsi"/>
        </w:rPr>
        <w:t>, </w:t>
      </w:r>
      <w:r>
        <w:rPr>
          <w:rFonts w:asciiTheme="majorHAnsi" w:hAnsiTheme="majorHAnsi" w:cstheme="majorHAnsi"/>
          <w:i/>
          <w:iCs/>
        </w:rPr>
        <w:t>331</w:t>
      </w:r>
      <w:r>
        <w:rPr>
          <w:rFonts w:asciiTheme="majorHAnsi" w:hAnsiTheme="majorHAnsi" w:cstheme="majorHAnsi"/>
        </w:rPr>
        <w:t xml:space="preserve">(6023), 1447–1451. </w:t>
      </w:r>
      <w:hyperlink r:id="rId84" w:history="1">
        <w:r>
          <w:rPr>
            <w:rStyle w:val="Hyperlink"/>
            <w:rFonts w:asciiTheme="majorHAnsi" w:hAnsiTheme="majorHAnsi" w:cstheme="majorHAnsi"/>
          </w:rPr>
          <w:t>https://doi.org/10.1126/science.1198364</w:t>
        </w:r>
      </w:hyperlink>
      <w:r>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Watson, R. J., Wheldon, C. W., &amp; Puhl, R. M. (2020). Evidence of diverse identities in a large national sample of sexual and gender minority adolescents.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30</w:t>
      </w:r>
      <w:r>
        <w:rPr>
          <w:rFonts w:asciiTheme="majorHAnsi" w:hAnsiTheme="majorHAnsi" w:cstheme="majorHAnsi"/>
        </w:rPr>
        <w:t xml:space="preserve">(S2), 431–442. </w:t>
      </w:r>
      <w:hyperlink r:id="rId85" w:history="1">
        <w:r>
          <w:rPr>
            <w:rStyle w:val="Hyperlink"/>
            <w:rFonts w:asciiTheme="majorHAnsi" w:hAnsiTheme="majorHAnsi" w:cstheme="majorHAnsi"/>
          </w:rPr>
          <w:t>https://doi.org/10.1111/jora.12488</w:t>
        </w:r>
      </w:hyperlink>
      <w:r>
        <w:rPr>
          <w:rFonts w:asciiTheme="majorHAnsi" w:hAnsiTheme="majorHAnsi" w:cstheme="majorHAnsi"/>
        </w:rPr>
        <w:t xml:space="preserve"> </w:t>
      </w:r>
    </w:p>
    <w:p w14:paraId="7439B11A" w14:textId="0C3492A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White, A. E., Moeller, J., Ivcevic, Z., &amp; Brackett, M. A. (2018). Gender identity and sexual identity labels used by US high school students: A co-occurrence network analysis.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5</w:t>
      </w:r>
      <w:r>
        <w:rPr>
          <w:rFonts w:asciiTheme="majorHAnsi" w:hAnsiTheme="majorHAnsi" w:cstheme="majorHAnsi"/>
        </w:rPr>
        <w:t xml:space="preserve">(2), 243–252. </w:t>
      </w:r>
      <w:hyperlink r:id="rId86" w:history="1">
        <w:r>
          <w:rPr>
            <w:rStyle w:val="Hyperlink"/>
            <w:rFonts w:asciiTheme="majorHAnsi" w:hAnsiTheme="majorHAnsi" w:cstheme="majorHAnsi"/>
          </w:rPr>
          <w:t>https://doi.org/10.1037/ sgd0000266</w:t>
        </w:r>
      </w:hyperlink>
      <w:r>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Pr>
          <w:rFonts w:asciiTheme="majorHAnsi" w:hAnsiTheme="majorHAnsi" w:cstheme="majorHAnsi"/>
        </w:rPr>
        <w:t>Wilkinson, L., Shifrer, D., &amp; Pearson, J. (2021). Educational outcomes of gender-diverse youth: A national population-based study. </w:t>
      </w:r>
      <w:r>
        <w:rPr>
          <w:rFonts w:asciiTheme="majorHAnsi" w:hAnsiTheme="majorHAnsi" w:cstheme="majorHAnsi"/>
          <w:i/>
          <w:iCs/>
        </w:rPr>
        <w:t>Gender &amp; Society</w:t>
      </w:r>
      <w:r>
        <w:rPr>
          <w:rFonts w:asciiTheme="majorHAnsi" w:hAnsiTheme="majorHAnsi" w:cstheme="majorHAnsi"/>
        </w:rPr>
        <w:t>, </w:t>
      </w:r>
      <w:r>
        <w:rPr>
          <w:rFonts w:asciiTheme="majorHAnsi" w:hAnsiTheme="majorHAnsi" w:cstheme="majorHAnsi"/>
          <w:i/>
          <w:iCs/>
        </w:rPr>
        <w:t>35</w:t>
      </w:r>
      <w:r>
        <w:rPr>
          <w:rFonts w:asciiTheme="majorHAnsi" w:hAnsiTheme="majorHAnsi" w:cstheme="majorHAnsi"/>
        </w:rPr>
        <w:t xml:space="preserve">(5), 806–837. </w:t>
      </w:r>
      <w:hyperlink r:id="rId87" w:history="1">
        <w:r>
          <w:rPr>
            <w:rStyle w:val="Hyperlink"/>
            <w:rFonts w:asciiTheme="majorHAnsi" w:hAnsiTheme="majorHAnsi" w:cstheme="majorHAnsi"/>
          </w:rPr>
          <w:t>https://doi.org/10.1177/08912432211038689</w:t>
        </w:r>
      </w:hyperlink>
      <w:r>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90" w:name="_456isvu801a1" w:colFirst="0" w:colLast="0"/>
      <w:bookmarkEnd w:id="90"/>
      <w:r>
        <w:rPr>
          <w:rFonts w:asciiTheme="majorHAnsi" w:hAnsiTheme="majorHAnsi" w:cstheme="majorHAnsi"/>
          <w:b/>
          <w:bCs/>
          <w:sz w:val="24"/>
          <w:szCs w:val="24"/>
        </w:rPr>
        <w:lastRenderedPageBreak/>
        <w:t>Appendix A: Additional Demographics</w:t>
      </w:r>
    </w:p>
    <w:p w14:paraId="22268A3F" w14:textId="3DC06B04" w:rsidR="00393D00" w:rsidRPr="00824E21" w:rsidRDefault="00940701" w:rsidP="001B2966">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b/>
          <w:bCs/>
          <w:color w:val="000000"/>
        </w:rPr>
        <w:t>Table A1</w:t>
      </w:r>
      <w:r>
        <w:rPr>
          <w:rFonts w:asciiTheme="majorHAnsi" w:hAnsiTheme="majorHAnsi" w:cstheme="majorHAnsi"/>
          <w:b/>
          <w:bCs/>
          <w:color w:val="000000"/>
        </w:rPr>
        <w:br/>
      </w:r>
      <w:r>
        <w:rPr>
          <w:rFonts w:asciiTheme="majorHAnsi" w:hAnsiTheme="majorHAnsi" w:cstheme="majorHAnsi"/>
          <w:i/>
          <w:iCs/>
          <w:color w:val="000000"/>
        </w:rPr>
        <w:t xml:space="preserve">Gender Identity and Sexual Orientation </w:t>
      </w:r>
      <w:r>
        <w:rPr>
          <w:rFonts w:asciiTheme="majorHAnsi" w:hAnsiTheme="majorHAnsi" w:cstheme="majorHAnsi"/>
          <w:i/>
          <w:iCs/>
          <w:color w:val="000000"/>
          <w:lang w:val="en"/>
        </w:rPr>
        <w:t>(n = 7,462)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2023</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B621E1"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Sexual orientation categories</w:t>
            </w:r>
          </w:p>
        </w:tc>
      </w:tr>
      <w:tr w:rsidR="00393D00" w:rsidRPr="00B621E1"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Total</w:t>
            </w:r>
          </w:p>
        </w:tc>
      </w:tr>
      <w:tr w:rsidR="00393D00" w:rsidRPr="00B621E1"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85.0</w:t>
            </w:r>
          </w:p>
        </w:tc>
        <w:tc>
          <w:tcPr>
            <w:tcW w:w="548" w:type="pct"/>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w:t>
            </w:r>
          </w:p>
        </w:tc>
        <w:tc>
          <w:tcPr>
            <w:tcW w:w="651" w:type="pct"/>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5.1</w:t>
            </w:r>
          </w:p>
        </w:tc>
        <w:tc>
          <w:tcPr>
            <w:tcW w:w="616" w:type="pct"/>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0.8</w:t>
            </w:r>
          </w:p>
        </w:tc>
        <w:tc>
          <w:tcPr>
            <w:tcW w:w="514" w:type="pct"/>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c>
          <w:tcPr>
            <w:tcW w:w="582" w:type="pct"/>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4.5</w:t>
            </w:r>
          </w:p>
        </w:tc>
        <w:tc>
          <w:tcPr>
            <w:tcW w:w="445" w:type="pct"/>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12.1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9.6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14.5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33.1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Each cell represents row percentages—that is, the percentage of students within each gender category of the corresponding sexual orientation.</w:t>
      </w:r>
    </w:p>
    <w:p w14:paraId="27CE5226" w14:textId="008E30BA" w:rsidR="005111F0" w:rsidRPr="00824E2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Table A2</w:t>
      </w:r>
    </w:p>
    <w:p w14:paraId="7439B11F" w14:textId="312D815A" w:rsidR="00BD041A" w:rsidRPr="00824E21" w:rsidRDefault="00EC2BD2" w:rsidP="00ED55AE">
      <w:pPr>
        <w:spacing w:line="360" w:lineRule="auto"/>
        <w:rPr>
          <w:rFonts w:asciiTheme="majorHAnsi" w:hAnsiTheme="majorHAnsi" w:cstheme="majorHAnsi"/>
        </w:rPr>
      </w:pPr>
      <w:r>
        <w:rPr>
          <w:rFonts w:asciiTheme="majorHAnsi" w:hAnsiTheme="majorHAnsi" w:cstheme="majorHAnsi"/>
          <w:i/>
          <w:iCs/>
        </w:rPr>
        <w:t>Demographic Characteristics of California Students Enrolled in 12</w:t>
      </w:r>
      <w:r>
        <w:rPr>
          <w:rFonts w:asciiTheme="majorHAnsi" w:hAnsiTheme="majorHAnsi" w:cstheme="majorHAnsi"/>
          <w:i/>
          <w:iCs/>
          <w:vertAlign w:val="superscript"/>
        </w:rPr>
        <w:t>th</w:t>
      </w:r>
      <w:r>
        <w:rPr>
          <w:rFonts w:asciiTheme="majorHAnsi" w:hAnsiTheme="majorHAnsi" w:cstheme="majorHAnsi"/>
          <w:i/>
          <w:iCs/>
        </w:rPr>
        <w:t xml:space="preserve"> Grade in the 2022-2023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Pr>
                <w:rFonts w:asciiTheme="majorHAnsi" w:hAnsiTheme="majorHAnsi" w:cstheme="majorHAnsi"/>
                <w:sz w:val="20"/>
                <w:szCs w:val="20"/>
              </w:rPr>
              <w:t>Black/African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White/non-Hispanic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Data accessed through DataQuest (https://dq.cde.ca.gov/dataquest), which is managed by the 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91" w:name="_uc5tx01em2sp" w:colFirst="0" w:colLast="0"/>
      <w:bookmarkEnd w:id="91"/>
      <w:r>
        <w:rPr>
          <w:rFonts w:asciiTheme="majorHAnsi" w:hAnsiTheme="majorHAnsi" w:cstheme="majorHAnsi"/>
        </w:rPr>
        <w:br w:type="page"/>
      </w:r>
    </w:p>
    <w:p w14:paraId="5D41AA34" w14:textId="0982D1ED" w:rsidR="00DD6BD5" w:rsidRPr="00824E21" w:rsidRDefault="002D7717"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B</w:t>
      </w:r>
    </w:p>
    <w:p w14:paraId="27BBB6AD" w14:textId="77777777" w:rsidR="00DD6BD5" w:rsidRPr="00824E21" w:rsidRDefault="00DD6BD5" w:rsidP="000E543C">
      <w:pPr>
        <w:pStyle w:val="NormalWeb"/>
        <w:spacing w:before="0" w:beforeAutospacing="0" w:after="0" w:afterAutospacing="0" w:line="360" w:lineRule="auto"/>
        <w:rPr>
          <w:rFonts w:asciiTheme="majorHAnsi" w:hAnsiTheme="majorHAnsi" w:cstheme="majorHAnsi"/>
          <w:i/>
          <w:iCs/>
          <w:color w:val="000000"/>
        </w:rPr>
      </w:pPr>
      <w:r>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commentRangeStart w:id="92"/>
            <w:r>
              <w:rPr>
                <w:rFonts w:asciiTheme="majorHAnsi" w:hAnsiTheme="majorHAnsi" w:cstheme="majorHAnsi"/>
                <w:color w:val="000000"/>
                <w:sz w:val="20"/>
                <w:szCs w:val="20"/>
              </w:rPr>
              <w:t>Mean</w:t>
            </w:r>
            <w:commentRangeEnd w:id="92"/>
            <w:r w:rsidRPr="00824E21">
              <w:rPr>
                <w:rStyle w:val="CommentReference"/>
                <w:rFonts w:asciiTheme="majorHAnsi" w:hAnsiTheme="majorHAnsi" w:cstheme="majorHAnsi"/>
                <w:sz w:val="20"/>
                <w:szCs w:val="20"/>
              </w:rPr>
              <w:commentReference w:id="92"/>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academic performance in high school?</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social experience in 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that I 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received good advising </w:t>
            </w:r>
            <w:commentRangeStart w:id="93"/>
            <w:r>
              <w:rPr>
                <w:rFonts w:asciiTheme="majorHAnsi" w:hAnsiTheme="majorHAnsi" w:cstheme="majorHAnsi"/>
                <w:color w:val="000000"/>
                <w:sz w:val="20"/>
                <w:szCs w:val="20"/>
              </w:rPr>
              <w:t>from my high school</w:t>
            </w:r>
            <w:commentRangeEnd w:id="93"/>
            <w:r>
              <w:rPr>
                <w:rStyle w:val="CommentReference"/>
                <w:rFonts w:asciiTheme="majorHAnsi" w:hAnsiTheme="majorHAnsi" w:cstheme="majorHAnsi"/>
                <w:color w:val="000000"/>
                <w:sz w:val="20"/>
                <w:szCs w:val="20"/>
              </w:rPr>
              <w:commentReference w:id="93"/>
            </w:r>
            <w:r>
              <w:rPr>
                <w:rFonts w:asciiTheme="majorHAnsi" w:hAnsiTheme="majorHAnsi" w:cstheme="majorHAnsi"/>
                <w:color w:val="000000"/>
                <w:sz w:val="20"/>
                <w:szCs w:val="20"/>
              </w:rPr>
              <w:t xml:space="preserve"> about my college plans.</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w:t>
            </w:r>
          </w:p>
        </w:tc>
      </w:tr>
    </w:tbl>
    <w:p w14:paraId="5FA7F877" w14:textId="77777777" w:rsidR="00DD6BD5" w:rsidRPr="00824E21" w:rsidRDefault="00DD6BD5" w:rsidP="0073266D">
      <w:pPr>
        <w:rPr>
          <w:rFonts w:asciiTheme="majorHAnsi" w:hAnsiTheme="majorHAnsi" w:cstheme="majorHAnsi"/>
          <w:iCs/>
          <w:color w:val="000000"/>
          <w:sz w:val="20"/>
          <w:szCs w:val="20"/>
        </w:r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94" w:name="_386ebkkmc27k" w:colFirst="0" w:colLast="0"/>
      <w:bookmarkEnd w:id="94"/>
    </w:p>
    <w:p w14:paraId="41327123" w14:textId="3BA27F6F" w:rsidR="0029447E"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 xml:space="preserve">Appendix </w:t>
      </w:r>
      <w:commentRangeStart w:id="95"/>
      <w:r>
        <w:rPr>
          <w:rFonts w:asciiTheme="majorHAnsi" w:hAnsiTheme="majorHAnsi" w:cstheme="majorHAnsi"/>
          <w:b/>
          <w:bCs/>
          <w:sz w:val="24"/>
          <w:szCs w:val="24"/>
        </w:rPr>
        <w:t>C</w:t>
      </w:r>
      <w:commentRangeEnd w:id="95"/>
      <w:r>
        <w:rPr>
          <w:rStyle w:val="CommentReference"/>
          <w:rFonts w:asciiTheme="majorHAnsi" w:hAnsiTheme="majorHAnsi" w:cstheme="majorHAnsi"/>
          <w:b/>
          <w:bCs/>
          <w:sz w:val="24"/>
          <w:szCs w:val="24"/>
        </w:rPr>
        <w:commentReference w:id="95"/>
      </w:r>
      <w:r>
        <w:rPr>
          <w:rFonts w:asciiTheme="majorHAnsi" w:hAnsiTheme="majorHAnsi" w:cstheme="majorHAnsi"/>
          <w:b/>
          <w:bCs/>
          <w:sz w:val="24"/>
          <w:szCs w:val="24"/>
        </w:rPr>
        <w:t>: Summary Statistics of Individual High School Experience Items</w:t>
      </w:r>
    </w:p>
    <w:p w14:paraId="75A97A1A" w14:textId="15570B17" w:rsidR="0029447E" w:rsidRPr="00824E21" w:rsidRDefault="00AB4825" w:rsidP="000E543C">
      <w:pPr>
        <w:widowControl w:val="0"/>
        <w:spacing w:line="360" w:lineRule="auto"/>
        <w:rPr>
          <w:rFonts w:asciiTheme="majorHAnsi" w:hAnsiTheme="majorHAnsi" w:cstheme="majorHAnsi"/>
          <w:i/>
          <w:iCs/>
        </w:rPr>
      </w:pPr>
      <w:r>
        <w:rPr>
          <w:rFonts w:asciiTheme="majorHAnsi" w:hAnsiTheme="majorHAnsi" w:cstheme="majorHAnsi"/>
          <w:b/>
          <w:bCs/>
        </w:rPr>
        <w:t>Table C1.</w:t>
      </w:r>
      <w:r>
        <w:rPr>
          <w:rFonts w:asciiTheme="majorHAnsi" w:hAnsiTheme="majorHAnsi" w:cstheme="majorHAnsi"/>
          <w:i/>
          <w:iCs/>
        </w:rPr>
        <w:t xml:space="preserve"> 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0B855D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0FAC37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394" w:type="pct"/>
            <w:tcBorders>
              <w:top w:val="nil"/>
              <w:left w:val="nil"/>
              <w:bottom w:val="nil"/>
              <w:right w:val="nil"/>
            </w:tcBorders>
            <w:vAlign w:val="center"/>
          </w:tcPr>
          <w:p w14:paraId="1E59D382" w14:textId="5CD933C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7713DD6B" w14:textId="13A4988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0.9</w:t>
            </w:r>
          </w:p>
        </w:tc>
        <w:tc>
          <w:tcPr>
            <w:tcW w:w="492" w:type="pct"/>
            <w:tcBorders>
              <w:top w:val="nil"/>
              <w:left w:val="nil"/>
              <w:bottom w:val="nil"/>
              <w:right w:val="nil"/>
            </w:tcBorders>
            <w:vAlign w:val="center"/>
          </w:tcPr>
          <w:p w14:paraId="50223EBE" w14:textId="2C7BA20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412" w:type="pct"/>
            <w:tcBorders>
              <w:top w:val="nil"/>
              <w:left w:val="nil"/>
              <w:bottom w:val="nil"/>
              <w:right w:val="nil"/>
            </w:tcBorders>
            <w:vAlign w:val="center"/>
          </w:tcPr>
          <w:p w14:paraId="4CCDD604" w14:textId="1E047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29" w:type="pct"/>
            <w:tcBorders>
              <w:top w:val="nil"/>
              <w:left w:val="nil"/>
              <w:bottom w:val="nil"/>
              <w:right w:val="nil"/>
            </w:tcBorders>
            <w:vAlign w:val="center"/>
          </w:tcPr>
          <w:p w14:paraId="0F982CE0" w14:textId="2BAEAD9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5BFE438C" w14:textId="6746FDB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282" w:type="pct"/>
            <w:tcBorders>
              <w:top w:val="nil"/>
              <w:left w:val="nil"/>
              <w:bottom w:val="nil"/>
              <w:right w:val="nil"/>
            </w:tcBorders>
            <w:vAlign w:val="center"/>
          </w:tcPr>
          <w:p w14:paraId="44723836" w14:textId="297FDF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29BD378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394" w:type="pct"/>
            <w:tcBorders>
              <w:top w:val="nil"/>
              <w:left w:val="nil"/>
              <w:bottom w:val="nil"/>
              <w:right w:val="nil"/>
            </w:tcBorders>
            <w:vAlign w:val="center"/>
          </w:tcPr>
          <w:p w14:paraId="1768A74A" w14:textId="5B08CA2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477" w:type="pct"/>
            <w:tcBorders>
              <w:top w:val="nil"/>
              <w:left w:val="nil"/>
              <w:bottom w:val="nil"/>
              <w:right w:val="nil"/>
            </w:tcBorders>
            <w:vAlign w:val="center"/>
          </w:tcPr>
          <w:p w14:paraId="24E68D1D" w14:textId="7B4021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492" w:type="pct"/>
            <w:tcBorders>
              <w:top w:val="nil"/>
              <w:left w:val="nil"/>
              <w:bottom w:val="nil"/>
              <w:right w:val="nil"/>
            </w:tcBorders>
            <w:vAlign w:val="center"/>
          </w:tcPr>
          <w:p w14:paraId="3BC05319" w14:textId="66492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412" w:type="pct"/>
            <w:tcBorders>
              <w:top w:val="nil"/>
              <w:left w:val="nil"/>
              <w:bottom w:val="nil"/>
              <w:right w:val="nil"/>
            </w:tcBorders>
            <w:vAlign w:val="center"/>
          </w:tcPr>
          <w:p w14:paraId="5C40BD72" w14:textId="2016F3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29" w:type="pct"/>
            <w:tcBorders>
              <w:top w:val="nil"/>
              <w:left w:val="nil"/>
              <w:bottom w:val="nil"/>
              <w:right w:val="nil"/>
            </w:tcBorders>
            <w:vAlign w:val="center"/>
          </w:tcPr>
          <w:p w14:paraId="3AB0B6AD" w14:textId="2B7B83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285CD2C8" w14:textId="3C6CC48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282" w:type="pct"/>
            <w:tcBorders>
              <w:top w:val="nil"/>
              <w:left w:val="nil"/>
              <w:bottom w:val="nil"/>
              <w:right w:val="nil"/>
            </w:tcBorders>
            <w:vAlign w:val="center"/>
          </w:tcPr>
          <w:p w14:paraId="0C0F0486" w14:textId="33BC858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rFonts w:asciiTheme="majorHAnsi" w:hAnsiTheme="majorHAnsi" w:cstheme="majorHAnsi"/>
        </w:rPr>
      </w:pPr>
      <w:bookmarkStart w:id="96" w:name="_dneqv6vlxrm4" w:colFirst="0" w:colLast="0"/>
      <w:bookmarkEnd w:id="96"/>
    </w:p>
    <w:p w14:paraId="39C8C4C0" w14:textId="7025CD03" w:rsidR="00B719F1" w:rsidRPr="00824E21" w:rsidRDefault="00B719F1" w:rsidP="00AB4825">
      <w:pPr>
        <w:jc w:val="right"/>
        <w:rPr>
          <w:rFonts w:asciiTheme="majorHAnsi" w:hAnsiTheme="majorHAnsi" w:cstheme="majorHAnsi"/>
        </w:rPr>
      </w:pPr>
      <w:r>
        <w:rPr>
          <w:rFonts w:asciiTheme="majorHAnsi" w:hAnsiTheme="majorHAnsi" w:cstheme="majorHAnsi"/>
        </w:rPr>
        <w:br w:type="page"/>
      </w:r>
    </w:p>
    <w:p w14:paraId="40531FCD" w14:textId="07EA50AF" w:rsidR="00B719F1" w:rsidRPr="00824E21" w:rsidRDefault="00AB4825" w:rsidP="00B719F1">
      <w:pPr>
        <w:widowControl w:val="0"/>
        <w:spacing w:line="360" w:lineRule="auto"/>
        <w:rPr>
          <w:rFonts w:asciiTheme="majorHAnsi" w:hAnsiTheme="majorHAnsi" w:cstheme="majorHAnsi"/>
          <w:i/>
          <w:iCs/>
        </w:rPr>
      </w:pPr>
      <w:r>
        <w:rPr>
          <w:rFonts w:asciiTheme="majorHAnsi" w:hAnsiTheme="majorHAnsi" w:cstheme="majorHAnsi"/>
          <w:b/>
          <w:bCs/>
        </w:rPr>
        <w:lastRenderedPageBreak/>
        <w:t xml:space="preserve">Table C2. </w:t>
      </w:r>
      <w:r>
        <w:rPr>
          <w:rFonts w:asciiTheme="majorHAnsi" w:hAnsiTheme="majorHAnsi" w:cstheme="majorHAnsi"/>
          <w:i/>
          <w:iCs/>
        </w:rPr>
        <w:t>High School Experience Items by Sexual Orientation</w:t>
      </w:r>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6"/>
        <w:gridCol w:w="1439"/>
        <w:gridCol w:w="1439"/>
        <w:gridCol w:w="1439"/>
        <w:gridCol w:w="1439"/>
        <w:gridCol w:w="1439"/>
        <w:gridCol w:w="1439"/>
        <w:gridCol w:w="1411"/>
        <w:gridCol w:w="29"/>
        <w:gridCol w:w="236"/>
      </w:tblGrid>
      <w:tr w:rsidR="00855ABD" w:rsidRPr="00B621E1" w14:paraId="141927D7" w14:textId="77777777" w:rsidTr="00AB4825">
        <w:trPr>
          <w:trHeight w:val="822"/>
        </w:trPr>
        <w:tc>
          <w:tcPr>
            <w:tcW w:w="1055" w:type="pct"/>
            <w:tcBorders>
              <w:top w:val="single" w:sz="4" w:space="0" w:color="auto"/>
              <w:left w:val="nil"/>
              <w:bottom w:val="single" w:sz="4" w:space="0" w:color="auto"/>
              <w:right w:val="nil"/>
            </w:tcBorders>
            <w:vAlign w:val="center"/>
          </w:tcPr>
          <w:p w14:paraId="4FF7BF35" w14:textId="77777777" w:rsidR="00855ABD" w:rsidRPr="00824E21" w:rsidRDefault="00855ABD" w:rsidP="00855ABD">
            <w:pPr>
              <w:jc w:val="center"/>
              <w:rPr>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
          <w:p w14:paraId="6E6F35E2" w14:textId="4D65F252"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Straight/Heterosexual</w:t>
            </w:r>
          </w:p>
        </w:tc>
        <w:tc>
          <w:tcPr>
            <w:tcW w:w="551" w:type="pct"/>
            <w:tcBorders>
              <w:top w:val="single" w:sz="4" w:space="0" w:color="auto"/>
              <w:left w:val="nil"/>
              <w:bottom w:val="single" w:sz="4" w:space="0" w:color="auto"/>
              <w:right w:val="nil"/>
            </w:tcBorders>
            <w:vAlign w:val="center"/>
          </w:tcPr>
          <w:p w14:paraId="3B7312F1" w14:textId="474FD29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Gay or Lesbian</w:t>
            </w:r>
          </w:p>
        </w:tc>
        <w:tc>
          <w:tcPr>
            <w:tcW w:w="551" w:type="pct"/>
            <w:tcBorders>
              <w:top w:val="single" w:sz="4" w:space="0" w:color="auto"/>
              <w:left w:val="nil"/>
              <w:bottom w:val="single" w:sz="4" w:space="0" w:color="auto"/>
              <w:right w:val="nil"/>
            </w:tcBorders>
            <w:vAlign w:val="center"/>
          </w:tcPr>
          <w:p w14:paraId="48AA7A59" w14:textId="526FCE45"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Bisexual/Pansexual/Omnisexual</w:t>
            </w:r>
          </w:p>
        </w:tc>
        <w:tc>
          <w:tcPr>
            <w:tcW w:w="551" w:type="pct"/>
            <w:tcBorders>
              <w:top w:val="single" w:sz="4" w:space="0" w:color="auto"/>
              <w:left w:val="nil"/>
              <w:bottom w:val="single" w:sz="4" w:space="0" w:color="auto"/>
              <w:right w:val="nil"/>
            </w:tcBorders>
            <w:vAlign w:val="center"/>
          </w:tcPr>
          <w:p w14:paraId="4F247728" w14:textId="5BB4774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Asexual/Aromantic/Demisexual</w:t>
            </w:r>
          </w:p>
        </w:tc>
        <w:tc>
          <w:tcPr>
            <w:tcW w:w="551" w:type="pct"/>
            <w:tcBorders>
              <w:top w:val="single" w:sz="4" w:space="0" w:color="auto"/>
              <w:left w:val="nil"/>
              <w:bottom w:val="single" w:sz="4" w:space="0" w:color="auto"/>
              <w:right w:val="nil"/>
            </w:tcBorders>
            <w:vAlign w:val="center"/>
          </w:tcPr>
          <w:p w14:paraId="44FC16AB" w14:textId="776E5200"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Other/Queer/Questioning</w:t>
            </w:r>
          </w:p>
        </w:tc>
        <w:tc>
          <w:tcPr>
            <w:tcW w:w="551" w:type="pct"/>
            <w:tcBorders>
              <w:top w:val="single" w:sz="4" w:space="0" w:color="auto"/>
              <w:left w:val="nil"/>
              <w:bottom w:val="single" w:sz="4" w:space="0" w:color="auto"/>
              <w:right w:val="nil"/>
            </w:tcBorders>
            <w:vAlign w:val="center"/>
          </w:tcPr>
          <w:p w14:paraId="5D0818A7" w14:textId="530DA3E9"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551" w:type="pct"/>
            <w:gridSpan w:val="2"/>
            <w:tcBorders>
              <w:top w:val="single" w:sz="4" w:space="0" w:color="auto"/>
              <w:left w:val="nil"/>
              <w:bottom w:val="single" w:sz="4" w:space="0" w:color="auto"/>
              <w:right w:val="nil"/>
            </w:tcBorders>
            <w:vAlign w:val="center"/>
          </w:tcPr>
          <w:p w14:paraId="1AA69D61" w14:textId="755024B8"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Total</w:t>
            </w:r>
          </w:p>
        </w:tc>
        <w:tc>
          <w:tcPr>
            <w:tcW w:w="90" w:type="pct"/>
            <w:tcBorders>
              <w:top w:val="single" w:sz="4" w:space="0" w:color="auto"/>
              <w:left w:val="nil"/>
              <w:bottom w:val="single" w:sz="4" w:space="0" w:color="auto"/>
              <w:right w:val="nil"/>
            </w:tcBorders>
            <w:vAlign w:val="center"/>
          </w:tcPr>
          <w:p w14:paraId="04F05C7F" w14:textId="206BD311" w:rsidR="00855ABD" w:rsidRPr="00824E21" w:rsidRDefault="00855ABD" w:rsidP="00855ABD">
            <w:pPr>
              <w:jc w:val="center"/>
              <w:rPr>
                <w:rFonts w:asciiTheme="majorHAnsi" w:hAnsiTheme="majorHAnsi" w:cstheme="majorHAnsi"/>
                <w:sz w:val="20"/>
                <w:szCs w:val="20"/>
              </w:rPr>
            </w:pPr>
          </w:p>
        </w:tc>
      </w:tr>
      <w:tr w:rsidR="00B719F1" w:rsidRPr="00B621E1" w14:paraId="19C9CDD1" w14:textId="77777777" w:rsidTr="00AB4825">
        <w:trPr>
          <w:gridAfter w:val="2"/>
          <w:wAfter w:w="99" w:type="pct"/>
          <w:trHeight w:val="267"/>
        </w:trPr>
        <w:tc>
          <w:tcPr>
            <w:tcW w:w="4901" w:type="pct"/>
            <w:gridSpan w:val="8"/>
            <w:tcBorders>
              <w:top w:val="single" w:sz="4" w:space="0" w:color="auto"/>
              <w:left w:val="nil"/>
              <w:bottom w:val="nil"/>
              <w:right w:val="nil"/>
            </w:tcBorders>
            <w:vAlign w:val="center"/>
          </w:tcPr>
          <w:p w14:paraId="241A2352"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424055D2" w14:textId="77777777" w:rsidTr="00AB4825">
        <w:trPr>
          <w:trHeight w:val="267"/>
        </w:trPr>
        <w:tc>
          <w:tcPr>
            <w:tcW w:w="1055" w:type="pct"/>
            <w:tcBorders>
              <w:top w:val="nil"/>
              <w:left w:val="nil"/>
              <w:bottom w:val="nil"/>
              <w:right w:val="nil"/>
            </w:tcBorders>
            <w:vAlign w:val="center"/>
          </w:tcPr>
          <w:p w14:paraId="6DE99A46"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5D056FB" w14:textId="6A490B8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4A5B613" w14:textId="2F98E0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3446B70B" w14:textId="2D66A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7E8E70F" w14:textId="6A2BC2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tcBorders>
              <w:top w:val="nil"/>
              <w:left w:val="nil"/>
              <w:bottom w:val="nil"/>
              <w:right w:val="nil"/>
            </w:tcBorders>
            <w:vAlign w:val="center"/>
          </w:tcPr>
          <w:p w14:paraId="5CF4D78E" w14:textId="2225AF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7FE49C3" w14:textId="5681E88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31609C40" w14:textId="794D8B9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625717FE" w14:textId="1508CE3C" w:rsidR="00124A2B" w:rsidRPr="00824E21" w:rsidRDefault="00124A2B" w:rsidP="00124A2B">
            <w:pPr>
              <w:jc w:val="center"/>
              <w:rPr>
                <w:rFonts w:asciiTheme="majorHAnsi" w:hAnsiTheme="majorHAnsi" w:cstheme="majorHAnsi"/>
                <w:sz w:val="20"/>
                <w:szCs w:val="20"/>
              </w:rPr>
            </w:pPr>
          </w:p>
        </w:tc>
      </w:tr>
      <w:tr w:rsidR="00124A2B" w:rsidRPr="00B621E1" w14:paraId="6FA17341" w14:textId="77777777" w:rsidTr="00AB4825">
        <w:trPr>
          <w:trHeight w:val="287"/>
        </w:trPr>
        <w:tc>
          <w:tcPr>
            <w:tcW w:w="1055" w:type="pct"/>
            <w:tcBorders>
              <w:top w:val="nil"/>
              <w:left w:val="nil"/>
              <w:bottom w:val="nil"/>
              <w:right w:val="nil"/>
            </w:tcBorders>
            <w:vAlign w:val="center"/>
          </w:tcPr>
          <w:p w14:paraId="39293E5E"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7E4A7742" w14:textId="063F183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5190</w:t>
            </w:r>
          </w:p>
        </w:tc>
        <w:tc>
          <w:tcPr>
            <w:tcW w:w="551" w:type="pct"/>
            <w:tcBorders>
              <w:top w:val="nil"/>
              <w:left w:val="nil"/>
              <w:bottom w:val="nil"/>
              <w:right w:val="nil"/>
            </w:tcBorders>
            <w:vAlign w:val="center"/>
          </w:tcPr>
          <w:p w14:paraId="09CE1A63" w14:textId="4EC7B20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42D701BC" w14:textId="143F0B4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1139</w:t>
            </w:r>
          </w:p>
        </w:tc>
        <w:tc>
          <w:tcPr>
            <w:tcW w:w="551" w:type="pct"/>
            <w:tcBorders>
              <w:top w:val="nil"/>
              <w:left w:val="nil"/>
              <w:bottom w:val="nil"/>
              <w:right w:val="nil"/>
            </w:tcBorders>
            <w:vAlign w:val="center"/>
          </w:tcPr>
          <w:p w14:paraId="4D6A64DC" w14:textId="06F0A4C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05AC246B" w14:textId="2ADC0F8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37FDBDD7" w14:textId="3BA47DE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509</w:t>
            </w:r>
          </w:p>
        </w:tc>
        <w:tc>
          <w:tcPr>
            <w:tcW w:w="551" w:type="pct"/>
            <w:gridSpan w:val="2"/>
            <w:tcBorders>
              <w:top w:val="nil"/>
              <w:left w:val="nil"/>
              <w:bottom w:val="nil"/>
              <w:right w:val="nil"/>
            </w:tcBorders>
            <w:vAlign w:val="center"/>
          </w:tcPr>
          <w:p w14:paraId="1C68B7F3" w14:textId="0CB278F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7847</w:t>
            </w:r>
          </w:p>
        </w:tc>
        <w:tc>
          <w:tcPr>
            <w:tcW w:w="90" w:type="pct"/>
            <w:tcBorders>
              <w:top w:val="nil"/>
              <w:left w:val="nil"/>
              <w:bottom w:val="nil"/>
              <w:right w:val="nil"/>
            </w:tcBorders>
            <w:vAlign w:val="center"/>
          </w:tcPr>
          <w:p w14:paraId="7865ACC1" w14:textId="7C7F1047" w:rsidR="00124A2B" w:rsidRPr="00824E21" w:rsidRDefault="00124A2B" w:rsidP="00124A2B">
            <w:pPr>
              <w:jc w:val="center"/>
              <w:rPr>
                <w:rFonts w:asciiTheme="majorHAnsi" w:hAnsiTheme="majorHAnsi" w:cstheme="majorHAnsi"/>
                <w:sz w:val="20"/>
                <w:szCs w:val="20"/>
              </w:rPr>
            </w:pPr>
          </w:p>
        </w:tc>
      </w:tr>
      <w:tr w:rsidR="00B719F1" w:rsidRPr="00B621E1" w14:paraId="732D8573" w14:textId="77777777" w:rsidTr="00AB4825">
        <w:trPr>
          <w:gridAfter w:val="2"/>
          <w:wAfter w:w="99" w:type="pct"/>
          <w:trHeight w:val="287"/>
        </w:trPr>
        <w:tc>
          <w:tcPr>
            <w:tcW w:w="4901" w:type="pct"/>
            <w:gridSpan w:val="8"/>
            <w:tcBorders>
              <w:top w:val="nil"/>
              <w:left w:val="nil"/>
              <w:bottom w:val="nil"/>
              <w:right w:val="nil"/>
            </w:tcBorders>
            <w:vAlign w:val="center"/>
          </w:tcPr>
          <w:p w14:paraId="1FCF6A4B" w14:textId="77777777" w:rsidR="00B719F1" w:rsidRPr="00824E21" w:rsidRDefault="00B719F1" w:rsidP="00806A88">
            <w:pPr>
              <w:rPr>
                <w:rFonts w:asciiTheme="majorHAnsi" w:hAnsiTheme="majorHAnsi" w:cstheme="majorHAnsi"/>
                <w:i/>
                <w:iCs/>
                <w:sz w:val="20"/>
                <w:szCs w:val="20"/>
              </w:rPr>
            </w:pPr>
          </w:p>
        </w:tc>
      </w:tr>
      <w:tr w:rsidR="00B719F1" w:rsidRPr="00B621E1" w14:paraId="38009DCB" w14:textId="77777777" w:rsidTr="00AB4825">
        <w:trPr>
          <w:gridAfter w:val="2"/>
          <w:wAfter w:w="99" w:type="pct"/>
          <w:trHeight w:val="287"/>
        </w:trPr>
        <w:tc>
          <w:tcPr>
            <w:tcW w:w="4901" w:type="pct"/>
            <w:gridSpan w:val="8"/>
            <w:tcBorders>
              <w:top w:val="nil"/>
              <w:left w:val="nil"/>
              <w:bottom w:val="nil"/>
              <w:right w:val="nil"/>
            </w:tcBorders>
            <w:vAlign w:val="center"/>
          </w:tcPr>
          <w:p w14:paraId="3465948C"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6EBF79AB" w14:textId="77777777" w:rsidTr="00AB4825">
        <w:trPr>
          <w:trHeight w:val="267"/>
        </w:trPr>
        <w:tc>
          <w:tcPr>
            <w:tcW w:w="1055" w:type="pct"/>
            <w:tcBorders>
              <w:top w:val="nil"/>
              <w:left w:val="nil"/>
              <w:bottom w:val="nil"/>
              <w:right w:val="nil"/>
            </w:tcBorders>
            <w:vAlign w:val="center"/>
          </w:tcPr>
          <w:p w14:paraId="0AB253E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649B8FB" w14:textId="20DD4A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054A5CE3" w14:textId="1F0A7B6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0.0</w:t>
            </w:r>
          </w:p>
        </w:tc>
        <w:tc>
          <w:tcPr>
            <w:tcW w:w="551" w:type="pct"/>
            <w:tcBorders>
              <w:top w:val="nil"/>
              <w:left w:val="nil"/>
              <w:bottom w:val="nil"/>
              <w:right w:val="nil"/>
            </w:tcBorders>
            <w:vAlign w:val="center"/>
          </w:tcPr>
          <w:p w14:paraId="10DA32EE" w14:textId="5B0DD60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DE08C5C" w14:textId="07DAF4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4A756C3B" w14:textId="34BE92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5C5DFDD" w14:textId="448073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gridSpan w:val="2"/>
            <w:tcBorders>
              <w:top w:val="nil"/>
              <w:left w:val="nil"/>
              <w:bottom w:val="nil"/>
              <w:right w:val="nil"/>
            </w:tcBorders>
            <w:vAlign w:val="center"/>
          </w:tcPr>
          <w:p w14:paraId="6329DF40" w14:textId="6C03463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90" w:type="pct"/>
            <w:tcBorders>
              <w:top w:val="nil"/>
              <w:left w:val="nil"/>
              <w:bottom w:val="nil"/>
              <w:right w:val="nil"/>
            </w:tcBorders>
            <w:vAlign w:val="center"/>
          </w:tcPr>
          <w:p w14:paraId="58667C68" w14:textId="3E29A266" w:rsidR="00124A2B" w:rsidRPr="00824E21" w:rsidRDefault="00124A2B" w:rsidP="00124A2B">
            <w:pPr>
              <w:jc w:val="center"/>
              <w:rPr>
                <w:rFonts w:asciiTheme="majorHAnsi" w:hAnsiTheme="majorHAnsi" w:cstheme="majorHAnsi"/>
                <w:sz w:val="20"/>
                <w:szCs w:val="20"/>
              </w:rPr>
            </w:pPr>
          </w:p>
        </w:tc>
      </w:tr>
      <w:tr w:rsidR="00124A2B" w:rsidRPr="00B621E1" w14:paraId="1FB5E1E5" w14:textId="77777777" w:rsidTr="00AB4825">
        <w:trPr>
          <w:trHeight w:val="287"/>
        </w:trPr>
        <w:tc>
          <w:tcPr>
            <w:tcW w:w="1055" w:type="pct"/>
            <w:tcBorders>
              <w:top w:val="nil"/>
              <w:left w:val="nil"/>
              <w:bottom w:val="nil"/>
              <w:right w:val="nil"/>
            </w:tcBorders>
            <w:vAlign w:val="center"/>
          </w:tcPr>
          <w:p w14:paraId="42AB97C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4BEB3E8E" w14:textId="7351F7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5186</w:t>
            </w:r>
          </w:p>
        </w:tc>
        <w:tc>
          <w:tcPr>
            <w:tcW w:w="551" w:type="pct"/>
            <w:tcBorders>
              <w:top w:val="nil"/>
              <w:left w:val="nil"/>
              <w:bottom w:val="nil"/>
              <w:right w:val="nil"/>
            </w:tcBorders>
            <w:vAlign w:val="center"/>
          </w:tcPr>
          <w:p w14:paraId="1ACBB870" w14:textId="7F3E38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146F54EA" w14:textId="7FA9839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0E195FA4" w14:textId="55A2FD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7E76C6C1" w14:textId="65C4060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2DB3D273" w14:textId="017E6FD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508</w:t>
            </w:r>
          </w:p>
        </w:tc>
        <w:tc>
          <w:tcPr>
            <w:tcW w:w="551" w:type="pct"/>
            <w:gridSpan w:val="2"/>
            <w:tcBorders>
              <w:top w:val="nil"/>
              <w:left w:val="nil"/>
              <w:bottom w:val="nil"/>
              <w:right w:val="nil"/>
            </w:tcBorders>
            <w:vAlign w:val="center"/>
          </w:tcPr>
          <w:p w14:paraId="669D54AD" w14:textId="5A467F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7825</w:t>
            </w:r>
          </w:p>
        </w:tc>
        <w:tc>
          <w:tcPr>
            <w:tcW w:w="90" w:type="pct"/>
            <w:tcBorders>
              <w:top w:val="nil"/>
              <w:left w:val="nil"/>
              <w:bottom w:val="nil"/>
              <w:right w:val="nil"/>
            </w:tcBorders>
            <w:vAlign w:val="center"/>
          </w:tcPr>
          <w:p w14:paraId="3CC654F4" w14:textId="559807F7" w:rsidR="00124A2B" w:rsidRPr="00824E21" w:rsidRDefault="00124A2B" w:rsidP="00124A2B">
            <w:pPr>
              <w:jc w:val="center"/>
              <w:rPr>
                <w:rFonts w:asciiTheme="majorHAnsi" w:hAnsiTheme="majorHAnsi" w:cstheme="majorHAnsi"/>
                <w:sz w:val="20"/>
                <w:szCs w:val="20"/>
              </w:rPr>
            </w:pPr>
          </w:p>
        </w:tc>
      </w:tr>
      <w:tr w:rsidR="00B719F1" w:rsidRPr="00B621E1" w14:paraId="034D1CD2" w14:textId="77777777" w:rsidTr="00AB4825">
        <w:trPr>
          <w:gridAfter w:val="2"/>
          <w:wAfter w:w="99" w:type="pct"/>
          <w:trHeight w:val="287"/>
        </w:trPr>
        <w:tc>
          <w:tcPr>
            <w:tcW w:w="4901" w:type="pct"/>
            <w:gridSpan w:val="8"/>
            <w:tcBorders>
              <w:top w:val="nil"/>
              <w:left w:val="nil"/>
              <w:bottom w:val="nil"/>
              <w:right w:val="nil"/>
            </w:tcBorders>
            <w:vAlign w:val="center"/>
          </w:tcPr>
          <w:p w14:paraId="1FA7CC16" w14:textId="77777777" w:rsidR="00B719F1" w:rsidRPr="00824E21" w:rsidRDefault="00B719F1" w:rsidP="00806A88">
            <w:pPr>
              <w:rPr>
                <w:rFonts w:asciiTheme="majorHAnsi" w:hAnsiTheme="majorHAnsi" w:cstheme="majorHAnsi"/>
                <w:i/>
                <w:iCs/>
                <w:sz w:val="20"/>
                <w:szCs w:val="20"/>
              </w:rPr>
            </w:pPr>
          </w:p>
        </w:tc>
      </w:tr>
      <w:tr w:rsidR="00B719F1" w:rsidRPr="00B621E1" w14:paraId="72222820" w14:textId="77777777" w:rsidTr="00AB4825">
        <w:trPr>
          <w:gridAfter w:val="2"/>
          <w:wAfter w:w="99" w:type="pct"/>
          <w:trHeight w:val="287"/>
        </w:trPr>
        <w:tc>
          <w:tcPr>
            <w:tcW w:w="4901" w:type="pct"/>
            <w:gridSpan w:val="8"/>
            <w:tcBorders>
              <w:top w:val="nil"/>
              <w:left w:val="nil"/>
              <w:bottom w:val="nil"/>
              <w:right w:val="nil"/>
            </w:tcBorders>
            <w:vAlign w:val="center"/>
          </w:tcPr>
          <w:p w14:paraId="405759F0"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124A2B" w:rsidRPr="00B621E1" w14:paraId="0E794081" w14:textId="77777777" w:rsidTr="00AB4825">
        <w:trPr>
          <w:trHeight w:val="267"/>
        </w:trPr>
        <w:tc>
          <w:tcPr>
            <w:tcW w:w="1055" w:type="pct"/>
            <w:tcBorders>
              <w:top w:val="nil"/>
              <w:left w:val="nil"/>
              <w:bottom w:val="nil"/>
              <w:right w:val="nil"/>
            </w:tcBorders>
            <w:vAlign w:val="center"/>
          </w:tcPr>
          <w:p w14:paraId="236A3F9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E16A0AE" w14:textId="6BB2F1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051F13B9" w14:textId="2A1F67A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44451E3" w14:textId="4DAE4B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C06355A" w14:textId="71D33B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353986E7" w14:textId="6D117C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tcBorders>
              <w:top w:val="nil"/>
              <w:left w:val="nil"/>
              <w:bottom w:val="nil"/>
              <w:right w:val="nil"/>
            </w:tcBorders>
            <w:vAlign w:val="center"/>
          </w:tcPr>
          <w:p w14:paraId="7AF91126" w14:textId="2C386C0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gridSpan w:val="2"/>
            <w:tcBorders>
              <w:top w:val="nil"/>
              <w:left w:val="nil"/>
              <w:bottom w:val="nil"/>
              <w:right w:val="nil"/>
            </w:tcBorders>
            <w:vAlign w:val="center"/>
          </w:tcPr>
          <w:p w14:paraId="4013D8B7" w14:textId="0688C6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546DAC56" w14:textId="435102E6" w:rsidR="00124A2B" w:rsidRPr="00824E21" w:rsidRDefault="00124A2B" w:rsidP="00124A2B">
            <w:pPr>
              <w:jc w:val="center"/>
              <w:rPr>
                <w:rFonts w:asciiTheme="majorHAnsi" w:hAnsiTheme="majorHAnsi" w:cstheme="majorHAnsi"/>
                <w:sz w:val="20"/>
                <w:szCs w:val="20"/>
              </w:rPr>
            </w:pPr>
          </w:p>
        </w:tc>
      </w:tr>
      <w:tr w:rsidR="00124A2B" w:rsidRPr="00B621E1" w14:paraId="747EE66D" w14:textId="77777777" w:rsidTr="00AB4825">
        <w:trPr>
          <w:trHeight w:val="287"/>
        </w:trPr>
        <w:tc>
          <w:tcPr>
            <w:tcW w:w="1055" w:type="pct"/>
            <w:tcBorders>
              <w:top w:val="nil"/>
              <w:left w:val="nil"/>
              <w:bottom w:val="nil"/>
              <w:right w:val="nil"/>
            </w:tcBorders>
            <w:vAlign w:val="center"/>
          </w:tcPr>
          <w:p w14:paraId="5CAC3F7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70CD289" w14:textId="5CE046B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5174</w:t>
            </w:r>
          </w:p>
        </w:tc>
        <w:tc>
          <w:tcPr>
            <w:tcW w:w="551" w:type="pct"/>
            <w:tcBorders>
              <w:top w:val="nil"/>
              <w:left w:val="nil"/>
              <w:bottom w:val="nil"/>
              <w:right w:val="nil"/>
            </w:tcBorders>
            <w:vAlign w:val="center"/>
          </w:tcPr>
          <w:p w14:paraId="21F5C516" w14:textId="5F67D99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6C96A55F" w14:textId="67E5517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6A53192E" w14:textId="38F5F0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0F9FAAA" w14:textId="6B89432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61121662" w14:textId="19C88F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DF1AA83" w14:textId="374FAF9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0B270F34" w14:textId="6930F6AA" w:rsidR="00124A2B" w:rsidRPr="00824E21" w:rsidRDefault="00124A2B" w:rsidP="00124A2B">
            <w:pPr>
              <w:jc w:val="center"/>
              <w:rPr>
                <w:rFonts w:asciiTheme="majorHAnsi" w:hAnsiTheme="majorHAnsi" w:cstheme="majorHAnsi"/>
                <w:sz w:val="20"/>
                <w:szCs w:val="20"/>
              </w:rPr>
            </w:pPr>
          </w:p>
        </w:tc>
      </w:tr>
      <w:tr w:rsidR="00B719F1" w:rsidRPr="00B621E1" w14:paraId="0CAC11A5" w14:textId="77777777" w:rsidTr="00AB4825">
        <w:trPr>
          <w:gridAfter w:val="2"/>
          <w:wAfter w:w="99" w:type="pct"/>
          <w:trHeight w:val="287"/>
        </w:trPr>
        <w:tc>
          <w:tcPr>
            <w:tcW w:w="4901" w:type="pct"/>
            <w:gridSpan w:val="8"/>
            <w:tcBorders>
              <w:top w:val="nil"/>
              <w:left w:val="nil"/>
              <w:bottom w:val="nil"/>
              <w:right w:val="nil"/>
            </w:tcBorders>
            <w:vAlign w:val="center"/>
          </w:tcPr>
          <w:p w14:paraId="435AC7B4" w14:textId="77777777" w:rsidR="00B719F1" w:rsidRPr="00824E21" w:rsidRDefault="00B719F1" w:rsidP="00806A88">
            <w:pPr>
              <w:rPr>
                <w:rFonts w:asciiTheme="majorHAnsi" w:hAnsiTheme="majorHAnsi" w:cstheme="majorHAnsi"/>
                <w:i/>
                <w:iCs/>
                <w:sz w:val="20"/>
                <w:szCs w:val="20"/>
              </w:rPr>
            </w:pPr>
          </w:p>
        </w:tc>
      </w:tr>
      <w:tr w:rsidR="00B719F1" w:rsidRPr="00B621E1" w14:paraId="32195A91" w14:textId="77777777" w:rsidTr="00AB4825">
        <w:trPr>
          <w:gridAfter w:val="2"/>
          <w:wAfter w:w="99" w:type="pct"/>
          <w:trHeight w:val="287"/>
        </w:trPr>
        <w:tc>
          <w:tcPr>
            <w:tcW w:w="4901" w:type="pct"/>
            <w:gridSpan w:val="8"/>
            <w:tcBorders>
              <w:top w:val="nil"/>
              <w:left w:val="nil"/>
              <w:bottom w:val="nil"/>
              <w:right w:val="nil"/>
            </w:tcBorders>
            <w:vAlign w:val="center"/>
          </w:tcPr>
          <w:p w14:paraId="402DA4D5"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124A2B" w:rsidRPr="00B621E1" w14:paraId="2E779333" w14:textId="77777777" w:rsidTr="00AB4825">
        <w:trPr>
          <w:trHeight w:val="287"/>
        </w:trPr>
        <w:tc>
          <w:tcPr>
            <w:tcW w:w="1055" w:type="pct"/>
            <w:tcBorders>
              <w:top w:val="nil"/>
              <w:left w:val="nil"/>
              <w:bottom w:val="nil"/>
              <w:right w:val="nil"/>
            </w:tcBorders>
            <w:vAlign w:val="center"/>
          </w:tcPr>
          <w:p w14:paraId="11B448B1"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4C5563E0" w14:textId="785066F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02E55D59" w14:textId="7D2F624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343AD20F" w14:textId="3832A5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4F99622B" w14:textId="4CCCC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4A57D87F" w14:textId="3070C2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271967EA" w14:textId="7D385D0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gridSpan w:val="2"/>
            <w:tcBorders>
              <w:top w:val="nil"/>
              <w:left w:val="nil"/>
              <w:bottom w:val="nil"/>
              <w:right w:val="nil"/>
            </w:tcBorders>
            <w:vAlign w:val="center"/>
          </w:tcPr>
          <w:p w14:paraId="14B44571" w14:textId="6CE0AA1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90" w:type="pct"/>
            <w:tcBorders>
              <w:top w:val="nil"/>
              <w:left w:val="nil"/>
              <w:bottom w:val="nil"/>
              <w:right w:val="nil"/>
            </w:tcBorders>
            <w:vAlign w:val="center"/>
          </w:tcPr>
          <w:p w14:paraId="62D8B3D3" w14:textId="175BE69D" w:rsidR="00124A2B" w:rsidRPr="00824E21" w:rsidRDefault="00124A2B" w:rsidP="00124A2B">
            <w:pPr>
              <w:jc w:val="center"/>
              <w:rPr>
                <w:rFonts w:asciiTheme="majorHAnsi" w:hAnsiTheme="majorHAnsi" w:cstheme="majorHAnsi"/>
                <w:sz w:val="20"/>
                <w:szCs w:val="20"/>
              </w:rPr>
            </w:pPr>
          </w:p>
        </w:tc>
      </w:tr>
      <w:tr w:rsidR="00124A2B" w:rsidRPr="00B621E1" w14:paraId="6ADC7780" w14:textId="77777777" w:rsidTr="00AB4825">
        <w:trPr>
          <w:trHeight w:val="267"/>
        </w:trPr>
        <w:tc>
          <w:tcPr>
            <w:tcW w:w="1055" w:type="pct"/>
            <w:tcBorders>
              <w:top w:val="nil"/>
              <w:left w:val="nil"/>
              <w:bottom w:val="nil"/>
              <w:right w:val="nil"/>
            </w:tcBorders>
            <w:vAlign w:val="center"/>
          </w:tcPr>
          <w:p w14:paraId="3C56D46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6A20760C" w14:textId="20B2EE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5176</w:t>
            </w:r>
          </w:p>
        </w:tc>
        <w:tc>
          <w:tcPr>
            <w:tcW w:w="551" w:type="pct"/>
            <w:tcBorders>
              <w:top w:val="nil"/>
              <w:left w:val="nil"/>
              <w:bottom w:val="nil"/>
              <w:right w:val="nil"/>
            </w:tcBorders>
            <w:vAlign w:val="center"/>
          </w:tcPr>
          <w:p w14:paraId="7A5D8E63" w14:textId="637B57F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722C589C" w14:textId="7FE265D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2A50410C" w14:textId="0ECE04B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63DC443F" w14:textId="7B0F111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14330B64" w14:textId="3EC4D6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548C164" w14:textId="0BBFA6F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532FC66F" w14:textId="459153A3" w:rsidR="00124A2B" w:rsidRPr="00824E21" w:rsidRDefault="00124A2B" w:rsidP="00124A2B">
            <w:pPr>
              <w:jc w:val="center"/>
              <w:rPr>
                <w:rFonts w:asciiTheme="majorHAnsi" w:hAnsiTheme="majorHAnsi" w:cstheme="majorHAnsi"/>
                <w:sz w:val="20"/>
                <w:szCs w:val="20"/>
              </w:rPr>
            </w:pPr>
          </w:p>
        </w:tc>
      </w:tr>
      <w:tr w:rsidR="00B719F1" w:rsidRPr="00B621E1" w14:paraId="2B908A64" w14:textId="77777777" w:rsidTr="00AB4825">
        <w:trPr>
          <w:gridAfter w:val="2"/>
          <w:wAfter w:w="99" w:type="pct"/>
          <w:trHeight w:val="267"/>
        </w:trPr>
        <w:tc>
          <w:tcPr>
            <w:tcW w:w="4901" w:type="pct"/>
            <w:gridSpan w:val="8"/>
            <w:tcBorders>
              <w:top w:val="nil"/>
              <w:left w:val="nil"/>
              <w:bottom w:val="nil"/>
              <w:right w:val="nil"/>
            </w:tcBorders>
            <w:vAlign w:val="center"/>
          </w:tcPr>
          <w:p w14:paraId="26E147E9" w14:textId="77777777" w:rsidR="00B719F1" w:rsidRPr="00824E21" w:rsidRDefault="00B719F1" w:rsidP="00806A88">
            <w:pPr>
              <w:rPr>
                <w:rFonts w:asciiTheme="majorHAnsi" w:hAnsiTheme="majorHAnsi" w:cstheme="majorHAnsi"/>
                <w:i/>
                <w:iCs/>
                <w:sz w:val="20"/>
                <w:szCs w:val="20"/>
              </w:rPr>
            </w:pPr>
          </w:p>
        </w:tc>
      </w:tr>
      <w:tr w:rsidR="00B719F1" w:rsidRPr="00B621E1" w14:paraId="7313A0AA" w14:textId="77777777" w:rsidTr="00AB4825">
        <w:trPr>
          <w:gridAfter w:val="2"/>
          <w:wAfter w:w="99" w:type="pct"/>
          <w:trHeight w:val="267"/>
        </w:trPr>
        <w:tc>
          <w:tcPr>
            <w:tcW w:w="4901" w:type="pct"/>
            <w:gridSpan w:val="8"/>
            <w:tcBorders>
              <w:top w:val="nil"/>
              <w:left w:val="nil"/>
              <w:bottom w:val="nil"/>
              <w:right w:val="nil"/>
            </w:tcBorders>
            <w:vAlign w:val="center"/>
          </w:tcPr>
          <w:p w14:paraId="6319E283"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124A2B" w:rsidRPr="00B621E1" w14:paraId="79E925DF" w14:textId="77777777" w:rsidTr="00AB4825">
        <w:trPr>
          <w:trHeight w:val="287"/>
        </w:trPr>
        <w:tc>
          <w:tcPr>
            <w:tcW w:w="1055" w:type="pct"/>
            <w:tcBorders>
              <w:top w:val="nil"/>
              <w:left w:val="nil"/>
              <w:bottom w:val="nil"/>
              <w:right w:val="nil"/>
            </w:tcBorders>
            <w:vAlign w:val="center"/>
          </w:tcPr>
          <w:p w14:paraId="53079B3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65DB21D7" w14:textId="6C2C35E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22AE152A" w14:textId="1486AD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0B6EC0DB" w14:textId="0F2F5DA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32E947CF" w14:textId="00E6CDB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A749728" w14:textId="4F69A3C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25D7B3E6" w14:textId="5BF736B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5F1D3447" w14:textId="72640E7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7E6B6AB2" w14:textId="292745D4" w:rsidR="00124A2B" w:rsidRPr="00824E21" w:rsidRDefault="00124A2B" w:rsidP="00124A2B">
            <w:pPr>
              <w:jc w:val="center"/>
              <w:rPr>
                <w:rFonts w:asciiTheme="majorHAnsi" w:hAnsiTheme="majorHAnsi" w:cstheme="majorHAnsi"/>
                <w:sz w:val="20"/>
                <w:szCs w:val="20"/>
              </w:rPr>
            </w:pPr>
          </w:p>
        </w:tc>
      </w:tr>
      <w:tr w:rsidR="00124A2B" w:rsidRPr="00B621E1" w14:paraId="664B5515" w14:textId="77777777" w:rsidTr="00AB4825">
        <w:trPr>
          <w:trHeight w:val="267"/>
        </w:trPr>
        <w:tc>
          <w:tcPr>
            <w:tcW w:w="1055" w:type="pct"/>
            <w:tcBorders>
              <w:top w:val="nil"/>
              <w:left w:val="nil"/>
              <w:bottom w:val="nil"/>
              <w:right w:val="nil"/>
            </w:tcBorders>
            <w:vAlign w:val="center"/>
          </w:tcPr>
          <w:p w14:paraId="005EDBEB"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2277C3E" w14:textId="567E90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5179</w:t>
            </w:r>
          </w:p>
        </w:tc>
        <w:tc>
          <w:tcPr>
            <w:tcW w:w="551" w:type="pct"/>
            <w:tcBorders>
              <w:top w:val="nil"/>
              <w:left w:val="nil"/>
              <w:bottom w:val="nil"/>
              <w:right w:val="nil"/>
            </w:tcBorders>
            <w:vAlign w:val="center"/>
          </w:tcPr>
          <w:p w14:paraId="4FD6475E" w14:textId="26713D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6A7CB823" w14:textId="26E8EFF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4DB1127F" w14:textId="2D3B8E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D1F6EAD" w14:textId="331372D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130</w:t>
            </w:r>
          </w:p>
        </w:tc>
        <w:tc>
          <w:tcPr>
            <w:tcW w:w="551" w:type="pct"/>
            <w:tcBorders>
              <w:top w:val="nil"/>
              <w:left w:val="nil"/>
              <w:bottom w:val="nil"/>
              <w:right w:val="nil"/>
            </w:tcBorders>
            <w:vAlign w:val="center"/>
          </w:tcPr>
          <w:p w14:paraId="59E5A2D6" w14:textId="45CB987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59A4CA3A" w14:textId="313D2BA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7713</w:t>
            </w:r>
          </w:p>
        </w:tc>
        <w:tc>
          <w:tcPr>
            <w:tcW w:w="90" w:type="pct"/>
            <w:tcBorders>
              <w:top w:val="nil"/>
              <w:left w:val="nil"/>
              <w:bottom w:val="nil"/>
              <w:right w:val="nil"/>
            </w:tcBorders>
            <w:vAlign w:val="center"/>
          </w:tcPr>
          <w:p w14:paraId="21EEEEC9" w14:textId="3D404DA8" w:rsidR="00124A2B" w:rsidRPr="00824E21" w:rsidRDefault="00124A2B" w:rsidP="00124A2B">
            <w:pPr>
              <w:jc w:val="center"/>
              <w:rPr>
                <w:rFonts w:asciiTheme="majorHAnsi" w:hAnsiTheme="majorHAnsi" w:cstheme="majorHAnsi"/>
                <w:sz w:val="20"/>
                <w:szCs w:val="20"/>
              </w:rPr>
            </w:pPr>
          </w:p>
        </w:tc>
      </w:tr>
      <w:tr w:rsidR="00B719F1" w:rsidRPr="00B621E1" w14:paraId="2B6CB939" w14:textId="77777777" w:rsidTr="00AB4825">
        <w:trPr>
          <w:gridAfter w:val="2"/>
          <w:wAfter w:w="99" w:type="pct"/>
          <w:trHeight w:val="267"/>
        </w:trPr>
        <w:tc>
          <w:tcPr>
            <w:tcW w:w="4901" w:type="pct"/>
            <w:gridSpan w:val="8"/>
            <w:tcBorders>
              <w:top w:val="nil"/>
              <w:left w:val="nil"/>
              <w:bottom w:val="nil"/>
              <w:right w:val="nil"/>
            </w:tcBorders>
            <w:vAlign w:val="center"/>
          </w:tcPr>
          <w:p w14:paraId="730BEC14" w14:textId="77777777" w:rsidR="00B719F1" w:rsidRPr="00824E21" w:rsidRDefault="00B719F1" w:rsidP="00806A88">
            <w:pPr>
              <w:rPr>
                <w:rFonts w:asciiTheme="majorHAnsi" w:hAnsiTheme="majorHAnsi" w:cstheme="majorHAnsi"/>
                <w:i/>
                <w:iCs/>
                <w:sz w:val="20"/>
                <w:szCs w:val="20"/>
              </w:rPr>
            </w:pPr>
          </w:p>
        </w:tc>
      </w:tr>
      <w:tr w:rsidR="00B719F1" w:rsidRPr="00B621E1" w14:paraId="7EE5CD3D" w14:textId="77777777" w:rsidTr="00AB4825">
        <w:trPr>
          <w:gridAfter w:val="2"/>
          <w:wAfter w:w="99" w:type="pct"/>
          <w:trHeight w:val="267"/>
        </w:trPr>
        <w:tc>
          <w:tcPr>
            <w:tcW w:w="4901" w:type="pct"/>
            <w:gridSpan w:val="8"/>
            <w:tcBorders>
              <w:top w:val="nil"/>
              <w:left w:val="nil"/>
              <w:bottom w:val="nil"/>
              <w:right w:val="nil"/>
            </w:tcBorders>
            <w:vAlign w:val="center"/>
          </w:tcPr>
          <w:p w14:paraId="050A8039"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124A2B" w:rsidRPr="00B621E1" w14:paraId="60FD9104" w14:textId="77777777" w:rsidTr="00AB4825">
        <w:trPr>
          <w:trHeight w:val="287"/>
        </w:trPr>
        <w:tc>
          <w:tcPr>
            <w:tcW w:w="1055" w:type="pct"/>
            <w:tcBorders>
              <w:top w:val="nil"/>
              <w:left w:val="nil"/>
              <w:bottom w:val="nil"/>
              <w:right w:val="nil"/>
            </w:tcBorders>
            <w:vAlign w:val="center"/>
          </w:tcPr>
          <w:p w14:paraId="50FFA8C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AF9B6DF" w14:textId="238951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58E98325" w14:textId="05F03EC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158FF22" w14:textId="6462AE4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E4062EB" w14:textId="5AB62C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271F8141" w14:textId="5C39EF5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7EAE50B5" w14:textId="081F86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gridSpan w:val="2"/>
            <w:tcBorders>
              <w:top w:val="nil"/>
              <w:left w:val="nil"/>
              <w:bottom w:val="nil"/>
              <w:right w:val="nil"/>
            </w:tcBorders>
            <w:vAlign w:val="center"/>
          </w:tcPr>
          <w:p w14:paraId="005B3581" w14:textId="20D9B55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4620522E" w14:textId="2A022E1B" w:rsidR="00124A2B" w:rsidRPr="00824E21" w:rsidRDefault="00124A2B" w:rsidP="00124A2B">
            <w:pPr>
              <w:jc w:val="center"/>
              <w:rPr>
                <w:rFonts w:asciiTheme="majorHAnsi" w:hAnsiTheme="majorHAnsi" w:cstheme="majorHAnsi"/>
                <w:sz w:val="20"/>
                <w:szCs w:val="20"/>
              </w:rPr>
            </w:pPr>
          </w:p>
        </w:tc>
      </w:tr>
      <w:tr w:rsidR="00124A2B" w:rsidRPr="00B621E1" w14:paraId="598E88CB" w14:textId="77777777" w:rsidTr="00AB4825">
        <w:trPr>
          <w:trHeight w:val="306"/>
        </w:trPr>
        <w:tc>
          <w:tcPr>
            <w:tcW w:w="1055" w:type="pct"/>
            <w:tcBorders>
              <w:top w:val="nil"/>
              <w:left w:val="nil"/>
              <w:bottom w:val="single" w:sz="4" w:space="0" w:color="auto"/>
              <w:right w:val="nil"/>
            </w:tcBorders>
            <w:vAlign w:val="center"/>
          </w:tcPr>
          <w:p w14:paraId="7AB13AAA"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single" w:sz="4" w:space="0" w:color="auto"/>
              <w:right w:val="nil"/>
            </w:tcBorders>
            <w:vAlign w:val="center"/>
          </w:tcPr>
          <w:p w14:paraId="7C248164" w14:textId="419268E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5177</w:t>
            </w:r>
          </w:p>
        </w:tc>
        <w:tc>
          <w:tcPr>
            <w:tcW w:w="551" w:type="pct"/>
            <w:tcBorders>
              <w:top w:val="nil"/>
              <w:left w:val="nil"/>
              <w:bottom w:val="single" w:sz="4" w:space="0" w:color="auto"/>
              <w:right w:val="nil"/>
            </w:tcBorders>
            <w:vAlign w:val="center"/>
          </w:tcPr>
          <w:p w14:paraId="1F84E047" w14:textId="5E22489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single" w:sz="4" w:space="0" w:color="auto"/>
              <w:right w:val="nil"/>
            </w:tcBorders>
            <w:vAlign w:val="center"/>
          </w:tcPr>
          <w:p w14:paraId="479CBC83" w14:textId="0DD3EAE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1137</w:t>
            </w:r>
          </w:p>
        </w:tc>
        <w:tc>
          <w:tcPr>
            <w:tcW w:w="551" w:type="pct"/>
            <w:tcBorders>
              <w:top w:val="nil"/>
              <w:left w:val="nil"/>
              <w:bottom w:val="single" w:sz="4" w:space="0" w:color="auto"/>
              <w:right w:val="nil"/>
            </w:tcBorders>
            <w:vAlign w:val="center"/>
          </w:tcPr>
          <w:p w14:paraId="62F8DAAF" w14:textId="78F8463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single" w:sz="4" w:space="0" w:color="auto"/>
              <w:right w:val="nil"/>
            </w:tcBorders>
            <w:vAlign w:val="center"/>
          </w:tcPr>
          <w:p w14:paraId="7FEA5764" w14:textId="305C12C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single" w:sz="4" w:space="0" w:color="auto"/>
              <w:right w:val="nil"/>
            </w:tcBorders>
            <w:vAlign w:val="center"/>
          </w:tcPr>
          <w:p w14:paraId="5C27A624" w14:textId="59FD753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506</w:t>
            </w:r>
          </w:p>
        </w:tc>
        <w:tc>
          <w:tcPr>
            <w:tcW w:w="551" w:type="pct"/>
            <w:gridSpan w:val="2"/>
            <w:tcBorders>
              <w:top w:val="nil"/>
              <w:left w:val="nil"/>
              <w:bottom w:val="single" w:sz="4" w:space="0" w:color="auto"/>
              <w:right w:val="nil"/>
            </w:tcBorders>
            <w:vAlign w:val="center"/>
          </w:tcPr>
          <w:p w14:paraId="781D94DB" w14:textId="23B0385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7709</w:t>
            </w:r>
          </w:p>
        </w:tc>
        <w:tc>
          <w:tcPr>
            <w:tcW w:w="90" w:type="pct"/>
            <w:tcBorders>
              <w:top w:val="nil"/>
              <w:left w:val="nil"/>
              <w:bottom w:val="single" w:sz="4" w:space="0" w:color="auto"/>
              <w:right w:val="nil"/>
            </w:tcBorders>
            <w:vAlign w:val="center"/>
          </w:tcPr>
          <w:p w14:paraId="21E49756" w14:textId="507CC4CA" w:rsidR="00124A2B" w:rsidRPr="00824E21" w:rsidRDefault="00124A2B" w:rsidP="00124A2B">
            <w:pPr>
              <w:jc w:val="center"/>
              <w:rPr>
                <w:rFonts w:asciiTheme="majorHAnsi" w:hAnsiTheme="majorHAnsi" w:cstheme="majorHAnsi"/>
                <w:sz w:val="20"/>
                <w:szCs w:val="20"/>
              </w:rPr>
            </w:pPr>
          </w:p>
        </w:tc>
      </w:tr>
    </w:tbl>
    <w:p w14:paraId="7F14F484" w14:textId="77777777" w:rsidR="00A047E7" w:rsidRPr="00824E21" w:rsidRDefault="00A047E7" w:rsidP="001B2966">
      <w:pPr>
        <w:spacing w:line="360" w:lineRule="auto"/>
        <w:rPr>
          <w:rFonts w:asciiTheme="majorHAnsi" w:hAnsiTheme="majorHAnsi" w:cstheme="majorHAnsi"/>
        </w:rPr>
      </w:pPr>
    </w:p>
    <w:p w14:paraId="1E37B83C" w14:textId="77777777" w:rsidR="00124A2B" w:rsidRPr="00824E21" w:rsidRDefault="00124A2B" w:rsidP="001B2966">
      <w:pPr>
        <w:spacing w:line="360" w:lineRule="auto"/>
        <w:rPr>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D: Summary Statistics of Individual College Concern Items</w:t>
      </w:r>
    </w:p>
    <w:p w14:paraId="1A1155F4" w14:textId="1275DF1F" w:rsidR="00E97A5A" w:rsidRPr="00824E21" w:rsidRDefault="00F30BC1" w:rsidP="000E543C">
      <w:pPr>
        <w:spacing w:line="360" w:lineRule="auto"/>
        <w:rPr>
          <w:rFonts w:asciiTheme="majorHAnsi" w:hAnsiTheme="majorHAnsi" w:cstheme="majorHAnsi"/>
          <w:i/>
          <w:iCs/>
        </w:rPr>
      </w:pPr>
      <w:r>
        <w:rPr>
          <w:rFonts w:asciiTheme="majorHAnsi" w:hAnsiTheme="majorHAnsi" w:cstheme="majorHAnsi"/>
          <w:b/>
          <w:bCs/>
        </w:rPr>
        <w:t xml:space="preserve">Table D1. </w:t>
      </w:r>
      <w:commentRangeStart w:id="97"/>
      <w:r>
        <w:rPr>
          <w:rFonts w:asciiTheme="majorHAnsi" w:hAnsiTheme="majorHAnsi" w:cstheme="majorHAnsi"/>
          <w:i/>
          <w:iCs/>
        </w:rPr>
        <w:t>College Concern Items by Gender Identity</w:t>
      </w:r>
      <w:commentRangeEnd w:id="97"/>
      <w:r w:rsidRPr="00824E21">
        <w:rPr>
          <w:rStyle w:val="CommentReference"/>
          <w:rFonts w:asciiTheme="majorHAnsi" w:hAnsiTheme="majorHAnsi" w:cstheme="majorHAnsi"/>
          <w:i/>
          <w:iCs/>
          <w:sz w:val="24"/>
          <w:szCs w:val="24"/>
        </w:rPr>
        <w:commentReference w:id="97"/>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7889323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lastRenderedPageBreak/>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rFonts w:asciiTheme="majorHAnsi" w:hAnsiTheme="majorHAnsi" w:cstheme="majorHAnsi"/>
          <w:color w:val="000000"/>
          <w:sz w:val="20"/>
          <w:szCs w:val="20"/>
        </w:rPr>
      </w:pPr>
    </w:p>
    <w:p w14:paraId="6A83BB54" w14:textId="77777777" w:rsidR="00B159D3" w:rsidRPr="00824E21" w:rsidRDefault="00B159D3" w:rsidP="001B2966">
      <w:pPr>
        <w:spacing w:line="360" w:lineRule="auto"/>
        <w:rPr>
          <w:rFonts w:asciiTheme="majorHAnsi" w:hAnsiTheme="majorHAnsi" w:cstheme="majorHAnsi"/>
          <w:color w:val="000000"/>
          <w:sz w:val="20"/>
          <w:szCs w:val="20"/>
        </w:rPr>
      </w:pPr>
    </w:p>
    <w:p w14:paraId="0178A57D" w14:textId="77777777" w:rsidR="00B159D3" w:rsidRPr="00824E21" w:rsidRDefault="00B159D3" w:rsidP="001B2966">
      <w:pPr>
        <w:spacing w:line="360" w:lineRule="auto"/>
        <w:rPr>
          <w:rFonts w:asciiTheme="majorHAnsi" w:hAnsiTheme="majorHAnsi" w:cstheme="majorHAnsi"/>
          <w:color w:val="000000"/>
          <w:sz w:val="20"/>
          <w:szCs w:val="20"/>
        </w:rPr>
      </w:pPr>
    </w:p>
    <w:p w14:paraId="203913B3" w14:textId="77777777" w:rsidR="00B159D3" w:rsidRPr="00824E21" w:rsidRDefault="00B159D3">
      <w:pP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br w:type="page"/>
      </w:r>
    </w:p>
    <w:p w14:paraId="747685DD" w14:textId="0BA4CFA8" w:rsidR="00B159D3" w:rsidRPr="00AB4825" w:rsidRDefault="00F30BC1" w:rsidP="00B159D3">
      <w:pPr>
        <w:spacing w:line="360" w:lineRule="auto"/>
        <w:rPr>
          <w:rFonts w:asciiTheme="majorHAnsi" w:hAnsiTheme="majorHAnsi" w:cstheme="majorHAnsi"/>
          <w:i/>
          <w:iCs/>
          <w:color w:val="000000"/>
          <w:lang w:val="en-US"/>
        </w:rPr>
      </w:pPr>
      <w:r>
        <w:rPr>
          <w:rFonts w:asciiTheme="majorHAnsi" w:hAnsiTheme="majorHAnsi" w:cstheme="majorHAnsi"/>
          <w:b/>
          <w:bCs/>
          <w:color w:val="000000"/>
          <w:lang w:val="en-US"/>
        </w:rPr>
        <w:lastRenderedPageBreak/>
        <w:t>Table D2</w:t>
      </w:r>
      <w:r>
        <w:rPr>
          <w:rFonts w:asciiTheme="majorHAnsi" w:hAnsiTheme="majorHAnsi" w:cstheme="majorHAnsi"/>
          <w:i/>
          <w:iCs/>
          <w:color w:val="000000"/>
          <w:lang w:val="en-US"/>
        </w:rPr>
        <w:t>. College Concern Items by Sexual Orientation</w:t>
      </w:r>
    </w:p>
    <w:tbl>
      <w:tblPr>
        <w:tblW w:w="5000" w:type="pct"/>
        <w:tblLayout w:type="fixed"/>
        <w:tblLook w:val="0000" w:firstRow="0" w:lastRow="0" w:firstColumn="0" w:lastColumn="0" w:noHBand="0" w:noVBand="0"/>
      </w:tblPr>
      <w:tblGrid>
        <w:gridCol w:w="1974"/>
        <w:gridCol w:w="1266"/>
        <w:gridCol w:w="1620"/>
        <w:gridCol w:w="1620"/>
        <w:gridCol w:w="1620"/>
        <w:gridCol w:w="1620"/>
        <w:gridCol w:w="1620"/>
        <w:gridCol w:w="1620"/>
      </w:tblGrid>
      <w:tr w:rsidR="00B159D3" w:rsidRPr="00824E21" w14:paraId="407B749C" w14:textId="77777777" w:rsidTr="00AB4825">
        <w:tc>
          <w:tcPr>
            <w:tcW w:w="761" w:type="pct"/>
            <w:tcBorders>
              <w:top w:val="single" w:sz="4" w:space="0" w:color="auto"/>
            </w:tcBorders>
            <w:tcMar>
              <w:top w:w="100" w:type="nil"/>
              <w:right w:w="100" w:type="nil"/>
            </w:tcMar>
            <w:vAlign w:val="center"/>
          </w:tcPr>
          <w:p w14:paraId="01FA5AA9"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top w:val="single" w:sz="4" w:space="0" w:color="auto"/>
            </w:tcBorders>
            <w:tcMar>
              <w:top w:w="100" w:type="nil"/>
              <w:right w:w="100" w:type="nil"/>
            </w:tcMar>
            <w:vAlign w:val="center"/>
          </w:tcPr>
          <w:p w14:paraId="7C74C4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Straight/Heterosexual</w:t>
            </w:r>
          </w:p>
        </w:tc>
        <w:tc>
          <w:tcPr>
            <w:tcW w:w="625" w:type="pct"/>
            <w:tcBorders>
              <w:top w:val="single" w:sz="4" w:space="0" w:color="auto"/>
            </w:tcBorders>
            <w:tcMar>
              <w:top w:w="100" w:type="nil"/>
              <w:right w:w="100" w:type="nil"/>
            </w:tcMar>
            <w:vAlign w:val="center"/>
          </w:tcPr>
          <w:p w14:paraId="2694414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Gay or Lesbian</w:t>
            </w:r>
          </w:p>
        </w:tc>
        <w:tc>
          <w:tcPr>
            <w:tcW w:w="625" w:type="pct"/>
            <w:tcBorders>
              <w:top w:val="single" w:sz="4" w:space="0" w:color="auto"/>
            </w:tcBorders>
            <w:tcMar>
              <w:top w:w="100" w:type="nil"/>
              <w:right w:w="100" w:type="nil"/>
            </w:tcMar>
            <w:vAlign w:val="center"/>
          </w:tcPr>
          <w:p w14:paraId="20997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Bisexual/Pansexual/Omnisexual</w:t>
            </w:r>
          </w:p>
        </w:tc>
        <w:tc>
          <w:tcPr>
            <w:tcW w:w="625" w:type="pct"/>
            <w:tcBorders>
              <w:top w:val="single" w:sz="4" w:space="0" w:color="auto"/>
            </w:tcBorders>
            <w:tcMar>
              <w:top w:w="100" w:type="nil"/>
              <w:right w:w="100" w:type="nil"/>
            </w:tcMar>
            <w:vAlign w:val="center"/>
          </w:tcPr>
          <w:p w14:paraId="3AD6A6C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Asexual/Aromantic/Demisexual</w:t>
            </w:r>
          </w:p>
        </w:tc>
        <w:tc>
          <w:tcPr>
            <w:tcW w:w="625" w:type="pct"/>
            <w:tcBorders>
              <w:top w:val="single" w:sz="4" w:space="0" w:color="auto"/>
            </w:tcBorders>
            <w:tcMar>
              <w:top w:w="100" w:type="nil"/>
              <w:right w:w="100" w:type="nil"/>
            </w:tcMar>
            <w:vAlign w:val="center"/>
          </w:tcPr>
          <w:p w14:paraId="57C9B9A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Other/Queer/Questioning</w:t>
            </w:r>
          </w:p>
        </w:tc>
        <w:tc>
          <w:tcPr>
            <w:tcW w:w="625" w:type="pct"/>
            <w:tcBorders>
              <w:top w:val="single" w:sz="4" w:space="0" w:color="auto"/>
            </w:tcBorders>
            <w:tcMar>
              <w:top w:w="100" w:type="nil"/>
              <w:right w:w="100" w:type="nil"/>
            </w:tcMar>
            <w:vAlign w:val="center"/>
          </w:tcPr>
          <w:p w14:paraId="70E3F1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Prefer Not to Say</w:t>
            </w:r>
          </w:p>
        </w:tc>
        <w:tc>
          <w:tcPr>
            <w:tcW w:w="625" w:type="pct"/>
            <w:tcBorders>
              <w:top w:val="single" w:sz="4" w:space="0" w:color="auto"/>
            </w:tcBorders>
            <w:tcMar>
              <w:top w:w="100" w:type="nil"/>
              <w:right w:w="100" w:type="nil"/>
            </w:tcMar>
            <w:vAlign w:val="center"/>
          </w:tcPr>
          <w:p w14:paraId="73B34C1A" w14:textId="77777777" w:rsidR="00B159D3" w:rsidRPr="00824E21" w:rsidRDefault="00B159D3" w:rsidP="00AB4825">
            <w:pPr>
              <w:spacing w:line="360" w:lineRule="auto"/>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Total</w:t>
            </w:r>
          </w:p>
        </w:tc>
      </w:tr>
      <w:tr w:rsidR="00B159D3" w:rsidRPr="00824E21" w14:paraId="7D011DCE" w14:textId="77777777" w:rsidTr="00AB4825">
        <w:tc>
          <w:tcPr>
            <w:tcW w:w="761" w:type="pct"/>
            <w:tcBorders>
              <w:bottom w:val="single" w:sz="4" w:space="0" w:color="auto"/>
            </w:tcBorders>
            <w:tcMar>
              <w:top w:w="100" w:type="nil"/>
              <w:right w:w="100" w:type="nil"/>
            </w:tcMar>
            <w:vAlign w:val="center"/>
          </w:tcPr>
          <w:p w14:paraId="5B35658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2A85CD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6A1A5A7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00CDF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58DC41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4C33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208141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9BCD9E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r>
      <w:tr w:rsidR="00B159D3" w:rsidRPr="00824E21" w14:paraId="422375CC" w14:textId="77777777" w:rsidTr="00AB4825">
        <w:tc>
          <w:tcPr>
            <w:tcW w:w="761" w:type="pct"/>
            <w:tcBorders>
              <w:top w:val="single" w:sz="4" w:space="0" w:color="auto"/>
            </w:tcBorders>
            <w:tcMar>
              <w:top w:w="100" w:type="nil"/>
              <w:right w:w="100" w:type="nil"/>
            </w:tcMar>
            <w:vAlign w:val="center"/>
          </w:tcPr>
          <w:p w14:paraId="2EE157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affording tuition fees</w:t>
            </w:r>
          </w:p>
        </w:tc>
        <w:tc>
          <w:tcPr>
            <w:tcW w:w="488" w:type="pct"/>
            <w:tcBorders>
              <w:top w:val="single" w:sz="4" w:space="0" w:color="auto"/>
            </w:tcBorders>
            <w:tcMar>
              <w:top w:w="100" w:type="nil"/>
              <w:right w:w="100" w:type="nil"/>
            </w:tcMar>
            <w:vAlign w:val="center"/>
          </w:tcPr>
          <w:p w14:paraId="15E016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50BE61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32A0369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475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Borders>
              <w:top w:val="single" w:sz="4" w:space="0" w:color="auto"/>
            </w:tcBorders>
            <w:tcMar>
              <w:top w:w="100" w:type="nil"/>
              <w:right w:w="100" w:type="nil"/>
            </w:tcMar>
            <w:vAlign w:val="center"/>
          </w:tcPr>
          <w:p w14:paraId="7C2856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2.0</w:t>
            </w:r>
          </w:p>
        </w:tc>
        <w:tc>
          <w:tcPr>
            <w:tcW w:w="625" w:type="pct"/>
            <w:tcBorders>
              <w:top w:val="single" w:sz="4" w:space="0" w:color="auto"/>
            </w:tcBorders>
            <w:tcMar>
              <w:top w:w="100" w:type="nil"/>
              <w:right w:w="100" w:type="nil"/>
            </w:tcMar>
            <w:vAlign w:val="center"/>
          </w:tcPr>
          <w:p w14:paraId="327CEEC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7DE12A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r>
      <w:tr w:rsidR="00B159D3" w:rsidRPr="00824E21" w14:paraId="1BA0CF76" w14:textId="77777777" w:rsidTr="00AB4825">
        <w:tc>
          <w:tcPr>
            <w:tcW w:w="761" w:type="pct"/>
            <w:tcMar>
              <w:top w:w="100" w:type="nil"/>
              <w:right w:w="100" w:type="nil"/>
            </w:tcMar>
            <w:vAlign w:val="center"/>
          </w:tcPr>
          <w:p w14:paraId="656AF38A"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30DEC9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583965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CE6463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191F8E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6AACC5B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012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5CB80B9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7957</w:t>
            </w:r>
          </w:p>
        </w:tc>
      </w:tr>
      <w:tr w:rsidR="00B159D3" w:rsidRPr="00824E21" w14:paraId="51CF4BCD" w14:textId="77777777" w:rsidTr="00AB4825">
        <w:tc>
          <w:tcPr>
            <w:tcW w:w="761" w:type="pct"/>
            <w:tcMar>
              <w:top w:w="100" w:type="nil"/>
              <w:right w:w="100" w:type="nil"/>
            </w:tcMar>
            <w:vAlign w:val="center"/>
          </w:tcPr>
          <w:p w14:paraId="0343A4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expenses</w:t>
            </w:r>
          </w:p>
        </w:tc>
        <w:tc>
          <w:tcPr>
            <w:tcW w:w="488" w:type="pct"/>
            <w:tcMar>
              <w:top w:w="100" w:type="nil"/>
              <w:right w:w="100" w:type="nil"/>
            </w:tcMar>
            <w:vAlign w:val="center"/>
          </w:tcPr>
          <w:p w14:paraId="550F884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4FEB28A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B83E6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5E35BB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E5824D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26896B9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0F1A8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r>
      <w:tr w:rsidR="00B159D3" w:rsidRPr="00824E21" w14:paraId="2E07D985" w14:textId="77777777" w:rsidTr="00AB4825">
        <w:tc>
          <w:tcPr>
            <w:tcW w:w="761" w:type="pct"/>
            <w:tcMar>
              <w:top w:w="100" w:type="nil"/>
              <w:right w:w="100" w:type="nil"/>
            </w:tcMar>
            <w:vAlign w:val="center"/>
          </w:tcPr>
          <w:p w14:paraId="189BE10D"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2F156C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63DE9D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6E5DE6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34DFB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01B715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67CF162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E92BA7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7956</w:t>
            </w:r>
          </w:p>
        </w:tc>
      </w:tr>
      <w:tr w:rsidR="00B159D3" w:rsidRPr="00824E21" w14:paraId="1091B19B" w14:textId="77777777" w:rsidTr="00AB4825">
        <w:tc>
          <w:tcPr>
            <w:tcW w:w="761" w:type="pct"/>
            <w:tcMar>
              <w:top w:w="100" w:type="nil"/>
              <w:right w:w="100" w:type="nil"/>
            </w:tcMar>
            <w:vAlign w:val="center"/>
          </w:tcPr>
          <w:p w14:paraId="7E3093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performing well academically</w:t>
            </w:r>
          </w:p>
        </w:tc>
        <w:tc>
          <w:tcPr>
            <w:tcW w:w="488" w:type="pct"/>
            <w:tcMar>
              <w:top w:w="100" w:type="nil"/>
              <w:right w:w="100" w:type="nil"/>
            </w:tcMar>
            <w:vAlign w:val="center"/>
          </w:tcPr>
          <w:p w14:paraId="28A849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0998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1A37E45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D3EA3D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1720FDC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7B365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84A970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r>
      <w:tr w:rsidR="00B159D3" w:rsidRPr="00824E21" w14:paraId="74F7ADB1" w14:textId="77777777" w:rsidTr="00AB4825">
        <w:tc>
          <w:tcPr>
            <w:tcW w:w="761" w:type="pct"/>
            <w:tcMar>
              <w:top w:w="100" w:type="nil"/>
              <w:right w:w="100" w:type="nil"/>
            </w:tcMar>
            <w:vAlign w:val="center"/>
          </w:tcPr>
          <w:p w14:paraId="40573FA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6E31DA4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5171</w:t>
            </w:r>
          </w:p>
        </w:tc>
        <w:tc>
          <w:tcPr>
            <w:tcW w:w="625" w:type="pct"/>
            <w:tcMar>
              <w:top w:w="100" w:type="nil"/>
              <w:right w:w="100" w:type="nil"/>
            </w:tcMar>
            <w:vAlign w:val="center"/>
          </w:tcPr>
          <w:p w14:paraId="098FFC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3D9C6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04A8DA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CDDFA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4ACCDFE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30B6EE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7958</w:t>
            </w:r>
          </w:p>
        </w:tc>
      </w:tr>
      <w:tr w:rsidR="00B159D3" w:rsidRPr="00824E21" w14:paraId="43265EED" w14:textId="77777777" w:rsidTr="00AB4825">
        <w:tc>
          <w:tcPr>
            <w:tcW w:w="761" w:type="pct"/>
            <w:tcMar>
              <w:top w:w="100" w:type="nil"/>
              <w:right w:w="100" w:type="nil"/>
            </w:tcMar>
            <w:vAlign w:val="center"/>
          </w:tcPr>
          <w:p w14:paraId="5CCF4BB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work obligations</w:t>
            </w:r>
          </w:p>
        </w:tc>
        <w:tc>
          <w:tcPr>
            <w:tcW w:w="488" w:type="pct"/>
            <w:tcMar>
              <w:top w:w="100" w:type="nil"/>
              <w:right w:w="100" w:type="nil"/>
            </w:tcMar>
            <w:vAlign w:val="center"/>
          </w:tcPr>
          <w:p w14:paraId="1798CB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CD72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3BD95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4B1C64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1B53F38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EB145F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1D63E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r>
      <w:tr w:rsidR="00B159D3" w:rsidRPr="00824E21" w14:paraId="1B900D8B" w14:textId="77777777" w:rsidTr="00AB4825">
        <w:tc>
          <w:tcPr>
            <w:tcW w:w="761" w:type="pct"/>
            <w:tcMar>
              <w:top w:w="100" w:type="nil"/>
              <w:right w:w="100" w:type="nil"/>
            </w:tcMar>
            <w:vAlign w:val="center"/>
          </w:tcPr>
          <w:p w14:paraId="321476E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622365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798C5B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1898CC0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38D7336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32DCE07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5E9C4FC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2DAE87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7943</w:t>
            </w:r>
          </w:p>
        </w:tc>
      </w:tr>
      <w:tr w:rsidR="00B159D3" w:rsidRPr="00824E21" w14:paraId="5F36D72F" w14:textId="77777777" w:rsidTr="00AB4825">
        <w:tc>
          <w:tcPr>
            <w:tcW w:w="761" w:type="pct"/>
            <w:tcMar>
              <w:top w:w="100" w:type="nil"/>
              <w:right w:w="100" w:type="nil"/>
            </w:tcMar>
            <w:vAlign w:val="center"/>
          </w:tcPr>
          <w:p w14:paraId="0064462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family obligations</w:t>
            </w:r>
          </w:p>
        </w:tc>
        <w:tc>
          <w:tcPr>
            <w:tcW w:w="488" w:type="pct"/>
            <w:tcMar>
              <w:top w:w="100" w:type="nil"/>
              <w:right w:w="100" w:type="nil"/>
            </w:tcMar>
            <w:vAlign w:val="center"/>
          </w:tcPr>
          <w:p w14:paraId="21E3B93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3844EFD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47B1B4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07737C9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74806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7D98A2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917B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16611224" w14:textId="77777777" w:rsidTr="00AB4825">
        <w:tc>
          <w:tcPr>
            <w:tcW w:w="761" w:type="pct"/>
            <w:tcMar>
              <w:top w:w="100" w:type="nil"/>
              <w:right w:w="100" w:type="nil"/>
            </w:tcMar>
            <w:vAlign w:val="center"/>
          </w:tcPr>
          <w:p w14:paraId="55EA009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0D2564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6E8DF69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573ADCF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83CF52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594F2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5E2E516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1F4C6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7941</w:t>
            </w:r>
          </w:p>
        </w:tc>
      </w:tr>
      <w:tr w:rsidR="00B159D3" w:rsidRPr="00824E21" w14:paraId="35C2613A" w14:textId="77777777" w:rsidTr="00AB4825">
        <w:tc>
          <w:tcPr>
            <w:tcW w:w="761" w:type="pct"/>
            <w:tcMar>
              <w:top w:w="100" w:type="nil"/>
              <w:right w:w="100" w:type="nil"/>
            </w:tcMar>
            <w:vAlign w:val="center"/>
          </w:tcPr>
          <w:p w14:paraId="2501AD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lastRenderedPageBreak/>
              <w:t>how worried are you about finding community</w:t>
            </w:r>
          </w:p>
        </w:tc>
        <w:tc>
          <w:tcPr>
            <w:tcW w:w="488" w:type="pct"/>
            <w:tcMar>
              <w:top w:w="100" w:type="nil"/>
              <w:right w:w="100" w:type="nil"/>
            </w:tcMar>
            <w:vAlign w:val="center"/>
          </w:tcPr>
          <w:p w14:paraId="4C5B41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DA56F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A4684F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E67C5A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3E16944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3431D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0DE93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r>
      <w:tr w:rsidR="00B159D3" w:rsidRPr="00824E21" w14:paraId="1D8D15B9" w14:textId="77777777" w:rsidTr="00AB4825">
        <w:tc>
          <w:tcPr>
            <w:tcW w:w="761" w:type="pct"/>
            <w:tcMar>
              <w:top w:w="100" w:type="nil"/>
              <w:right w:w="100" w:type="nil"/>
            </w:tcMar>
            <w:vAlign w:val="center"/>
          </w:tcPr>
          <w:p w14:paraId="7D18BA0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8A63F3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5CD5021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2BF158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27A909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180</w:t>
            </w:r>
          </w:p>
        </w:tc>
        <w:tc>
          <w:tcPr>
            <w:tcW w:w="625" w:type="pct"/>
            <w:tcMar>
              <w:top w:w="100" w:type="nil"/>
              <w:right w:w="100" w:type="nil"/>
            </w:tcMar>
            <w:vAlign w:val="center"/>
          </w:tcPr>
          <w:p w14:paraId="1AE01A4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25DB8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008230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7934</w:t>
            </w:r>
          </w:p>
        </w:tc>
      </w:tr>
      <w:tr w:rsidR="00B159D3" w:rsidRPr="00824E21" w14:paraId="46552CC0" w14:textId="77777777" w:rsidTr="00AB4825">
        <w:tc>
          <w:tcPr>
            <w:tcW w:w="761" w:type="pct"/>
            <w:tcMar>
              <w:top w:w="100" w:type="nil"/>
              <w:right w:w="100" w:type="nil"/>
            </w:tcMar>
            <w:vAlign w:val="center"/>
          </w:tcPr>
          <w:p w14:paraId="488709C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away from home</w:t>
            </w:r>
          </w:p>
        </w:tc>
        <w:tc>
          <w:tcPr>
            <w:tcW w:w="488" w:type="pct"/>
            <w:tcMar>
              <w:top w:w="100" w:type="nil"/>
              <w:right w:w="100" w:type="nil"/>
            </w:tcMar>
            <w:vAlign w:val="center"/>
          </w:tcPr>
          <w:p w14:paraId="7F8F56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8F538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277DB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B34505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60FA42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7BC3605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11535E4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r>
      <w:tr w:rsidR="00B159D3" w:rsidRPr="00824E21" w14:paraId="6F4818C7" w14:textId="77777777" w:rsidTr="00AB4825">
        <w:tc>
          <w:tcPr>
            <w:tcW w:w="761" w:type="pct"/>
            <w:tcMar>
              <w:top w:w="100" w:type="nil"/>
              <w:right w:w="100" w:type="nil"/>
            </w:tcMar>
            <w:vAlign w:val="center"/>
          </w:tcPr>
          <w:p w14:paraId="4CA2A2D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64E94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5169</w:t>
            </w:r>
          </w:p>
        </w:tc>
        <w:tc>
          <w:tcPr>
            <w:tcW w:w="625" w:type="pct"/>
            <w:tcMar>
              <w:top w:w="100" w:type="nil"/>
              <w:right w:w="100" w:type="nil"/>
            </w:tcMar>
            <w:vAlign w:val="center"/>
          </w:tcPr>
          <w:p w14:paraId="5FB650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7047A1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700B0C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408A3DB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126EB8F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CBB0F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7948</w:t>
            </w:r>
          </w:p>
        </w:tc>
      </w:tr>
      <w:tr w:rsidR="00B159D3" w:rsidRPr="00824E21" w14:paraId="57E1F5E4" w14:textId="77777777" w:rsidTr="00AB4825">
        <w:tc>
          <w:tcPr>
            <w:tcW w:w="761" w:type="pct"/>
            <w:tcMar>
              <w:top w:w="100" w:type="nil"/>
              <w:right w:w="100" w:type="nil"/>
            </w:tcMar>
            <w:vAlign w:val="center"/>
          </w:tcPr>
          <w:p w14:paraId="3BEB6F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having adequate support for emotional and mental health needs</w:t>
            </w:r>
          </w:p>
        </w:tc>
        <w:tc>
          <w:tcPr>
            <w:tcW w:w="488" w:type="pct"/>
            <w:tcMar>
              <w:top w:w="100" w:type="nil"/>
              <w:right w:w="100" w:type="nil"/>
            </w:tcMar>
            <w:vAlign w:val="center"/>
          </w:tcPr>
          <w:p w14:paraId="52222A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03C304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B9CC8F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78D6ECB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84531A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18DCA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778C2E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5A3ED395" w14:textId="77777777" w:rsidTr="00AB4825">
        <w:tc>
          <w:tcPr>
            <w:tcW w:w="761" w:type="pct"/>
            <w:tcMar>
              <w:top w:w="100" w:type="nil"/>
              <w:right w:w="100" w:type="nil"/>
            </w:tcMar>
            <w:vAlign w:val="center"/>
          </w:tcPr>
          <w:p w14:paraId="12A3079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367FF6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17BF004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157B15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DE99B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760E93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84C09F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826F98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7944</w:t>
            </w:r>
          </w:p>
        </w:tc>
      </w:tr>
      <w:tr w:rsidR="00B159D3" w:rsidRPr="00824E21" w14:paraId="5546875A" w14:textId="77777777" w:rsidTr="00AB4825">
        <w:tc>
          <w:tcPr>
            <w:tcW w:w="761" w:type="pct"/>
            <w:tcMar>
              <w:top w:w="100" w:type="nil"/>
              <w:right w:w="100" w:type="nil"/>
            </w:tcMar>
            <w:vAlign w:val="center"/>
          </w:tcPr>
          <w:p w14:paraId="3747CF6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gender</w:t>
            </w:r>
          </w:p>
        </w:tc>
        <w:tc>
          <w:tcPr>
            <w:tcW w:w="488" w:type="pct"/>
            <w:tcMar>
              <w:top w:w="100" w:type="nil"/>
              <w:right w:w="100" w:type="nil"/>
            </w:tcMar>
            <w:vAlign w:val="center"/>
          </w:tcPr>
          <w:p w14:paraId="58ED49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2233F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3D4EF5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192AB3D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1642E7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1FB8C9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F0531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0.4</w:t>
            </w:r>
          </w:p>
        </w:tc>
      </w:tr>
      <w:tr w:rsidR="00B159D3" w:rsidRPr="00824E21" w14:paraId="2DCFF0C7" w14:textId="77777777" w:rsidTr="00AB4825">
        <w:tc>
          <w:tcPr>
            <w:tcW w:w="761" w:type="pct"/>
            <w:tcMar>
              <w:top w:w="100" w:type="nil"/>
              <w:right w:w="100" w:type="nil"/>
            </w:tcMar>
            <w:vAlign w:val="center"/>
          </w:tcPr>
          <w:p w14:paraId="0DC3769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EA9521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5157</w:t>
            </w:r>
          </w:p>
        </w:tc>
        <w:tc>
          <w:tcPr>
            <w:tcW w:w="625" w:type="pct"/>
            <w:tcMar>
              <w:top w:w="100" w:type="nil"/>
              <w:right w:w="100" w:type="nil"/>
            </w:tcMar>
            <w:vAlign w:val="center"/>
          </w:tcPr>
          <w:p w14:paraId="60BF81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DE0344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0D41753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33B4D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351ACA0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5FC544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7886</w:t>
            </w:r>
          </w:p>
        </w:tc>
      </w:tr>
      <w:tr w:rsidR="00B159D3" w:rsidRPr="00824E21" w14:paraId="0ED3B68D" w14:textId="77777777" w:rsidTr="00AB4825">
        <w:tc>
          <w:tcPr>
            <w:tcW w:w="761" w:type="pct"/>
            <w:tcMar>
              <w:top w:w="100" w:type="nil"/>
              <w:right w:w="100" w:type="nil"/>
            </w:tcMar>
            <w:vAlign w:val="center"/>
          </w:tcPr>
          <w:p w14:paraId="1D54BE2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sexual orientation</w:t>
            </w:r>
          </w:p>
        </w:tc>
        <w:tc>
          <w:tcPr>
            <w:tcW w:w="488" w:type="pct"/>
            <w:tcMar>
              <w:top w:w="100" w:type="nil"/>
              <w:right w:w="100" w:type="nil"/>
            </w:tcMar>
            <w:vAlign w:val="center"/>
          </w:tcPr>
          <w:p w14:paraId="571009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0.1</w:t>
            </w:r>
          </w:p>
        </w:tc>
        <w:tc>
          <w:tcPr>
            <w:tcW w:w="625" w:type="pct"/>
            <w:tcMar>
              <w:top w:w="100" w:type="nil"/>
              <w:right w:w="100" w:type="nil"/>
            </w:tcMar>
            <w:vAlign w:val="center"/>
          </w:tcPr>
          <w:p w14:paraId="1D5309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1598C72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211D30D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77E82DE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2135E9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2C56890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r>
      <w:tr w:rsidR="00B159D3" w:rsidRPr="00824E21" w14:paraId="30DF365D" w14:textId="77777777" w:rsidTr="00AB4825">
        <w:tc>
          <w:tcPr>
            <w:tcW w:w="761" w:type="pct"/>
            <w:tcMar>
              <w:top w:w="100" w:type="nil"/>
              <w:right w:w="100" w:type="nil"/>
            </w:tcMar>
            <w:vAlign w:val="center"/>
          </w:tcPr>
          <w:p w14:paraId="6B0EED00"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6A718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5147</w:t>
            </w:r>
          </w:p>
        </w:tc>
        <w:tc>
          <w:tcPr>
            <w:tcW w:w="625" w:type="pct"/>
            <w:tcMar>
              <w:top w:w="100" w:type="nil"/>
              <w:right w:w="100" w:type="nil"/>
            </w:tcMar>
            <w:vAlign w:val="center"/>
          </w:tcPr>
          <w:p w14:paraId="4364D2B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0DF501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1138</w:t>
            </w:r>
          </w:p>
        </w:tc>
        <w:tc>
          <w:tcPr>
            <w:tcW w:w="625" w:type="pct"/>
            <w:tcMar>
              <w:top w:w="100" w:type="nil"/>
              <w:right w:w="100" w:type="nil"/>
            </w:tcMar>
            <w:vAlign w:val="center"/>
          </w:tcPr>
          <w:p w14:paraId="0B4E87C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EBC3BD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76501F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504</w:t>
            </w:r>
          </w:p>
        </w:tc>
        <w:tc>
          <w:tcPr>
            <w:tcW w:w="625" w:type="pct"/>
            <w:tcMar>
              <w:top w:w="100" w:type="nil"/>
              <w:right w:w="100" w:type="nil"/>
            </w:tcMar>
            <w:vAlign w:val="center"/>
          </w:tcPr>
          <w:p w14:paraId="7AE7FCE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7876</w:t>
            </w:r>
          </w:p>
        </w:tc>
      </w:tr>
      <w:tr w:rsidR="00B159D3" w:rsidRPr="00824E21" w14:paraId="4F4CA994" w14:textId="77777777" w:rsidTr="00AB4825">
        <w:tc>
          <w:tcPr>
            <w:tcW w:w="761" w:type="pct"/>
            <w:tcMar>
              <w:top w:w="100" w:type="nil"/>
              <w:right w:w="100" w:type="nil"/>
            </w:tcMar>
            <w:vAlign w:val="center"/>
          </w:tcPr>
          <w:p w14:paraId="7E356A0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race</w:t>
            </w:r>
          </w:p>
        </w:tc>
        <w:tc>
          <w:tcPr>
            <w:tcW w:w="488" w:type="pct"/>
            <w:tcMar>
              <w:top w:w="100" w:type="nil"/>
              <w:right w:w="100" w:type="nil"/>
            </w:tcMar>
            <w:vAlign w:val="center"/>
          </w:tcPr>
          <w:p w14:paraId="623132A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c>
          <w:tcPr>
            <w:tcW w:w="625" w:type="pct"/>
            <w:tcMar>
              <w:top w:w="100" w:type="nil"/>
              <w:right w:w="100" w:type="nil"/>
            </w:tcMar>
            <w:vAlign w:val="center"/>
          </w:tcPr>
          <w:p w14:paraId="147146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589748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3EBA342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086EC12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1BF42BD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141A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r>
      <w:tr w:rsidR="00B159D3" w:rsidRPr="00824E21" w14:paraId="6B00A8CF" w14:textId="77777777" w:rsidTr="00AB4825">
        <w:tc>
          <w:tcPr>
            <w:tcW w:w="761" w:type="pct"/>
            <w:tcMar>
              <w:top w:w="100" w:type="nil"/>
              <w:right w:w="100" w:type="nil"/>
            </w:tcMar>
            <w:vAlign w:val="center"/>
          </w:tcPr>
          <w:p w14:paraId="4B127D04"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F52D72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5164</w:t>
            </w:r>
          </w:p>
        </w:tc>
        <w:tc>
          <w:tcPr>
            <w:tcW w:w="625" w:type="pct"/>
            <w:tcMar>
              <w:top w:w="100" w:type="nil"/>
              <w:right w:w="100" w:type="nil"/>
            </w:tcMar>
            <w:vAlign w:val="center"/>
          </w:tcPr>
          <w:p w14:paraId="4813A3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348158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Mar>
              <w:top w:w="100" w:type="nil"/>
              <w:right w:w="100" w:type="nil"/>
            </w:tcMar>
            <w:vAlign w:val="center"/>
          </w:tcPr>
          <w:p w14:paraId="612583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772248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7942F1E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1846B0F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7895</w:t>
            </w:r>
          </w:p>
        </w:tc>
      </w:tr>
      <w:tr w:rsidR="00B159D3" w:rsidRPr="00824E21" w14:paraId="2E157C04" w14:textId="77777777" w:rsidTr="00D720F2">
        <w:tc>
          <w:tcPr>
            <w:tcW w:w="761" w:type="pct"/>
            <w:tcMar>
              <w:top w:w="100" w:type="nil"/>
              <w:right w:w="100" w:type="nil"/>
            </w:tcMar>
            <w:vAlign w:val="center"/>
          </w:tcPr>
          <w:p w14:paraId="1358F1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religion</w:t>
            </w:r>
          </w:p>
        </w:tc>
        <w:tc>
          <w:tcPr>
            <w:tcW w:w="488" w:type="pct"/>
            <w:tcMar>
              <w:top w:w="100" w:type="nil"/>
              <w:right w:w="100" w:type="nil"/>
            </w:tcMar>
            <w:vAlign w:val="center"/>
          </w:tcPr>
          <w:p w14:paraId="562E0A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3F5900B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547E7A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1331356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61DAFF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868D6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EAC1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r>
      <w:tr w:rsidR="00B159D3" w:rsidRPr="00824E21" w14:paraId="5EFB1707" w14:textId="77777777" w:rsidTr="00D720F2">
        <w:tc>
          <w:tcPr>
            <w:tcW w:w="761" w:type="pct"/>
            <w:tcBorders>
              <w:bottom w:val="single" w:sz="4" w:space="0" w:color="auto"/>
            </w:tcBorders>
            <w:tcMar>
              <w:top w:w="100" w:type="nil"/>
              <w:right w:w="100" w:type="nil"/>
            </w:tcMar>
            <w:vAlign w:val="center"/>
          </w:tcPr>
          <w:p w14:paraId="094381B2"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7DD32DC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5158</w:t>
            </w:r>
          </w:p>
        </w:tc>
        <w:tc>
          <w:tcPr>
            <w:tcW w:w="625" w:type="pct"/>
            <w:tcBorders>
              <w:bottom w:val="single" w:sz="4" w:space="0" w:color="auto"/>
            </w:tcBorders>
            <w:tcMar>
              <w:top w:w="100" w:type="nil"/>
              <w:right w:w="100" w:type="nil"/>
            </w:tcMar>
            <w:vAlign w:val="center"/>
          </w:tcPr>
          <w:p w14:paraId="29901A4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Borders>
              <w:bottom w:val="single" w:sz="4" w:space="0" w:color="auto"/>
            </w:tcBorders>
            <w:tcMar>
              <w:top w:w="100" w:type="nil"/>
              <w:right w:w="100" w:type="nil"/>
            </w:tcMar>
            <w:vAlign w:val="center"/>
          </w:tcPr>
          <w:p w14:paraId="184C56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Borders>
              <w:bottom w:val="single" w:sz="4" w:space="0" w:color="auto"/>
            </w:tcBorders>
            <w:tcMar>
              <w:top w:w="100" w:type="nil"/>
              <w:right w:w="100" w:type="nil"/>
            </w:tcMar>
            <w:vAlign w:val="center"/>
          </w:tcPr>
          <w:p w14:paraId="43A4339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Borders>
              <w:bottom w:val="single" w:sz="4" w:space="0" w:color="auto"/>
            </w:tcBorders>
            <w:tcMar>
              <w:top w:w="100" w:type="nil"/>
              <w:right w:w="100" w:type="nil"/>
            </w:tcMar>
            <w:vAlign w:val="center"/>
          </w:tcPr>
          <w:p w14:paraId="0D5CA85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Borders>
              <w:bottom w:val="single" w:sz="4" w:space="0" w:color="auto"/>
            </w:tcBorders>
            <w:tcMar>
              <w:top w:w="100" w:type="nil"/>
              <w:right w:w="100" w:type="nil"/>
            </w:tcMar>
            <w:vAlign w:val="center"/>
          </w:tcPr>
          <w:p w14:paraId="36B2BB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Borders>
              <w:bottom w:val="single" w:sz="4" w:space="0" w:color="auto"/>
            </w:tcBorders>
            <w:tcMar>
              <w:top w:w="100" w:type="nil"/>
              <w:right w:w="100" w:type="nil"/>
            </w:tcMar>
            <w:vAlign w:val="center"/>
          </w:tcPr>
          <w:p w14:paraId="01D838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7891</w:t>
            </w:r>
          </w:p>
        </w:tc>
      </w:tr>
    </w:tbl>
    <w:p w14:paraId="3A19E765" w14:textId="77777777" w:rsidR="00B159D3" w:rsidRPr="00824E21" w:rsidRDefault="00B159D3" w:rsidP="00B159D3">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402016B2" w14:textId="3201B844" w:rsidR="001112D6" w:rsidRPr="00824E21" w:rsidRDefault="001112D6"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E</w:t>
      </w:r>
    </w:p>
    <w:p w14:paraId="785FD5D5" w14:textId="295F0D9E" w:rsidR="001112D6" w:rsidRPr="00824E21" w:rsidRDefault="006C73E7" w:rsidP="009C5B1D">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w:t>
      </w:r>
      <w:r>
        <w:rPr>
          <w:rFonts w:asciiTheme="majorHAnsi" w:hAnsiTheme="majorHAnsi" w:cstheme="majorHAnsi"/>
          <w:i/>
          <w:iCs/>
        </w:rPr>
        <w:t xml:space="preserve">Qualitative Response </w:t>
      </w:r>
      <w:r>
        <w:rPr>
          <w:rFonts w:asciiTheme="majorHAnsi" w:hAnsiTheme="majorHAnsi" w:cstheme="majorHAnsi"/>
          <w:i/>
          <w:iCs/>
          <w:color w:val="000000"/>
          <w:lang w:val="en"/>
        </w:rPr>
        <w:t xml:space="preserve">Participants (N = 346), </w:t>
      </w:r>
      <w:commentRangeStart w:id="98"/>
      <w:r>
        <w:rPr>
          <w:rFonts w:asciiTheme="majorHAnsi" w:hAnsiTheme="majorHAnsi" w:cstheme="majorHAnsi"/>
          <w:i/>
          <w:iCs/>
          <w:color w:val="000000"/>
          <w:lang w:val="en"/>
        </w:rPr>
        <w:t>2023</w:t>
      </w:r>
      <w:commentRangeEnd w:id="98"/>
      <w:r w:rsidRPr="00824E21">
        <w:rPr>
          <w:rStyle w:val="CommentReference"/>
          <w:rFonts w:asciiTheme="majorHAnsi" w:hAnsiTheme="majorHAnsi" w:cstheme="majorHAnsi"/>
          <w:b/>
          <w:bCs/>
          <w:color w:val="000000"/>
          <w:sz w:val="24"/>
          <w:szCs w:val="24"/>
        </w:rPr>
        <w:commentReference w:id="98"/>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White/non-Hispanic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24.9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bl>
    <w:p w14:paraId="7F70461E" w14:textId="77777777" w:rsidR="001112D6" w:rsidRPr="00824E21" w:rsidRDefault="001112D6" w:rsidP="001B2966">
      <w:pPr>
        <w:spacing w:line="360" w:lineRule="auto"/>
        <w:rPr>
          <w:rFonts w:asciiTheme="majorHAnsi" w:hAnsiTheme="majorHAnsi" w:cstheme="majorHAnsi"/>
        </w:rPr>
      </w:pPr>
    </w:p>
    <w:p w14:paraId="39F70490" w14:textId="539796FB" w:rsidR="00230D0C" w:rsidRPr="00824E21" w:rsidRDefault="00230D0C">
      <w:pPr>
        <w:rPr>
          <w:rFonts w:asciiTheme="majorHAnsi" w:hAnsiTheme="majorHAnsi" w:cstheme="majorHAnsi"/>
        </w:rPr>
      </w:pPr>
      <w:r>
        <w:rPr>
          <w:rFonts w:asciiTheme="majorHAnsi" w:hAnsiTheme="majorHAnsi" w:cstheme="majorHAnsi"/>
        </w:rPr>
        <w:br w:type="page"/>
      </w:r>
    </w:p>
    <w:p w14:paraId="798803A1" w14:textId="33E3FC5B" w:rsidR="00E97A5A" w:rsidRPr="00824E21" w:rsidRDefault="00230D0C" w:rsidP="0015476A">
      <w:pPr>
        <w:spacing w:line="360" w:lineRule="auto"/>
        <w:jc w:val="center"/>
        <w:rPr>
          <w:rFonts w:asciiTheme="majorHAnsi" w:hAnsiTheme="majorHAnsi" w:cstheme="majorHAnsi"/>
          <w:b/>
          <w:bCs/>
        </w:rPr>
      </w:pPr>
      <w:r>
        <w:rPr>
          <w:rFonts w:asciiTheme="majorHAnsi" w:hAnsiTheme="majorHAnsi" w:cstheme="majorHAnsi"/>
          <w:b/>
          <w:bCs/>
        </w:rPr>
        <w:lastRenderedPageBreak/>
        <w:t>Appendix F: High School Experience by Sexual Orientation Robustness</w:t>
      </w:r>
    </w:p>
    <w:p w14:paraId="5A033E06" w14:textId="77777777" w:rsidR="00BB074D" w:rsidRPr="00824E21" w:rsidRDefault="00BB074D" w:rsidP="00342026">
      <w:pPr>
        <w:spacing w:line="360" w:lineRule="auto"/>
        <w:rPr>
          <w:rFonts w:asciiTheme="majorHAnsi" w:hAnsiTheme="majorHAnsi" w:cstheme="majorHAnsi"/>
          <w:b/>
          <w:bCs/>
        </w:rPr>
      </w:pPr>
    </w:p>
    <w:p w14:paraId="43C57894" w14:textId="7BD33091" w:rsidR="00BB074D" w:rsidRPr="00D720F2" w:rsidRDefault="00BB074D" w:rsidP="00342026">
      <w:pPr>
        <w:spacing w:line="360" w:lineRule="auto"/>
        <w:rPr>
          <w:rFonts w:asciiTheme="majorHAnsi" w:hAnsiTheme="majorHAnsi" w:cstheme="majorHAnsi"/>
        </w:rPr>
      </w:pPr>
      <w:r>
        <w:rPr>
          <w:rFonts w:asciiTheme="majorHAnsi" w:hAnsiTheme="majorHAnsi" w:cstheme="majorHAnsi"/>
          <w:i/>
          <w:iCs/>
        </w:rPr>
        <w:t>Regression of High School Experience Index on Sexual Orientation</w:t>
      </w:r>
    </w:p>
    <w:p w14:paraId="256FB4A3" w14:textId="4BE24D8A" w:rsidR="00342026" w:rsidRPr="00824E21" w:rsidRDefault="00342026" w:rsidP="00342026">
      <w:pPr>
        <w:spacing w:line="360" w:lineRule="auto"/>
        <w:rPr>
          <w:rFonts w:asciiTheme="majorHAnsi" w:hAnsiTheme="majorHAnsi" w:cstheme="majorHAnsi"/>
          <w:b/>
          <w:bCs/>
        </w:rPr>
      </w:pPr>
      <w:r>
        <w:rPr>
          <w:rFonts w:asciiTheme="majorHAnsi" w:hAnsiTheme="majorHAnsi" w:cstheme="majorHAnsi"/>
          <w:b/>
          <w:bCs/>
          <w:noProof/>
        </w:rPr>
        <w:drawing>
          <wp:inline distT="0" distB="0" distL="0" distR="0" wp14:anchorId="6C235EF2" wp14:editId="564FB55D">
            <wp:extent cx="5033099" cy="3657600"/>
            <wp:effectExtent l="0" t="0" r="0" b="0"/>
            <wp:docPr id="1293435364" name="Picture 4"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  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0F8BCF" w14:textId="78A61A70" w:rsidR="00342026" w:rsidRPr="00824E21" w:rsidRDefault="00342026" w:rsidP="0034202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For the model controlling for demographics (race/ethnicity and parental level of education) and sex assigned at birth, n = 7412. The lines indicate 95 percent confidence intervals while the sample frequency and mean index of each sexual orientation are reported in parentheses. The vertical line at 0 represents the coefficient for the reference group (straight/heterosexual).</w:t>
      </w:r>
    </w:p>
    <w:p w14:paraId="25DEF869" w14:textId="77777777" w:rsidR="00342026" w:rsidRPr="00D720F2" w:rsidRDefault="00342026" w:rsidP="00342026">
      <w:pPr>
        <w:spacing w:line="360" w:lineRule="auto"/>
        <w:rPr>
          <w:rFonts w:asciiTheme="majorHAnsi" w:hAnsiTheme="majorHAnsi" w:cstheme="majorHAnsi"/>
          <w:b/>
          <w:bCs/>
        </w:rPr>
      </w:pPr>
    </w:p>
    <w:p w14:paraId="25A808ED" w14:textId="77777777" w:rsidR="00DA5179" w:rsidRPr="00824E21" w:rsidRDefault="00DA5179">
      <w:pPr>
        <w:rPr>
          <w:rFonts w:asciiTheme="majorHAnsi" w:hAnsiTheme="majorHAnsi" w:cstheme="majorHAnsi"/>
          <w:b/>
          <w:bCs/>
        </w:rPr>
      </w:pPr>
      <w:r>
        <w:rPr>
          <w:rFonts w:asciiTheme="majorHAnsi" w:hAnsiTheme="majorHAnsi" w:cstheme="majorHAnsi"/>
          <w:b/>
          <w:bCs/>
        </w:rPr>
        <w:br w:type="page"/>
      </w:r>
    </w:p>
    <w:p w14:paraId="3111336A" w14:textId="0EBD3D50" w:rsidR="00DA5179" w:rsidRPr="00824E21" w:rsidRDefault="00DA5179"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G: College Worries by Sexual Orientation Robustness</w:t>
      </w:r>
    </w:p>
    <w:p w14:paraId="3F53BFFA" w14:textId="0EAE657D" w:rsidR="00230D0C" w:rsidRPr="00D720F2" w:rsidRDefault="009820F8" w:rsidP="001B2966">
      <w:pPr>
        <w:spacing w:line="360" w:lineRule="auto"/>
        <w:rPr>
          <w:rFonts w:asciiTheme="majorHAnsi" w:hAnsiTheme="majorHAnsi" w:cstheme="majorHAnsi"/>
          <w:b/>
          <w:bCs/>
        </w:rPr>
      </w:pPr>
      <w:r>
        <w:rPr>
          <w:rFonts w:asciiTheme="majorHAnsi" w:hAnsiTheme="majorHAnsi" w:cstheme="majorHAnsi"/>
          <w:b/>
          <w:bCs/>
        </w:rPr>
        <w:t>Figure G1</w:t>
      </w:r>
    </w:p>
    <w:p w14:paraId="213A942C" w14:textId="73970B7D" w:rsidR="009820F8" w:rsidRPr="00824E21" w:rsidRDefault="009820F8" w:rsidP="001B2966">
      <w:pPr>
        <w:spacing w:line="360" w:lineRule="auto"/>
        <w:rPr>
          <w:rFonts w:asciiTheme="majorHAnsi" w:hAnsiTheme="majorHAnsi" w:cstheme="majorHAnsi"/>
        </w:rPr>
      </w:pPr>
      <w:r>
        <w:rPr>
          <w:rFonts w:asciiTheme="majorHAnsi" w:hAnsiTheme="majorHAnsi" w:cstheme="majorHAnsi"/>
          <w:i/>
          <w:iCs/>
        </w:rPr>
        <w:t>Regression of Composite Index for General College Worries on Sexual Orientation</w:t>
      </w:r>
    </w:p>
    <w:p w14:paraId="4122C637"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0A89EDDA" wp14:editId="57F4683C">
            <wp:extent cx="5033099" cy="3657600"/>
            <wp:effectExtent l="0" t="0" r="0" b="0"/>
            <wp:docPr id="2031207440" name="Picture 1"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  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735C3A46" w14:textId="459C7D05" w:rsidR="0080255B" w:rsidRPr="00824E21" w:rsidRDefault="0080255B" w:rsidP="0080255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4F7A90B4" w14:textId="77777777" w:rsidR="00230D0C" w:rsidRPr="00824E21" w:rsidRDefault="00230D0C" w:rsidP="001B2966">
      <w:pPr>
        <w:spacing w:line="360" w:lineRule="auto"/>
        <w:rPr>
          <w:rFonts w:asciiTheme="majorHAnsi" w:hAnsiTheme="majorHAnsi" w:cstheme="majorHAnsi"/>
        </w:rPr>
      </w:pPr>
    </w:p>
    <w:p w14:paraId="4A2F5B31" w14:textId="77777777" w:rsidR="00C340FD" w:rsidRPr="00824E21" w:rsidRDefault="00C340FD" w:rsidP="00C340FD">
      <w:pPr>
        <w:spacing w:line="360" w:lineRule="auto"/>
        <w:rPr>
          <w:rFonts w:asciiTheme="majorHAnsi" w:hAnsiTheme="majorHAnsi" w:cstheme="majorHAnsi"/>
          <w:b/>
          <w:bCs/>
        </w:rPr>
      </w:pPr>
    </w:p>
    <w:p w14:paraId="637BBBD1" w14:textId="77777777" w:rsidR="00C340FD" w:rsidRPr="00824E21" w:rsidRDefault="00C340FD" w:rsidP="00C340FD">
      <w:pPr>
        <w:spacing w:line="360" w:lineRule="auto"/>
        <w:rPr>
          <w:rFonts w:asciiTheme="majorHAnsi" w:hAnsiTheme="majorHAnsi" w:cstheme="majorHAnsi"/>
          <w:b/>
          <w:bCs/>
        </w:rPr>
      </w:pPr>
    </w:p>
    <w:p w14:paraId="084D2382" w14:textId="77777777" w:rsidR="00C340FD" w:rsidRPr="00824E21" w:rsidRDefault="00C340FD" w:rsidP="00C340FD">
      <w:pPr>
        <w:spacing w:line="360" w:lineRule="auto"/>
        <w:rPr>
          <w:rFonts w:asciiTheme="majorHAnsi" w:hAnsiTheme="majorHAnsi" w:cstheme="majorHAnsi"/>
          <w:b/>
          <w:bCs/>
        </w:rPr>
      </w:pPr>
    </w:p>
    <w:p w14:paraId="330AFD32" w14:textId="77777777" w:rsidR="00C340FD" w:rsidRPr="00824E21" w:rsidRDefault="00C340FD" w:rsidP="00C340FD">
      <w:pPr>
        <w:spacing w:line="360" w:lineRule="auto"/>
        <w:rPr>
          <w:rFonts w:asciiTheme="majorHAnsi" w:hAnsiTheme="majorHAnsi" w:cstheme="majorHAnsi"/>
          <w:b/>
          <w:bCs/>
        </w:rPr>
      </w:pPr>
    </w:p>
    <w:p w14:paraId="66B47A05" w14:textId="77777777" w:rsidR="00C340FD" w:rsidRPr="00824E21" w:rsidRDefault="00C340FD" w:rsidP="00C340FD">
      <w:pPr>
        <w:spacing w:line="360" w:lineRule="auto"/>
        <w:rPr>
          <w:rFonts w:asciiTheme="majorHAnsi" w:hAnsiTheme="majorHAnsi" w:cstheme="majorHAnsi"/>
          <w:b/>
          <w:bCs/>
        </w:rPr>
      </w:pPr>
    </w:p>
    <w:p w14:paraId="61D7C9F2" w14:textId="77777777" w:rsidR="00C340FD" w:rsidRPr="00824E21" w:rsidRDefault="00C340FD" w:rsidP="00C340FD">
      <w:pPr>
        <w:spacing w:line="360" w:lineRule="auto"/>
        <w:rPr>
          <w:rFonts w:asciiTheme="majorHAnsi" w:hAnsiTheme="majorHAnsi" w:cstheme="majorHAnsi"/>
          <w:b/>
          <w:bCs/>
        </w:rPr>
      </w:pPr>
    </w:p>
    <w:p w14:paraId="1B868EEE" w14:textId="77777777" w:rsidR="00C340FD" w:rsidRPr="00824E21" w:rsidRDefault="00C340FD" w:rsidP="00C340FD">
      <w:pPr>
        <w:spacing w:line="360" w:lineRule="auto"/>
        <w:rPr>
          <w:rFonts w:asciiTheme="majorHAnsi" w:hAnsiTheme="majorHAnsi" w:cstheme="majorHAnsi"/>
          <w:b/>
          <w:bCs/>
        </w:rPr>
      </w:pPr>
    </w:p>
    <w:p w14:paraId="2719FF29" w14:textId="77777777" w:rsidR="00C340FD" w:rsidRPr="00824E21" w:rsidRDefault="00C340FD" w:rsidP="00C340FD">
      <w:pPr>
        <w:spacing w:line="360" w:lineRule="auto"/>
        <w:rPr>
          <w:rFonts w:asciiTheme="majorHAnsi" w:hAnsiTheme="majorHAnsi" w:cstheme="majorHAnsi"/>
          <w:b/>
          <w:bCs/>
        </w:rPr>
      </w:pPr>
    </w:p>
    <w:p w14:paraId="141174CD" w14:textId="77777777" w:rsidR="00C340FD" w:rsidRPr="00824E21" w:rsidRDefault="00C340FD" w:rsidP="00C340FD">
      <w:pPr>
        <w:spacing w:line="360" w:lineRule="auto"/>
        <w:rPr>
          <w:rFonts w:asciiTheme="majorHAnsi" w:hAnsiTheme="majorHAnsi" w:cstheme="majorHAnsi"/>
          <w:b/>
          <w:bCs/>
        </w:rPr>
      </w:pPr>
    </w:p>
    <w:p w14:paraId="449FFC25" w14:textId="2CA28CD6" w:rsidR="00C340FD" w:rsidRPr="00824E21" w:rsidRDefault="00C340FD" w:rsidP="00C340FD">
      <w:pPr>
        <w:spacing w:line="360" w:lineRule="auto"/>
        <w:rPr>
          <w:rFonts w:asciiTheme="majorHAnsi" w:hAnsiTheme="majorHAnsi" w:cstheme="majorHAnsi"/>
          <w:b/>
          <w:bCs/>
        </w:rPr>
      </w:pPr>
      <w:r>
        <w:rPr>
          <w:rFonts w:asciiTheme="majorHAnsi" w:hAnsiTheme="majorHAnsi" w:cstheme="majorHAnsi"/>
          <w:b/>
          <w:bCs/>
        </w:rPr>
        <w:lastRenderedPageBreak/>
        <w:t>Figure G2</w:t>
      </w:r>
    </w:p>
    <w:p w14:paraId="4898E571" w14:textId="4B9F8155" w:rsidR="00C340FD" w:rsidRPr="00824E21" w:rsidRDefault="00C340FD" w:rsidP="00C340FD">
      <w:pPr>
        <w:spacing w:line="360" w:lineRule="auto"/>
        <w:rPr>
          <w:rFonts w:asciiTheme="majorHAnsi" w:hAnsiTheme="majorHAnsi" w:cstheme="majorHAnsi"/>
        </w:rPr>
      </w:pPr>
      <w:r>
        <w:rPr>
          <w:rFonts w:asciiTheme="majorHAnsi" w:hAnsiTheme="majorHAnsi" w:cstheme="majorHAnsi"/>
          <w:i/>
          <w:iCs/>
        </w:rPr>
        <w:t>Regression of Composite Index for College Worries about Discrimination on Sexual Orientation</w:t>
      </w:r>
    </w:p>
    <w:p w14:paraId="3A65CA76"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62405AD2" wp14:editId="63ABFC21">
            <wp:extent cx="5033099" cy="3657600"/>
            <wp:effectExtent l="0" t="0" r="0" b="0"/>
            <wp:docPr id="973227445" name="Picture 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  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DD8CBE" w14:textId="77777777" w:rsidR="00052592" w:rsidRPr="00824E21" w:rsidRDefault="00052592" w:rsidP="00052592">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341232F3" w14:textId="77777777" w:rsidR="00052592" w:rsidRPr="00824E21" w:rsidRDefault="00052592" w:rsidP="001B2966">
      <w:pPr>
        <w:spacing w:line="360" w:lineRule="auto"/>
        <w:rPr>
          <w:rFonts w:asciiTheme="majorHAnsi" w:hAnsiTheme="majorHAnsi" w:cstheme="majorHAnsi"/>
        </w:rPr>
      </w:pPr>
    </w:p>
    <w:p w14:paraId="22990C6C" w14:textId="77777777" w:rsidR="00052592" w:rsidRPr="00824E21" w:rsidRDefault="00052592">
      <w:pPr>
        <w:rPr>
          <w:rFonts w:asciiTheme="majorHAnsi" w:hAnsiTheme="majorHAnsi" w:cstheme="majorHAnsi"/>
          <w:b/>
          <w:bCs/>
        </w:rPr>
      </w:pPr>
      <w:r>
        <w:rPr>
          <w:rFonts w:asciiTheme="majorHAnsi" w:hAnsiTheme="majorHAnsi" w:cstheme="majorHAnsi"/>
          <w:b/>
          <w:bCs/>
        </w:rPr>
        <w:br w:type="page"/>
      </w:r>
    </w:p>
    <w:p w14:paraId="7B39BE7D" w14:textId="3F66577B" w:rsidR="00052592" w:rsidRPr="00824E21" w:rsidRDefault="00052592" w:rsidP="00052592">
      <w:pPr>
        <w:spacing w:line="360" w:lineRule="auto"/>
        <w:rPr>
          <w:rFonts w:asciiTheme="majorHAnsi" w:hAnsiTheme="majorHAnsi" w:cstheme="majorHAnsi"/>
          <w:b/>
          <w:bCs/>
        </w:rPr>
      </w:pPr>
      <w:r>
        <w:rPr>
          <w:rFonts w:asciiTheme="majorHAnsi" w:hAnsiTheme="majorHAnsi" w:cstheme="majorHAnsi"/>
          <w:b/>
          <w:bCs/>
        </w:rPr>
        <w:lastRenderedPageBreak/>
        <w:t>Figure G3</w:t>
      </w:r>
    </w:p>
    <w:p w14:paraId="714DC249" w14:textId="1326364E" w:rsidR="00052592" w:rsidRPr="00824E21" w:rsidRDefault="00052592" w:rsidP="00052592">
      <w:pPr>
        <w:spacing w:line="360" w:lineRule="auto"/>
        <w:rPr>
          <w:rFonts w:asciiTheme="majorHAnsi" w:hAnsiTheme="majorHAnsi" w:cstheme="majorHAnsi"/>
        </w:rPr>
      </w:pPr>
      <w:r>
        <w:rPr>
          <w:rFonts w:asciiTheme="majorHAnsi" w:hAnsiTheme="majorHAnsi" w:cstheme="majorHAnsi"/>
          <w:i/>
          <w:iCs/>
        </w:rPr>
        <w:t>Regression of Composite Index for College Worries about Financial Burdens on Sexual Orientation</w:t>
      </w:r>
    </w:p>
    <w:p w14:paraId="654CFC44" w14:textId="6137F2AD"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7F8F5A01" wp14:editId="6A554103">
            <wp:extent cx="5033099" cy="3657600"/>
            <wp:effectExtent l="0" t="0" r="0" b="0"/>
            <wp:docPr id="368879184" name="Picture 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  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FC5EF32" w14:textId="77777777" w:rsidR="005C1AB6" w:rsidRPr="00824E21" w:rsidRDefault="005C1AB6" w:rsidP="005C1AB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21C582DE" w14:textId="10ECEC49" w:rsidR="003F4AB9" w:rsidRPr="00824E21" w:rsidRDefault="003F4AB9">
      <w:pPr>
        <w:rPr>
          <w:rFonts w:asciiTheme="majorHAnsi" w:hAnsiTheme="majorHAnsi" w:cstheme="majorHAnsi"/>
        </w:rPr>
      </w:pPr>
      <w:r>
        <w:rPr>
          <w:rFonts w:asciiTheme="majorHAnsi" w:hAnsiTheme="majorHAnsi" w:cstheme="majorHAnsi"/>
        </w:rPr>
        <w:br w:type="page"/>
      </w:r>
    </w:p>
    <w:p w14:paraId="5C185A2D" w14:textId="2B67991D" w:rsidR="00BD732D" w:rsidRDefault="00BD732D"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H: Raw Estimates from Logit Models</w:t>
      </w:r>
    </w:p>
    <w:p w14:paraId="0667A1B2" w14:textId="77777777" w:rsidR="00BD732D" w:rsidRDefault="00BD732D" w:rsidP="003F4AB9">
      <w:pPr>
        <w:spacing w:line="360" w:lineRule="auto"/>
        <w:rPr>
          <w:rFonts w:asciiTheme="majorHAnsi" w:hAnsiTheme="majorHAnsi" w:cstheme="majorHAnsi"/>
          <w:b/>
          <w:bCs/>
        </w:rPr>
      </w:pPr>
    </w:p>
    <w:p w14:paraId="42DE0C53" w14:textId="314797BC" w:rsidR="003F4AB9" w:rsidRPr="00824E21" w:rsidRDefault="003F4AB9" w:rsidP="003F4AB9">
      <w:pPr>
        <w:spacing w:line="360" w:lineRule="auto"/>
        <w:rPr>
          <w:rFonts w:asciiTheme="majorHAnsi" w:hAnsiTheme="majorHAnsi" w:cstheme="majorHAnsi"/>
        </w:rPr>
      </w:pPr>
      <w:r>
        <w:rPr>
          <w:rFonts w:asciiTheme="majorHAnsi" w:hAnsiTheme="majorHAnsi" w:cstheme="majorHAnsi"/>
          <w:b/>
          <w:bCs/>
        </w:rPr>
        <w:t>Table H1</w:t>
      </w:r>
    </w:p>
    <w:p w14:paraId="5B8BB713" w14:textId="77777777" w:rsidR="003F4AB9" w:rsidRPr="00824E21" w:rsidRDefault="003F4AB9" w:rsidP="003F4AB9">
      <w:pPr>
        <w:spacing w:line="360" w:lineRule="auto"/>
        <w:rPr>
          <w:rFonts w:asciiTheme="majorHAnsi" w:hAnsiTheme="majorHAnsi" w:cstheme="majorHAnsi"/>
          <w:i/>
          <w:iCs/>
        </w:rPr>
      </w:pPr>
      <w:r>
        <w:rPr>
          <w:rFonts w:asciiTheme="majorHAnsi" w:hAnsiTheme="majorHAnsi" w:cstheme="majorHAnsi"/>
          <w:i/>
          <w:iCs/>
          <w:highlight w:val="yellow"/>
        </w:rPr>
        <w:t>Logit Models: Intent to Attend 4-Year College,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3F4AB9" w:rsidRPr="00B621E1" w14:paraId="031FD533" w14:textId="77777777" w:rsidTr="00806A88">
        <w:trPr>
          <w:trHeight w:val="285"/>
        </w:trPr>
        <w:tc>
          <w:tcPr>
            <w:tcW w:w="1850" w:type="pct"/>
            <w:tcBorders>
              <w:top w:val="single" w:sz="8" w:space="0" w:color="000000"/>
              <w:bottom w:val="single" w:sz="8" w:space="0" w:color="000000"/>
            </w:tcBorders>
            <w:tcMar>
              <w:top w:w="0" w:type="dxa"/>
              <w:left w:w="100" w:type="dxa"/>
              <w:bottom w:w="0" w:type="dxa"/>
              <w:right w:w="100" w:type="dxa"/>
            </w:tcMar>
          </w:tcPr>
          <w:p w14:paraId="19FB3576"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553EB66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61E757C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3F4AB9" w:rsidRPr="00B621E1" w14:paraId="02699B5F" w14:textId="77777777" w:rsidTr="00806A88">
        <w:trPr>
          <w:trHeight w:val="345"/>
        </w:trPr>
        <w:tc>
          <w:tcPr>
            <w:tcW w:w="1850" w:type="pct"/>
            <w:tcMar>
              <w:top w:w="0" w:type="dxa"/>
              <w:left w:w="100" w:type="dxa"/>
              <w:bottom w:w="0" w:type="dxa"/>
              <w:right w:w="100" w:type="dxa"/>
            </w:tcMar>
            <w:vAlign w:val="center"/>
          </w:tcPr>
          <w:p w14:paraId="7742BFD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Cisgender woman</w:t>
            </w:r>
          </w:p>
        </w:tc>
        <w:tc>
          <w:tcPr>
            <w:tcW w:w="1600" w:type="pct"/>
            <w:tcMar>
              <w:top w:w="0" w:type="dxa"/>
              <w:left w:w="100" w:type="dxa"/>
              <w:bottom w:w="0" w:type="dxa"/>
              <w:right w:w="100" w:type="dxa"/>
            </w:tcMar>
            <w:vAlign w:val="center"/>
          </w:tcPr>
          <w:p w14:paraId="56C5C145"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0.179</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B9446B6"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0.248</w:t>
            </w:r>
            <w:r>
              <w:rPr>
                <w:rFonts w:asciiTheme="majorHAnsi" w:hAnsiTheme="majorHAnsi" w:cstheme="majorHAnsi"/>
                <w:sz w:val="20"/>
                <w:szCs w:val="20"/>
                <w:vertAlign w:val="superscript"/>
              </w:rPr>
              <w:t>***</w:t>
            </w:r>
          </w:p>
        </w:tc>
      </w:tr>
      <w:tr w:rsidR="003F4AB9" w:rsidRPr="00B621E1" w14:paraId="67A7D610" w14:textId="77777777" w:rsidTr="00806A88">
        <w:trPr>
          <w:trHeight w:val="270"/>
        </w:trPr>
        <w:tc>
          <w:tcPr>
            <w:tcW w:w="1850" w:type="pct"/>
            <w:tcMar>
              <w:top w:w="0" w:type="dxa"/>
              <w:left w:w="100" w:type="dxa"/>
              <w:bottom w:w="0" w:type="dxa"/>
              <w:right w:w="100" w:type="dxa"/>
            </w:tcMar>
            <w:vAlign w:val="center"/>
          </w:tcPr>
          <w:p w14:paraId="287A4A87"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89ED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(0.050)</w:t>
            </w:r>
          </w:p>
        </w:tc>
        <w:tc>
          <w:tcPr>
            <w:tcW w:w="1550" w:type="pct"/>
            <w:tcMar>
              <w:top w:w="0" w:type="dxa"/>
              <w:left w:w="100" w:type="dxa"/>
              <w:bottom w:w="0" w:type="dxa"/>
              <w:right w:w="100" w:type="dxa"/>
            </w:tcMar>
            <w:vAlign w:val="center"/>
          </w:tcPr>
          <w:p w14:paraId="246F94A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(0.054)</w:t>
            </w:r>
          </w:p>
        </w:tc>
      </w:tr>
      <w:tr w:rsidR="003F4AB9" w:rsidRPr="00B621E1" w14:paraId="62F7AD98" w14:textId="77777777" w:rsidTr="00806A88">
        <w:trPr>
          <w:trHeight w:val="270"/>
        </w:trPr>
        <w:tc>
          <w:tcPr>
            <w:tcW w:w="1850" w:type="pct"/>
            <w:tcMar>
              <w:top w:w="0" w:type="dxa"/>
              <w:left w:w="100" w:type="dxa"/>
              <w:bottom w:w="0" w:type="dxa"/>
              <w:right w:w="100" w:type="dxa"/>
            </w:tcMar>
            <w:vAlign w:val="center"/>
          </w:tcPr>
          <w:p w14:paraId="2CCC118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BC87F12"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5BF9D05"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FAC85BA" w14:textId="77777777" w:rsidTr="00806A88">
        <w:trPr>
          <w:trHeight w:val="330"/>
        </w:trPr>
        <w:tc>
          <w:tcPr>
            <w:tcW w:w="1850" w:type="pct"/>
            <w:tcMar>
              <w:top w:w="0" w:type="dxa"/>
              <w:left w:w="100" w:type="dxa"/>
              <w:bottom w:w="0" w:type="dxa"/>
              <w:right w:w="100" w:type="dxa"/>
            </w:tcMar>
            <w:vAlign w:val="center"/>
          </w:tcPr>
          <w:p w14:paraId="52CB85D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Transgender man</w:t>
            </w:r>
          </w:p>
        </w:tc>
        <w:tc>
          <w:tcPr>
            <w:tcW w:w="1600" w:type="pct"/>
            <w:tcMar>
              <w:top w:w="0" w:type="dxa"/>
              <w:left w:w="100" w:type="dxa"/>
              <w:bottom w:w="0" w:type="dxa"/>
              <w:right w:w="100" w:type="dxa"/>
            </w:tcMar>
            <w:vAlign w:val="center"/>
          </w:tcPr>
          <w:p w14:paraId="64D9AED1"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0.517</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0E14667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0.393</w:t>
            </w:r>
          </w:p>
        </w:tc>
      </w:tr>
      <w:tr w:rsidR="003F4AB9" w:rsidRPr="00B621E1" w14:paraId="6668DE90" w14:textId="77777777" w:rsidTr="00806A88">
        <w:trPr>
          <w:trHeight w:val="270"/>
        </w:trPr>
        <w:tc>
          <w:tcPr>
            <w:tcW w:w="1850" w:type="pct"/>
            <w:tcMar>
              <w:top w:w="0" w:type="dxa"/>
              <w:left w:w="100" w:type="dxa"/>
              <w:bottom w:w="0" w:type="dxa"/>
              <w:right w:w="100" w:type="dxa"/>
            </w:tcMar>
            <w:vAlign w:val="center"/>
          </w:tcPr>
          <w:p w14:paraId="589312E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1D480134"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(0.285)</w:t>
            </w:r>
          </w:p>
        </w:tc>
        <w:tc>
          <w:tcPr>
            <w:tcW w:w="1550" w:type="pct"/>
            <w:tcMar>
              <w:top w:w="0" w:type="dxa"/>
              <w:left w:w="100" w:type="dxa"/>
              <w:bottom w:w="0" w:type="dxa"/>
              <w:right w:w="100" w:type="dxa"/>
            </w:tcMar>
            <w:vAlign w:val="center"/>
          </w:tcPr>
          <w:p w14:paraId="6E62FBF5"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(0.304)</w:t>
            </w:r>
          </w:p>
        </w:tc>
      </w:tr>
      <w:tr w:rsidR="003F4AB9" w:rsidRPr="00B621E1" w14:paraId="28EE1389" w14:textId="77777777" w:rsidTr="00806A88">
        <w:trPr>
          <w:trHeight w:val="270"/>
        </w:trPr>
        <w:tc>
          <w:tcPr>
            <w:tcW w:w="1850" w:type="pct"/>
            <w:tcMar>
              <w:top w:w="0" w:type="dxa"/>
              <w:left w:w="100" w:type="dxa"/>
              <w:bottom w:w="0" w:type="dxa"/>
              <w:right w:w="100" w:type="dxa"/>
            </w:tcMar>
            <w:vAlign w:val="center"/>
          </w:tcPr>
          <w:p w14:paraId="602F1E31"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A61C84"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21A097D9"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61B96160" w14:textId="77777777" w:rsidTr="00806A88">
        <w:trPr>
          <w:trHeight w:val="270"/>
        </w:trPr>
        <w:tc>
          <w:tcPr>
            <w:tcW w:w="1850" w:type="pct"/>
            <w:tcMar>
              <w:top w:w="0" w:type="dxa"/>
              <w:left w:w="100" w:type="dxa"/>
              <w:bottom w:w="0" w:type="dxa"/>
              <w:right w:w="100" w:type="dxa"/>
            </w:tcMar>
            <w:vAlign w:val="center"/>
          </w:tcPr>
          <w:p w14:paraId="50702EF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Transgender woman</w:t>
            </w:r>
          </w:p>
        </w:tc>
        <w:tc>
          <w:tcPr>
            <w:tcW w:w="1600" w:type="pct"/>
            <w:tcMar>
              <w:top w:w="0" w:type="dxa"/>
              <w:left w:w="100" w:type="dxa"/>
              <w:bottom w:w="0" w:type="dxa"/>
              <w:right w:w="100" w:type="dxa"/>
            </w:tcMar>
            <w:vAlign w:val="center"/>
          </w:tcPr>
          <w:p w14:paraId="7AC7469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0.541</w:t>
            </w:r>
          </w:p>
        </w:tc>
        <w:tc>
          <w:tcPr>
            <w:tcW w:w="1550" w:type="pct"/>
            <w:tcMar>
              <w:top w:w="0" w:type="dxa"/>
              <w:left w:w="100" w:type="dxa"/>
              <w:bottom w:w="0" w:type="dxa"/>
              <w:right w:w="100" w:type="dxa"/>
            </w:tcMar>
            <w:vAlign w:val="center"/>
          </w:tcPr>
          <w:p w14:paraId="49EB44C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0.416</w:t>
            </w:r>
          </w:p>
        </w:tc>
      </w:tr>
      <w:tr w:rsidR="003F4AB9" w:rsidRPr="00B621E1" w14:paraId="233E19DF" w14:textId="77777777" w:rsidTr="00806A88">
        <w:trPr>
          <w:trHeight w:val="270"/>
        </w:trPr>
        <w:tc>
          <w:tcPr>
            <w:tcW w:w="1850" w:type="pct"/>
            <w:tcMar>
              <w:top w:w="0" w:type="dxa"/>
              <w:left w:w="100" w:type="dxa"/>
              <w:bottom w:w="0" w:type="dxa"/>
              <w:right w:w="100" w:type="dxa"/>
            </w:tcMar>
            <w:vAlign w:val="center"/>
          </w:tcPr>
          <w:p w14:paraId="1FD981BC"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52C55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(0.490)</w:t>
            </w:r>
          </w:p>
        </w:tc>
        <w:tc>
          <w:tcPr>
            <w:tcW w:w="1550" w:type="pct"/>
            <w:tcMar>
              <w:top w:w="0" w:type="dxa"/>
              <w:left w:w="100" w:type="dxa"/>
              <w:bottom w:w="0" w:type="dxa"/>
              <w:right w:w="100" w:type="dxa"/>
            </w:tcMar>
            <w:vAlign w:val="center"/>
          </w:tcPr>
          <w:p w14:paraId="60687AD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(0.519)</w:t>
            </w:r>
          </w:p>
        </w:tc>
      </w:tr>
      <w:tr w:rsidR="003F4AB9" w:rsidRPr="00B621E1" w14:paraId="1D63E932" w14:textId="77777777" w:rsidTr="00806A88">
        <w:trPr>
          <w:trHeight w:val="270"/>
        </w:trPr>
        <w:tc>
          <w:tcPr>
            <w:tcW w:w="1850" w:type="pct"/>
            <w:tcMar>
              <w:top w:w="0" w:type="dxa"/>
              <w:left w:w="100" w:type="dxa"/>
              <w:bottom w:w="0" w:type="dxa"/>
              <w:right w:w="100" w:type="dxa"/>
            </w:tcMar>
            <w:vAlign w:val="center"/>
          </w:tcPr>
          <w:p w14:paraId="20735296"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333FE6A"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CB3EBA4"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B47AFE" w14:textId="77777777" w:rsidTr="00806A88">
        <w:trPr>
          <w:trHeight w:val="330"/>
        </w:trPr>
        <w:tc>
          <w:tcPr>
            <w:tcW w:w="1850" w:type="pct"/>
            <w:tcMar>
              <w:top w:w="0" w:type="dxa"/>
              <w:left w:w="100" w:type="dxa"/>
              <w:bottom w:w="0" w:type="dxa"/>
              <w:right w:w="100" w:type="dxa"/>
            </w:tcMar>
            <w:vAlign w:val="center"/>
          </w:tcPr>
          <w:p w14:paraId="1CF5DBE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Nonbinary</w:t>
            </w:r>
          </w:p>
        </w:tc>
        <w:tc>
          <w:tcPr>
            <w:tcW w:w="1600" w:type="pct"/>
            <w:tcMar>
              <w:top w:w="0" w:type="dxa"/>
              <w:left w:w="100" w:type="dxa"/>
              <w:bottom w:w="0" w:type="dxa"/>
              <w:right w:w="100" w:type="dxa"/>
            </w:tcMar>
            <w:vAlign w:val="center"/>
          </w:tcPr>
          <w:p w14:paraId="1F015A33"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0.336</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11EE1BFD"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0.293</w:t>
            </w:r>
            <w:r>
              <w:rPr>
                <w:rFonts w:asciiTheme="majorHAnsi" w:hAnsiTheme="majorHAnsi" w:cstheme="majorHAnsi"/>
                <w:sz w:val="20"/>
                <w:szCs w:val="20"/>
                <w:vertAlign w:val="superscript"/>
              </w:rPr>
              <w:t>**</w:t>
            </w:r>
          </w:p>
        </w:tc>
      </w:tr>
      <w:tr w:rsidR="003F4AB9" w:rsidRPr="00B621E1" w14:paraId="21E7175E" w14:textId="77777777" w:rsidTr="00806A88">
        <w:trPr>
          <w:trHeight w:val="270"/>
        </w:trPr>
        <w:tc>
          <w:tcPr>
            <w:tcW w:w="1850" w:type="pct"/>
            <w:tcMar>
              <w:top w:w="0" w:type="dxa"/>
              <w:left w:w="100" w:type="dxa"/>
              <w:bottom w:w="0" w:type="dxa"/>
              <w:right w:w="100" w:type="dxa"/>
            </w:tcMar>
            <w:vAlign w:val="center"/>
          </w:tcPr>
          <w:p w14:paraId="04DF6A6C"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02665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(0.135)</w:t>
            </w:r>
          </w:p>
        </w:tc>
        <w:tc>
          <w:tcPr>
            <w:tcW w:w="1550" w:type="pct"/>
            <w:tcMar>
              <w:top w:w="0" w:type="dxa"/>
              <w:left w:w="100" w:type="dxa"/>
              <w:bottom w:w="0" w:type="dxa"/>
              <w:right w:w="100" w:type="dxa"/>
            </w:tcMar>
            <w:vAlign w:val="center"/>
          </w:tcPr>
          <w:p w14:paraId="191DA8F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(0.142)</w:t>
            </w:r>
          </w:p>
        </w:tc>
      </w:tr>
      <w:tr w:rsidR="003F4AB9" w:rsidRPr="00B621E1" w14:paraId="0639416C" w14:textId="77777777" w:rsidTr="00806A88">
        <w:trPr>
          <w:trHeight w:val="270"/>
        </w:trPr>
        <w:tc>
          <w:tcPr>
            <w:tcW w:w="1850" w:type="pct"/>
            <w:tcMar>
              <w:top w:w="0" w:type="dxa"/>
              <w:left w:w="100" w:type="dxa"/>
              <w:bottom w:w="0" w:type="dxa"/>
              <w:right w:w="100" w:type="dxa"/>
            </w:tcMar>
            <w:vAlign w:val="center"/>
          </w:tcPr>
          <w:p w14:paraId="3978479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56604367"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6069970"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01B101A0" w14:textId="77777777" w:rsidTr="00806A88">
        <w:trPr>
          <w:trHeight w:val="270"/>
        </w:trPr>
        <w:tc>
          <w:tcPr>
            <w:tcW w:w="1850" w:type="pct"/>
            <w:tcMar>
              <w:top w:w="0" w:type="dxa"/>
              <w:left w:w="100" w:type="dxa"/>
              <w:bottom w:w="0" w:type="dxa"/>
              <w:right w:w="100" w:type="dxa"/>
            </w:tcMar>
            <w:vAlign w:val="center"/>
          </w:tcPr>
          <w:p w14:paraId="5D8F76A4"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Gender diverse/questioning</w:t>
            </w:r>
          </w:p>
        </w:tc>
        <w:tc>
          <w:tcPr>
            <w:tcW w:w="1600" w:type="pct"/>
            <w:tcMar>
              <w:top w:w="0" w:type="dxa"/>
              <w:left w:w="100" w:type="dxa"/>
              <w:bottom w:w="0" w:type="dxa"/>
              <w:right w:w="100" w:type="dxa"/>
            </w:tcMar>
            <w:vAlign w:val="center"/>
          </w:tcPr>
          <w:p w14:paraId="63C76A7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-0.279</w:t>
            </w:r>
          </w:p>
        </w:tc>
        <w:tc>
          <w:tcPr>
            <w:tcW w:w="1550" w:type="pct"/>
            <w:tcMar>
              <w:top w:w="0" w:type="dxa"/>
              <w:left w:w="100" w:type="dxa"/>
              <w:bottom w:w="0" w:type="dxa"/>
              <w:right w:w="100" w:type="dxa"/>
            </w:tcMar>
            <w:vAlign w:val="center"/>
          </w:tcPr>
          <w:p w14:paraId="744B240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-0.384</w:t>
            </w:r>
          </w:p>
        </w:tc>
      </w:tr>
      <w:tr w:rsidR="003F4AB9" w:rsidRPr="00B621E1" w14:paraId="5C71FE45" w14:textId="77777777" w:rsidTr="00806A88">
        <w:trPr>
          <w:trHeight w:val="270"/>
        </w:trPr>
        <w:tc>
          <w:tcPr>
            <w:tcW w:w="1850" w:type="pct"/>
            <w:tcMar>
              <w:top w:w="0" w:type="dxa"/>
              <w:left w:w="100" w:type="dxa"/>
              <w:bottom w:w="0" w:type="dxa"/>
              <w:right w:w="100" w:type="dxa"/>
            </w:tcMar>
            <w:vAlign w:val="center"/>
          </w:tcPr>
          <w:p w14:paraId="7E9800B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86018B1"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(0.241)</w:t>
            </w:r>
          </w:p>
        </w:tc>
        <w:tc>
          <w:tcPr>
            <w:tcW w:w="1550" w:type="pct"/>
            <w:tcMar>
              <w:top w:w="0" w:type="dxa"/>
              <w:left w:w="100" w:type="dxa"/>
              <w:bottom w:w="0" w:type="dxa"/>
              <w:right w:w="100" w:type="dxa"/>
            </w:tcMar>
            <w:vAlign w:val="center"/>
          </w:tcPr>
          <w:p w14:paraId="09A00F2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(0.256)</w:t>
            </w:r>
          </w:p>
        </w:tc>
      </w:tr>
      <w:tr w:rsidR="003F4AB9" w:rsidRPr="00B621E1" w14:paraId="74D5618F" w14:textId="77777777" w:rsidTr="00806A88">
        <w:trPr>
          <w:trHeight w:val="270"/>
        </w:trPr>
        <w:tc>
          <w:tcPr>
            <w:tcW w:w="1850" w:type="pct"/>
            <w:tcMar>
              <w:top w:w="0" w:type="dxa"/>
              <w:left w:w="100" w:type="dxa"/>
              <w:bottom w:w="0" w:type="dxa"/>
              <w:right w:w="100" w:type="dxa"/>
            </w:tcMar>
            <w:vAlign w:val="center"/>
          </w:tcPr>
          <w:p w14:paraId="1C34724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3103BF9"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0D98BCF"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76A0F19" w14:textId="77777777" w:rsidTr="00806A88">
        <w:trPr>
          <w:trHeight w:val="270"/>
        </w:trPr>
        <w:tc>
          <w:tcPr>
            <w:tcW w:w="1850" w:type="pct"/>
            <w:tcMar>
              <w:top w:w="0" w:type="dxa"/>
              <w:left w:w="100" w:type="dxa"/>
              <w:bottom w:w="0" w:type="dxa"/>
              <w:right w:w="100" w:type="dxa"/>
            </w:tcMar>
            <w:vAlign w:val="center"/>
          </w:tcPr>
          <w:p w14:paraId="390C913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600" w:type="pct"/>
            <w:tcMar>
              <w:top w:w="0" w:type="dxa"/>
              <w:left w:w="100" w:type="dxa"/>
              <w:bottom w:w="0" w:type="dxa"/>
              <w:right w:w="100" w:type="dxa"/>
            </w:tcMar>
            <w:vAlign w:val="center"/>
          </w:tcPr>
          <w:p w14:paraId="322C35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0.111</w:t>
            </w:r>
          </w:p>
        </w:tc>
        <w:tc>
          <w:tcPr>
            <w:tcW w:w="1550" w:type="pct"/>
            <w:tcMar>
              <w:top w:w="0" w:type="dxa"/>
              <w:left w:w="100" w:type="dxa"/>
              <w:bottom w:w="0" w:type="dxa"/>
              <w:right w:w="100" w:type="dxa"/>
            </w:tcMar>
            <w:vAlign w:val="center"/>
          </w:tcPr>
          <w:p w14:paraId="65137B3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0.095</w:t>
            </w:r>
          </w:p>
        </w:tc>
      </w:tr>
      <w:tr w:rsidR="003F4AB9" w:rsidRPr="00B621E1" w14:paraId="4B33293C"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7AD1F511"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Borders>
              <w:bottom w:val="single" w:sz="8" w:space="0" w:color="000000"/>
            </w:tcBorders>
            <w:tcMar>
              <w:top w:w="0" w:type="dxa"/>
              <w:left w:w="100" w:type="dxa"/>
              <w:bottom w:w="0" w:type="dxa"/>
              <w:right w:w="100" w:type="dxa"/>
            </w:tcMar>
            <w:vAlign w:val="center"/>
          </w:tcPr>
          <w:p w14:paraId="63B375D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(0.177)</w:t>
            </w:r>
          </w:p>
        </w:tc>
        <w:tc>
          <w:tcPr>
            <w:tcW w:w="1550" w:type="pct"/>
            <w:tcBorders>
              <w:bottom w:val="single" w:sz="8" w:space="0" w:color="000000"/>
            </w:tcBorders>
            <w:tcMar>
              <w:top w:w="0" w:type="dxa"/>
              <w:left w:w="100" w:type="dxa"/>
              <w:bottom w:w="0" w:type="dxa"/>
              <w:right w:w="100" w:type="dxa"/>
            </w:tcMar>
            <w:vAlign w:val="center"/>
          </w:tcPr>
          <w:p w14:paraId="76BCFC9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(0.192)</w:t>
            </w:r>
          </w:p>
        </w:tc>
      </w:tr>
      <w:tr w:rsidR="003F4AB9" w:rsidRPr="00B621E1" w14:paraId="5B923920" w14:textId="77777777" w:rsidTr="00806A88">
        <w:trPr>
          <w:trHeight w:val="285"/>
        </w:trPr>
        <w:tc>
          <w:tcPr>
            <w:tcW w:w="1850" w:type="pct"/>
            <w:tcMar>
              <w:top w:w="0" w:type="dxa"/>
              <w:left w:w="100" w:type="dxa"/>
              <w:bottom w:w="0" w:type="dxa"/>
              <w:right w:w="100" w:type="dxa"/>
            </w:tcMar>
            <w:vAlign w:val="center"/>
          </w:tcPr>
          <w:p w14:paraId="04C1D0B8"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600" w:type="pct"/>
            <w:tcMar>
              <w:top w:w="0" w:type="dxa"/>
              <w:left w:w="100" w:type="dxa"/>
              <w:bottom w:w="0" w:type="dxa"/>
              <w:right w:w="100" w:type="dxa"/>
            </w:tcMar>
            <w:vAlign w:val="center"/>
          </w:tcPr>
          <w:p w14:paraId="1A70E83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7522</w:t>
            </w:r>
          </w:p>
        </w:tc>
        <w:tc>
          <w:tcPr>
            <w:tcW w:w="1550" w:type="pct"/>
            <w:tcMar>
              <w:top w:w="0" w:type="dxa"/>
              <w:left w:w="100" w:type="dxa"/>
              <w:bottom w:w="0" w:type="dxa"/>
              <w:right w:w="100" w:type="dxa"/>
            </w:tcMar>
            <w:vAlign w:val="center"/>
          </w:tcPr>
          <w:p w14:paraId="7889DA8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7498</w:t>
            </w:r>
          </w:p>
        </w:tc>
      </w:tr>
      <w:tr w:rsidR="003F4AB9" w:rsidRPr="00B621E1" w14:paraId="07F3FB3F"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13A65BA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600" w:type="pct"/>
            <w:tcBorders>
              <w:bottom w:val="single" w:sz="8" w:space="0" w:color="000000"/>
            </w:tcBorders>
            <w:tcMar>
              <w:top w:w="0" w:type="dxa"/>
              <w:left w:w="100" w:type="dxa"/>
              <w:bottom w:w="0" w:type="dxa"/>
              <w:right w:w="100" w:type="dxa"/>
            </w:tcMar>
            <w:vAlign w:val="center"/>
          </w:tcPr>
          <w:p w14:paraId="701756D5"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50" w:type="pct"/>
            <w:tcBorders>
              <w:bottom w:val="single" w:sz="8" w:space="0" w:color="000000"/>
            </w:tcBorders>
            <w:tcMar>
              <w:top w:w="0" w:type="dxa"/>
              <w:left w:w="100" w:type="dxa"/>
              <w:bottom w:w="0" w:type="dxa"/>
              <w:right w:w="100" w:type="dxa"/>
            </w:tcMar>
            <w:vAlign w:val="center"/>
          </w:tcPr>
          <w:p w14:paraId="4A6B0D8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35FA60A0"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Standard errors in parentheses. </w:t>
      </w:r>
    </w:p>
    <w:p w14:paraId="6159B191"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48FDE08A" w14:textId="77777777" w:rsidR="003F4AB9" w:rsidRPr="00824E21" w:rsidRDefault="003F4AB9" w:rsidP="003F4AB9">
      <w:pPr>
        <w:spacing w:line="360" w:lineRule="auto"/>
        <w:rPr>
          <w:rFonts w:asciiTheme="majorHAnsi" w:eastAsia="Arial" w:hAnsiTheme="majorHAnsi" w:cstheme="majorHAnsi"/>
        </w:rPr>
      </w:pPr>
      <w:r>
        <w:rPr>
          <w:rFonts w:asciiTheme="majorHAnsi" w:eastAsia="Arial" w:hAnsiTheme="majorHAnsi" w:cstheme="majorHAnsi"/>
        </w:rPr>
        <w:t xml:space="preserve"> </w:t>
      </w:r>
    </w:p>
    <w:p w14:paraId="4E9BF84E" w14:textId="77777777" w:rsidR="003F4AB9" w:rsidRPr="00824E21" w:rsidRDefault="003F4AB9" w:rsidP="003F4AB9">
      <w:pPr>
        <w:spacing w:line="360" w:lineRule="auto"/>
        <w:rPr>
          <w:rFonts w:asciiTheme="majorHAnsi" w:eastAsia="Arial" w:hAnsiTheme="majorHAnsi" w:cstheme="majorHAnsi"/>
        </w:rPr>
      </w:pPr>
      <w:r>
        <w:rPr>
          <w:rFonts w:asciiTheme="majorHAnsi" w:eastAsia="Arial" w:hAnsiTheme="majorHAnsi" w:cstheme="majorHAnsi"/>
        </w:rPr>
        <w:t xml:space="preserve"> </w:t>
      </w:r>
    </w:p>
    <w:p w14:paraId="5091B0EF" w14:textId="77777777" w:rsidR="003F4AB9" w:rsidRPr="00824E21" w:rsidRDefault="003F4AB9" w:rsidP="003F4AB9">
      <w:pPr>
        <w:spacing w:line="360" w:lineRule="auto"/>
        <w:rPr>
          <w:rFonts w:asciiTheme="majorHAnsi" w:hAnsiTheme="majorHAnsi" w:cstheme="majorHAnsi"/>
          <w:b/>
          <w:bCs/>
        </w:rPr>
      </w:pPr>
      <w:r>
        <w:rPr>
          <w:rFonts w:asciiTheme="majorHAnsi" w:hAnsiTheme="majorHAnsi" w:cstheme="majorHAnsi"/>
          <w:b/>
          <w:bCs/>
        </w:rPr>
        <w:br w:type="page"/>
      </w:r>
    </w:p>
    <w:p w14:paraId="003DB08C" w14:textId="5E495AB6" w:rsidR="003F4AB9" w:rsidRPr="00824E21" w:rsidRDefault="003F4AB9" w:rsidP="003F4AB9">
      <w:pPr>
        <w:spacing w:line="360" w:lineRule="auto"/>
        <w:rPr>
          <w:rFonts w:asciiTheme="majorHAnsi" w:hAnsiTheme="majorHAnsi" w:cstheme="majorHAnsi"/>
        </w:rPr>
      </w:pPr>
      <w:r>
        <w:rPr>
          <w:rFonts w:asciiTheme="majorHAnsi" w:hAnsiTheme="majorHAnsi" w:cstheme="majorHAnsi"/>
          <w:b/>
          <w:bCs/>
        </w:rPr>
        <w:lastRenderedPageBreak/>
        <w:t>Table H2</w:t>
      </w:r>
    </w:p>
    <w:p w14:paraId="59AA97AA" w14:textId="77777777" w:rsidR="003F4AB9" w:rsidRPr="00824E21" w:rsidRDefault="003F4AB9" w:rsidP="003F4AB9">
      <w:pPr>
        <w:spacing w:line="360" w:lineRule="auto"/>
        <w:rPr>
          <w:rFonts w:asciiTheme="majorHAnsi" w:hAnsiTheme="majorHAnsi" w:cstheme="majorHAnsi"/>
        </w:rPr>
      </w:pPr>
      <w:r>
        <w:rPr>
          <w:rFonts w:asciiTheme="majorHAnsi" w:hAnsiTheme="majorHAnsi" w:cstheme="majorHAnsi"/>
          <w:i/>
          <w:iCs/>
          <w:highlight w:val="yellow"/>
        </w:rPr>
        <w:t>Logit Models: Intent to Attend 4-Year College, by Sexual Orientation</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3F4AB9" w:rsidRPr="00B621E1" w14:paraId="66F8C393"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0089466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2D5F9A84"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47B7886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3F4AB9" w:rsidRPr="00B621E1" w14:paraId="50326D67" w14:textId="77777777" w:rsidTr="00806A88">
        <w:trPr>
          <w:trHeight w:val="232"/>
        </w:trPr>
        <w:tc>
          <w:tcPr>
            <w:tcW w:w="1839" w:type="pct"/>
            <w:tcMar>
              <w:top w:w="0" w:type="dxa"/>
              <w:left w:w="100" w:type="dxa"/>
              <w:bottom w:w="0" w:type="dxa"/>
              <w:right w:w="100" w:type="dxa"/>
            </w:tcMar>
            <w:vAlign w:val="center"/>
          </w:tcPr>
          <w:p w14:paraId="7073D31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Gay or lesbian</w:t>
            </w:r>
          </w:p>
        </w:tc>
        <w:tc>
          <w:tcPr>
            <w:tcW w:w="1581" w:type="pct"/>
            <w:tcMar>
              <w:top w:w="0" w:type="dxa"/>
              <w:left w:w="100" w:type="dxa"/>
              <w:bottom w:w="0" w:type="dxa"/>
              <w:right w:w="100" w:type="dxa"/>
            </w:tcMar>
            <w:vAlign w:val="center"/>
          </w:tcPr>
          <w:p w14:paraId="267505E6"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0.526</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2701068"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0.404</w:t>
            </w:r>
            <w:r>
              <w:rPr>
                <w:rFonts w:asciiTheme="majorHAnsi" w:hAnsiTheme="majorHAnsi" w:cstheme="majorHAnsi"/>
                <w:sz w:val="20"/>
                <w:szCs w:val="20"/>
                <w:vertAlign w:val="superscript"/>
              </w:rPr>
              <w:t>***</w:t>
            </w:r>
          </w:p>
        </w:tc>
      </w:tr>
      <w:tr w:rsidR="003F4AB9" w:rsidRPr="00B621E1" w14:paraId="4E353EF6" w14:textId="77777777" w:rsidTr="00806A88">
        <w:trPr>
          <w:trHeight w:val="270"/>
        </w:trPr>
        <w:tc>
          <w:tcPr>
            <w:tcW w:w="1839" w:type="pct"/>
            <w:tcMar>
              <w:top w:w="0" w:type="dxa"/>
              <w:left w:w="100" w:type="dxa"/>
              <w:bottom w:w="0" w:type="dxa"/>
              <w:right w:w="100" w:type="dxa"/>
            </w:tcMar>
            <w:vAlign w:val="center"/>
          </w:tcPr>
          <w:p w14:paraId="399BD96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AF09EE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(0.124)</w:t>
            </w:r>
          </w:p>
        </w:tc>
        <w:tc>
          <w:tcPr>
            <w:tcW w:w="1581" w:type="pct"/>
            <w:tcMar>
              <w:top w:w="0" w:type="dxa"/>
              <w:left w:w="100" w:type="dxa"/>
              <w:bottom w:w="0" w:type="dxa"/>
              <w:right w:w="100" w:type="dxa"/>
            </w:tcMar>
            <w:vAlign w:val="center"/>
          </w:tcPr>
          <w:p w14:paraId="6C0D1D98"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(0.131)</w:t>
            </w:r>
          </w:p>
        </w:tc>
      </w:tr>
      <w:tr w:rsidR="003F4AB9" w:rsidRPr="00B621E1" w14:paraId="485265E5" w14:textId="77777777" w:rsidTr="00806A88">
        <w:trPr>
          <w:trHeight w:val="270"/>
        </w:trPr>
        <w:tc>
          <w:tcPr>
            <w:tcW w:w="1839" w:type="pct"/>
            <w:tcMar>
              <w:top w:w="0" w:type="dxa"/>
              <w:left w:w="100" w:type="dxa"/>
              <w:bottom w:w="0" w:type="dxa"/>
              <w:right w:w="100" w:type="dxa"/>
            </w:tcMar>
            <w:vAlign w:val="center"/>
          </w:tcPr>
          <w:p w14:paraId="6BBD4F09"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588E0D25"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5C9B2E77"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6C5186" w14:textId="77777777" w:rsidTr="00806A88">
        <w:trPr>
          <w:trHeight w:val="330"/>
        </w:trPr>
        <w:tc>
          <w:tcPr>
            <w:tcW w:w="1839" w:type="pct"/>
            <w:tcMar>
              <w:top w:w="0" w:type="dxa"/>
              <w:left w:w="100" w:type="dxa"/>
              <w:bottom w:w="0" w:type="dxa"/>
              <w:right w:w="100" w:type="dxa"/>
            </w:tcMar>
            <w:vAlign w:val="center"/>
          </w:tcPr>
          <w:p w14:paraId="1C1BD3C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Bisexual/pansexual/omnisexual</w:t>
            </w:r>
          </w:p>
        </w:tc>
        <w:tc>
          <w:tcPr>
            <w:tcW w:w="1581" w:type="pct"/>
            <w:tcMar>
              <w:top w:w="0" w:type="dxa"/>
              <w:left w:w="100" w:type="dxa"/>
              <w:bottom w:w="0" w:type="dxa"/>
              <w:right w:w="100" w:type="dxa"/>
            </w:tcMar>
            <w:vAlign w:val="center"/>
          </w:tcPr>
          <w:p w14:paraId="7298BECD"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0.344</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68DCB72E"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0.298</w:t>
            </w:r>
            <w:r>
              <w:rPr>
                <w:rFonts w:asciiTheme="majorHAnsi" w:hAnsiTheme="majorHAnsi" w:cstheme="majorHAnsi"/>
                <w:sz w:val="20"/>
                <w:szCs w:val="20"/>
                <w:vertAlign w:val="superscript"/>
              </w:rPr>
              <w:t>***</w:t>
            </w:r>
          </w:p>
        </w:tc>
      </w:tr>
      <w:tr w:rsidR="003F4AB9" w:rsidRPr="00B621E1" w14:paraId="53043BE4" w14:textId="77777777" w:rsidTr="00806A88">
        <w:trPr>
          <w:trHeight w:val="270"/>
        </w:trPr>
        <w:tc>
          <w:tcPr>
            <w:tcW w:w="1839" w:type="pct"/>
            <w:tcMar>
              <w:top w:w="0" w:type="dxa"/>
              <w:left w:w="100" w:type="dxa"/>
              <w:bottom w:w="0" w:type="dxa"/>
              <w:right w:w="100" w:type="dxa"/>
            </w:tcMar>
            <w:vAlign w:val="center"/>
          </w:tcPr>
          <w:p w14:paraId="34807E8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0823298"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(0.069)</w:t>
            </w:r>
          </w:p>
        </w:tc>
        <w:tc>
          <w:tcPr>
            <w:tcW w:w="1581" w:type="pct"/>
            <w:tcMar>
              <w:top w:w="0" w:type="dxa"/>
              <w:left w:w="100" w:type="dxa"/>
              <w:bottom w:w="0" w:type="dxa"/>
              <w:right w:w="100" w:type="dxa"/>
            </w:tcMar>
            <w:vAlign w:val="center"/>
          </w:tcPr>
          <w:p w14:paraId="5DDBC43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(0.073)</w:t>
            </w:r>
          </w:p>
        </w:tc>
      </w:tr>
      <w:tr w:rsidR="003F4AB9" w:rsidRPr="00B621E1" w14:paraId="41CE2D68" w14:textId="77777777" w:rsidTr="00806A88">
        <w:trPr>
          <w:trHeight w:val="270"/>
        </w:trPr>
        <w:tc>
          <w:tcPr>
            <w:tcW w:w="1839" w:type="pct"/>
            <w:tcMar>
              <w:top w:w="0" w:type="dxa"/>
              <w:left w:w="100" w:type="dxa"/>
              <w:bottom w:w="0" w:type="dxa"/>
              <w:right w:w="100" w:type="dxa"/>
            </w:tcMar>
            <w:vAlign w:val="center"/>
          </w:tcPr>
          <w:p w14:paraId="647A6A99"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7586871"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25AB905E"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1FC4B3BD" w14:textId="77777777" w:rsidTr="00806A88">
        <w:trPr>
          <w:trHeight w:val="330"/>
        </w:trPr>
        <w:tc>
          <w:tcPr>
            <w:tcW w:w="1839" w:type="pct"/>
            <w:tcMar>
              <w:top w:w="0" w:type="dxa"/>
              <w:left w:w="100" w:type="dxa"/>
              <w:bottom w:w="0" w:type="dxa"/>
              <w:right w:w="100" w:type="dxa"/>
            </w:tcMar>
            <w:vAlign w:val="center"/>
          </w:tcPr>
          <w:p w14:paraId="1DB0BEA8"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Asexual/aromantic/demisexual</w:t>
            </w:r>
          </w:p>
        </w:tc>
        <w:tc>
          <w:tcPr>
            <w:tcW w:w="1581" w:type="pct"/>
            <w:tcMar>
              <w:top w:w="0" w:type="dxa"/>
              <w:left w:w="100" w:type="dxa"/>
              <w:bottom w:w="0" w:type="dxa"/>
              <w:right w:w="100" w:type="dxa"/>
            </w:tcMar>
            <w:vAlign w:val="center"/>
          </w:tcPr>
          <w:p w14:paraId="208EFEA3"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0.475</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28CB714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0.174</w:t>
            </w:r>
          </w:p>
        </w:tc>
      </w:tr>
      <w:tr w:rsidR="003F4AB9" w:rsidRPr="00B621E1" w14:paraId="1EB4DCAE" w14:textId="77777777" w:rsidTr="00806A88">
        <w:trPr>
          <w:trHeight w:val="270"/>
        </w:trPr>
        <w:tc>
          <w:tcPr>
            <w:tcW w:w="1839" w:type="pct"/>
            <w:tcMar>
              <w:top w:w="0" w:type="dxa"/>
              <w:left w:w="100" w:type="dxa"/>
              <w:bottom w:w="0" w:type="dxa"/>
              <w:right w:w="100" w:type="dxa"/>
            </w:tcMar>
            <w:vAlign w:val="center"/>
          </w:tcPr>
          <w:p w14:paraId="58302D6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4BB1A6"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(0.163)</w:t>
            </w:r>
          </w:p>
        </w:tc>
        <w:tc>
          <w:tcPr>
            <w:tcW w:w="1581" w:type="pct"/>
            <w:tcMar>
              <w:top w:w="0" w:type="dxa"/>
              <w:left w:w="100" w:type="dxa"/>
              <w:bottom w:w="0" w:type="dxa"/>
              <w:right w:w="100" w:type="dxa"/>
            </w:tcMar>
            <w:vAlign w:val="center"/>
          </w:tcPr>
          <w:p w14:paraId="31EAFB3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(0.175)</w:t>
            </w:r>
          </w:p>
        </w:tc>
      </w:tr>
      <w:tr w:rsidR="003F4AB9" w:rsidRPr="00B621E1" w14:paraId="75D33022" w14:textId="77777777" w:rsidTr="00806A88">
        <w:trPr>
          <w:trHeight w:val="270"/>
        </w:trPr>
        <w:tc>
          <w:tcPr>
            <w:tcW w:w="1839" w:type="pct"/>
            <w:tcMar>
              <w:top w:w="0" w:type="dxa"/>
              <w:left w:w="100" w:type="dxa"/>
              <w:bottom w:w="0" w:type="dxa"/>
              <w:right w:w="100" w:type="dxa"/>
            </w:tcMar>
            <w:vAlign w:val="center"/>
          </w:tcPr>
          <w:p w14:paraId="1B82B55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0727716"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424F433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2D42311" w14:textId="77777777" w:rsidTr="00806A88">
        <w:trPr>
          <w:trHeight w:val="330"/>
        </w:trPr>
        <w:tc>
          <w:tcPr>
            <w:tcW w:w="1839" w:type="pct"/>
            <w:tcMar>
              <w:top w:w="0" w:type="dxa"/>
              <w:left w:w="100" w:type="dxa"/>
              <w:bottom w:w="0" w:type="dxa"/>
              <w:right w:w="100" w:type="dxa"/>
            </w:tcMar>
            <w:vAlign w:val="center"/>
          </w:tcPr>
          <w:p w14:paraId="41EA7DC4"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Other/queer/questioning</w:t>
            </w:r>
          </w:p>
        </w:tc>
        <w:tc>
          <w:tcPr>
            <w:tcW w:w="1581" w:type="pct"/>
            <w:tcMar>
              <w:top w:w="0" w:type="dxa"/>
              <w:left w:w="100" w:type="dxa"/>
              <w:bottom w:w="0" w:type="dxa"/>
              <w:right w:w="100" w:type="dxa"/>
            </w:tcMar>
            <w:vAlign w:val="center"/>
          </w:tcPr>
          <w:p w14:paraId="5BE793F4"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0.346</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5E23E9F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0.170</w:t>
            </w:r>
          </w:p>
        </w:tc>
      </w:tr>
      <w:tr w:rsidR="003F4AB9" w:rsidRPr="00B621E1" w14:paraId="6994AE48" w14:textId="77777777" w:rsidTr="00806A88">
        <w:trPr>
          <w:trHeight w:val="270"/>
        </w:trPr>
        <w:tc>
          <w:tcPr>
            <w:tcW w:w="1839" w:type="pct"/>
            <w:tcMar>
              <w:top w:w="0" w:type="dxa"/>
              <w:left w:w="100" w:type="dxa"/>
              <w:bottom w:w="0" w:type="dxa"/>
              <w:right w:w="100" w:type="dxa"/>
            </w:tcMar>
            <w:vAlign w:val="center"/>
          </w:tcPr>
          <w:p w14:paraId="3F5217B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63DD4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(0.187)</w:t>
            </w:r>
          </w:p>
        </w:tc>
        <w:tc>
          <w:tcPr>
            <w:tcW w:w="1581" w:type="pct"/>
            <w:tcMar>
              <w:top w:w="0" w:type="dxa"/>
              <w:left w:w="100" w:type="dxa"/>
              <w:bottom w:w="0" w:type="dxa"/>
              <w:right w:w="100" w:type="dxa"/>
            </w:tcMar>
            <w:vAlign w:val="center"/>
          </w:tcPr>
          <w:p w14:paraId="512DEAC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(0.199)</w:t>
            </w:r>
          </w:p>
        </w:tc>
      </w:tr>
      <w:tr w:rsidR="003F4AB9" w:rsidRPr="00B621E1" w14:paraId="3747D532" w14:textId="77777777" w:rsidTr="00806A88">
        <w:trPr>
          <w:trHeight w:val="270"/>
        </w:trPr>
        <w:tc>
          <w:tcPr>
            <w:tcW w:w="1839" w:type="pct"/>
            <w:tcMar>
              <w:top w:w="0" w:type="dxa"/>
              <w:left w:w="100" w:type="dxa"/>
              <w:bottom w:w="0" w:type="dxa"/>
              <w:right w:w="100" w:type="dxa"/>
            </w:tcMar>
            <w:vAlign w:val="center"/>
          </w:tcPr>
          <w:p w14:paraId="07EEDFC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20B3359"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32BDD2A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004C368" w14:textId="77777777" w:rsidTr="00806A88">
        <w:trPr>
          <w:trHeight w:val="270"/>
        </w:trPr>
        <w:tc>
          <w:tcPr>
            <w:tcW w:w="1839" w:type="pct"/>
            <w:tcMar>
              <w:top w:w="0" w:type="dxa"/>
              <w:left w:w="100" w:type="dxa"/>
              <w:bottom w:w="0" w:type="dxa"/>
              <w:right w:w="100" w:type="dxa"/>
            </w:tcMar>
            <w:vAlign w:val="center"/>
          </w:tcPr>
          <w:p w14:paraId="59CAA84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581" w:type="pct"/>
            <w:tcMar>
              <w:top w:w="0" w:type="dxa"/>
              <w:left w:w="100" w:type="dxa"/>
              <w:bottom w:w="0" w:type="dxa"/>
              <w:right w:w="100" w:type="dxa"/>
            </w:tcMar>
            <w:vAlign w:val="center"/>
          </w:tcPr>
          <w:p w14:paraId="4EA729E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0.001</w:t>
            </w:r>
          </w:p>
        </w:tc>
        <w:tc>
          <w:tcPr>
            <w:tcW w:w="1581" w:type="pct"/>
            <w:tcMar>
              <w:top w:w="0" w:type="dxa"/>
              <w:left w:w="100" w:type="dxa"/>
              <w:bottom w:w="0" w:type="dxa"/>
              <w:right w:w="100" w:type="dxa"/>
            </w:tcMar>
            <w:vAlign w:val="center"/>
          </w:tcPr>
          <w:p w14:paraId="7DFE4E0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-0.107</w:t>
            </w:r>
          </w:p>
        </w:tc>
      </w:tr>
      <w:tr w:rsidR="003F4AB9" w:rsidRPr="00B621E1" w14:paraId="10CD57D7"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71C9244D"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4C828E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(0.094)</w:t>
            </w:r>
          </w:p>
        </w:tc>
        <w:tc>
          <w:tcPr>
            <w:tcW w:w="1581" w:type="pct"/>
            <w:tcBorders>
              <w:bottom w:val="single" w:sz="8" w:space="0" w:color="000000"/>
            </w:tcBorders>
            <w:tcMar>
              <w:top w:w="0" w:type="dxa"/>
              <w:left w:w="100" w:type="dxa"/>
              <w:bottom w:w="0" w:type="dxa"/>
              <w:right w:w="100" w:type="dxa"/>
            </w:tcMar>
            <w:vAlign w:val="center"/>
          </w:tcPr>
          <w:p w14:paraId="47A7F0C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(0.101)</w:t>
            </w:r>
          </w:p>
        </w:tc>
      </w:tr>
      <w:tr w:rsidR="003F4AB9" w:rsidRPr="00B621E1" w14:paraId="48B2AAAB" w14:textId="77777777" w:rsidTr="00806A88">
        <w:trPr>
          <w:trHeight w:val="285"/>
        </w:trPr>
        <w:tc>
          <w:tcPr>
            <w:tcW w:w="1839" w:type="pct"/>
            <w:tcMar>
              <w:top w:w="0" w:type="dxa"/>
              <w:left w:w="100" w:type="dxa"/>
              <w:bottom w:w="0" w:type="dxa"/>
              <w:right w:w="100" w:type="dxa"/>
            </w:tcMar>
            <w:vAlign w:val="center"/>
          </w:tcPr>
          <w:p w14:paraId="30AFA08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5CAD670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7481</w:t>
            </w:r>
          </w:p>
        </w:tc>
        <w:tc>
          <w:tcPr>
            <w:tcW w:w="1581" w:type="pct"/>
            <w:tcMar>
              <w:top w:w="0" w:type="dxa"/>
              <w:left w:w="100" w:type="dxa"/>
              <w:bottom w:w="0" w:type="dxa"/>
              <w:right w:w="100" w:type="dxa"/>
            </w:tcMar>
            <w:vAlign w:val="center"/>
          </w:tcPr>
          <w:p w14:paraId="0357570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7456</w:t>
            </w:r>
          </w:p>
        </w:tc>
      </w:tr>
      <w:tr w:rsidR="003F4AB9" w:rsidRPr="00B621E1" w14:paraId="1D8DEA19"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094A370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581" w:type="pct"/>
            <w:tcBorders>
              <w:bottom w:val="single" w:sz="8" w:space="0" w:color="000000"/>
            </w:tcBorders>
            <w:tcMar>
              <w:top w:w="0" w:type="dxa"/>
              <w:left w:w="100" w:type="dxa"/>
              <w:bottom w:w="0" w:type="dxa"/>
              <w:right w:w="100" w:type="dxa"/>
            </w:tcMar>
            <w:vAlign w:val="center"/>
          </w:tcPr>
          <w:p w14:paraId="7F2D669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81" w:type="pct"/>
            <w:tcBorders>
              <w:bottom w:val="single" w:sz="8" w:space="0" w:color="000000"/>
            </w:tcBorders>
            <w:tcMar>
              <w:top w:w="0" w:type="dxa"/>
              <w:left w:w="100" w:type="dxa"/>
              <w:bottom w:w="0" w:type="dxa"/>
              <w:right w:w="100" w:type="dxa"/>
            </w:tcMar>
            <w:vAlign w:val="center"/>
          </w:tcPr>
          <w:p w14:paraId="0BC4F23E"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685A960C"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763B49CF" w14:textId="77777777" w:rsidR="003F4AB9" w:rsidRPr="00824E21" w:rsidRDefault="003F4AB9" w:rsidP="003F4AB9">
      <w:pPr>
        <w:spacing w:after="240"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0A5EE601" w14:textId="77777777" w:rsidR="00BD732D" w:rsidRDefault="00BD732D">
      <w:pPr>
        <w:rPr>
          <w:rFonts w:asciiTheme="majorHAnsi" w:hAnsiTheme="majorHAnsi" w:cstheme="majorHAnsi"/>
          <w:b/>
          <w:bCs/>
        </w:rPr>
      </w:pPr>
      <w:r>
        <w:rPr>
          <w:rFonts w:asciiTheme="majorHAnsi" w:hAnsiTheme="majorHAnsi" w:cstheme="majorHAnsi"/>
          <w:b/>
          <w:bCs/>
        </w:rPr>
        <w:br w:type="page"/>
      </w:r>
    </w:p>
    <w:p w14:paraId="191CE978" w14:textId="3E1D7003" w:rsidR="00BD732D" w:rsidRPr="001B2966" w:rsidRDefault="00BD732D" w:rsidP="00BD732D">
      <w:pPr>
        <w:spacing w:line="360" w:lineRule="auto"/>
        <w:rPr>
          <w:rFonts w:asciiTheme="majorHAnsi" w:hAnsiTheme="majorHAnsi" w:cstheme="majorHAnsi"/>
          <w:b/>
          <w:bCs/>
        </w:rPr>
      </w:pPr>
      <w:r>
        <w:rPr>
          <w:rFonts w:asciiTheme="majorHAnsi" w:hAnsiTheme="majorHAnsi" w:cstheme="majorHAnsi"/>
          <w:b/>
          <w:bCs/>
        </w:rPr>
        <w:lastRenderedPageBreak/>
        <w:t>Table H3</w:t>
      </w:r>
    </w:p>
    <w:p w14:paraId="053551C0" w14:textId="77777777" w:rsidR="00BD732D" w:rsidRPr="001B2966" w:rsidRDefault="00BD732D" w:rsidP="00BD732D">
      <w:pPr>
        <w:spacing w:line="360" w:lineRule="auto"/>
        <w:rPr>
          <w:rFonts w:asciiTheme="majorHAnsi" w:hAnsiTheme="majorHAnsi" w:cstheme="majorHAnsi"/>
          <w:i/>
          <w:iCs/>
        </w:rPr>
      </w:pPr>
      <w:r>
        <w:rPr>
          <w:rFonts w:asciiTheme="majorHAnsi" w:hAnsiTheme="majorHAnsi" w:cstheme="majorHAnsi"/>
          <w:i/>
          <w:iCs/>
          <w:highlight w:val="yellow"/>
        </w:rPr>
        <w:t>Ordered Logit Models: Highest Degree Plans, by Gender Identity</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732D" w:rsidRPr="001B2966" w14:paraId="43771AF4" w14:textId="77777777" w:rsidTr="00806A88">
        <w:trPr>
          <w:trHeight w:val="285"/>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698DEC38"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 xml:space="preserve"> </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04AC066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567E39A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BD732D" w:rsidRPr="001B2966" w14:paraId="28860003" w14:textId="77777777" w:rsidTr="00806A88">
        <w:trPr>
          <w:trHeight w:val="345"/>
        </w:trPr>
        <w:tc>
          <w:tcPr>
            <w:tcW w:w="1739" w:type="pct"/>
            <w:tcMar>
              <w:top w:w="0" w:type="dxa"/>
              <w:left w:w="100" w:type="dxa"/>
              <w:bottom w:w="0" w:type="dxa"/>
              <w:right w:w="100" w:type="dxa"/>
            </w:tcMar>
            <w:vAlign w:val="center"/>
          </w:tcPr>
          <w:p w14:paraId="4B51E792"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Cisgender woman</w:t>
            </w:r>
          </w:p>
        </w:tc>
        <w:tc>
          <w:tcPr>
            <w:tcW w:w="1631" w:type="pct"/>
            <w:tcMar>
              <w:top w:w="0" w:type="dxa"/>
              <w:left w:w="100" w:type="dxa"/>
              <w:bottom w:w="0" w:type="dxa"/>
              <w:right w:w="100" w:type="dxa"/>
            </w:tcMar>
            <w:vAlign w:val="center"/>
          </w:tcPr>
          <w:p w14:paraId="202D9938"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0.487</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05BB04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0.550</w:t>
            </w:r>
            <w:r>
              <w:rPr>
                <w:rFonts w:asciiTheme="majorHAnsi" w:hAnsiTheme="majorHAnsi" w:cstheme="majorHAnsi"/>
                <w:sz w:val="20"/>
                <w:szCs w:val="20"/>
                <w:vertAlign w:val="superscript"/>
              </w:rPr>
              <w:t>***</w:t>
            </w:r>
          </w:p>
        </w:tc>
      </w:tr>
      <w:tr w:rsidR="00BD732D" w:rsidRPr="001B2966" w14:paraId="2041311E" w14:textId="77777777" w:rsidTr="00806A88">
        <w:trPr>
          <w:trHeight w:val="270"/>
        </w:trPr>
        <w:tc>
          <w:tcPr>
            <w:tcW w:w="1739" w:type="pct"/>
            <w:tcMar>
              <w:top w:w="0" w:type="dxa"/>
              <w:left w:w="100" w:type="dxa"/>
              <w:bottom w:w="0" w:type="dxa"/>
              <w:right w:w="100" w:type="dxa"/>
            </w:tcMar>
            <w:vAlign w:val="center"/>
          </w:tcPr>
          <w:p w14:paraId="37BB4EB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27C81508"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(0.045)</w:t>
            </w:r>
          </w:p>
        </w:tc>
        <w:tc>
          <w:tcPr>
            <w:tcW w:w="1631" w:type="pct"/>
            <w:tcMar>
              <w:top w:w="0" w:type="dxa"/>
              <w:left w:w="100" w:type="dxa"/>
              <w:bottom w:w="0" w:type="dxa"/>
              <w:right w:w="100" w:type="dxa"/>
            </w:tcMar>
            <w:vAlign w:val="center"/>
          </w:tcPr>
          <w:p w14:paraId="41DB971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(0.046)</w:t>
            </w:r>
          </w:p>
        </w:tc>
      </w:tr>
      <w:tr w:rsidR="00BD732D" w:rsidRPr="001B2966" w14:paraId="578332BD" w14:textId="77777777" w:rsidTr="00806A88">
        <w:trPr>
          <w:trHeight w:val="270"/>
        </w:trPr>
        <w:tc>
          <w:tcPr>
            <w:tcW w:w="1739" w:type="pct"/>
            <w:tcMar>
              <w:top w:w="0" w:type="dxa"/>
              <w:left w:w="100" w:type="dxa"/>
              <w:bottom w:w="0" w:type="dxa"/>
              <w:right w:w="100" w:type="dxa"/>
            </w:tcMar>
            <w:vAlign w:val="center"/>
          </w:tcPr>
          <w:p w14:paraId="00060FDD"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39B3B19"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536EF3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02FEA98" w14:textId="77777777" w:rsidTr="00806A88">
        <w:trPr>
          <w:trHeight w:val="330"/>
        </w:trPr>
        <w:tc>
          <w:tcPr>
            <w:tcW w:w="1739" w:type="pct"/>
            <w:tcMar>
              <w:top w:w="0" w:type="dxa"/>
              <w:left w:w="100" w:type="dxa"/>
              <w:bottom w:w="0" w:type="dxa"/>
              <w:right w:w="100" w:type="dxa"/>
            </w:tcMar>
            <w:vAlign w:val="center"/>
          </w:tcPr>
          <w:p w14:paraId="5F3E61BD"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Transgender man</w:t>
            </w:r>
          </w:p>
        </w:tc>
        <w:tc>
          <w:tcPr>
            <w:tcW w:w="1631" w:type="pct"/>
            <w:tcMar>
              <w:top w:w="0" w:type="dxa"/>
              <w:left w:w="100" w:type="dxa"/>
              <w:bottom w:w="0" w:type="dxa"/>
              <w:right w:w="100" w:type="dxa"/>
            </w:tcMar>
            <w:vAlign w:val="center"/>
          </w:tcPr>
          <w:p w14:paraId="77386AC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0.553</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4A6502F9"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0.508</w:t>
            </w:r>
            <w:r>
              <w:rPr>
                <w:rFonts w:asciiTheme="majorHAnsi" w:hAnsiTheme="majorHAnsi" w:cstheme="majorHAnsi"/>
                <w:sz w:val="20"/>
                <w:szCs w:val="20"/>
                <w:vertAlign w:val="superscript"/>
              </w:rPr>
              <w:t>**</w:t>
            </w:r>
          </w:p>
        </w:tc>
      </w:tr>
      <w:tr w:rsidR="00BD732D" w:rsidRPr="001B2966" w14:paraId="288EEFBE" w14:textId="77777777" w:rsidTr="00806A88">
        <w:trPr>
          <w:trHeight w:val="270"/>
        </w:trPr>
        <w:tc>
          <w:tcPr>
            <w:tcW w:w="1739" w:type="pct"/>
            <w:tcMar>
              <w:top w:w="0" w:type="dxa"/>
              <w:left w:w="100" w:type="dxa"/>
              <w:bottom w:w="0" w:type="dxa"/>
              <w:right w:w="100" w:type="dxa"/>
            </w:tcMar>
            <w:vAlign w:val="center"/>
          </w:tcPr>
          <w:p w14:paraId="69477E6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6C9A75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(0.234)</w:t>
            </w:r>
          </w:p>
        </w:tc>
        <w:tc>
          <w:tcPr>
            <w:tcW w:w="1631" w:type="pct"/>
            <w:tcMar>
              <w:top w:w="0" w:type="dxa"/>
              <w:left w:w="100" w:type="dxa"/>
              <w:bottom w:w="0" w:type="dxa"/>
              <w:right w:w="100" w:type="dxa"/>
            </w:tcMar>
            <w:vAlign w:val="center"/>
          </w:tcPr>
          <w:p w14:paraId="3126621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(0.243)</w:t>
            </w:r>
          </w:p>
        </w:tc>
      </w:tr>
      <w:tr w:rsidR="00BD732D" w:rsidRPr="001B2966" w14:paraId="25B0DF3E" w14:textId="77777777" w:rsidTr="00806A88">
        <w:trPr>
          <w:trHeight w:val="270"/>
        </w:trPr>
        <w:tc>
          <w:tcPr>
            <w:tcW w:w="1739" w:type="pct"/>
            <w:tcMar>
              <w:top w:w="0" w:type="dxa"/>
              <w:left w:w="100" w:type="dxa"/>
              <w:bottom w:w="0" w:type="dxa"/>
              <w:right w:w="100" w:type="dxa"/>
            </w:tcMar>
            <w:vAlign w:val="center"/>
          </w:tcPr>
          <w:p w14:paraId="0E90138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84920A4"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876192F"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04F1FD61" w14:textId="77777777" w:rsidTr="00806A88">
        <w:trPr>
          <w:trHeight w:val="270"/>
        </w:trPr>
        <w:tc>
          <w:tcPr>
            <w:tcW w:w="1739" w:type="pct"/>
            <w:tcMar>
              <w:top w:w="0" w:type="dxa"/>
              <w:left w:w="100" w:type="dxa"/>
              <w:bottom w:w="0" w:type="dxa"/>
              <w:right w:w="100" w:type="dxa"/>
            </w:tcMar>
            <w:vAlign w:val="center"/>
          </w:tcPr>
          <w:p w14:paraId="0D7105B9"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Transgender woman</w:t>
            </w:r>
          </w:p>
        </w:tc>
        <w:tc>
          <w:tcPr>
            <w:tcW w:w="1631" w:type="pct"/>
            <w:tcMar>
              <w:top w:w="0" w:type="dxa"/>
              <w:left w:w="100" w:type="dxa"/>
              <w:bottom w:w="0" w:type="dxa"/>
              <w:right w:w="100" w:type="dxa"/>
            </w:tcMar>
            <w:vAlign w:val="center"/>
          </w:tcPr>
          <w:p w14:paraId="43F5468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0.178</w:t>
            </w:r>
          </w:p>
        </w:tc>
        <w:tc>
          <w:tcPr>
            <w:tcW w:w="1631" w:type="pct"/>
            <w:tcMar>
              <w:top w:w="0" w:type="dxa"/>
              <w:left w:w="100" w:type="dxa"/>
              <w:bottom w:w="0" w:type="dxa"/>
              <w:right w:w="100" w:type="dxa"/>
            </w:tcMar>
            <w:vAlign w:val="center"/>
          </w:tcPr>
          <w:p w14:paraId="339F64F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0.049</w:t>
            </w:r>
          </w:p>
        </w:tc>
      </w:tr>
      <w:tr w:rsidR="00BD732D" w:rsidRPr="001B2966" w14:paraId="4C5FD090" w14:textId="77777777" w:rsidTr="00806A88">
        <w:trPr>
          <w:trHeight w:val="270"/>
        </w:trPr>
        <w:tc>
          <w:tcPr>
            <w:tcW w:w="1739" w:type="pct"/>
            <w:tcMar>
              <w:top w:w="0" w:type="dxa"/>
              <w:left w:w="100" w:type="dxa"/>
              <w:bottom w:w="0" w:type="dxa"/>
              <w:right w:w="100" w:type="dxa"/>
            </w:tcMar>
            <w:vAlign w:val="center"/>
          </w:tcPr>
          <w:p w14:paraId="52921FF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AE0591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(0.398)</w:t>
            </w:r>
          </w:p>
        </w:tc>
        <w:tc>
          <w:tcPr>
            <w:tcW w:w="1631" w:type="pct"/>
            <w:tcMar>
              <w:top w:w="0" w:type="dxa"/>
              <w:left w:w="100" w:type="dxa"/>
              <w:bottom w:w="0" w:type="dxa"/>
              <w:right w:w="100" w:type="dxa"/>
            </w:tcMar>
            <w:vAlign w:val="center"/>
          </w:tcPr>
          <w:p w14:paraId="1BC76AF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(0.402)</w:t>
            </w:r>
          </w:p>
        </w:tc>
      </w:tr>
      <w:tr w:rsidR="00BD732D" w:rsidRPr="001B2966" w14:paraId="5059BB57" w14:textId="77777777" w:rsidTr="00806A88">
        <w:trPr>
          <w:trHeight w:val="270"/>
        </w:trPr>
        <w:tc>
          <w:tcPr>
            <w:tcW w:w="1739" w:type="pct"/>
            <w:tcMar>
              <w:top w:w="0" w:type="dxa"/>
              <w:left w:w="100" w:type="dxa"/>
              <w:bottom w:w="0" w:type="dxa"/>
              <w:right w:w="100" w:type="dxa"/>
            </w:tcMar>
            <w:vAlign w:val="center"/>
          </w:tcPr>
          <w:p w14:paraId="12D0F2B1"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FB23A0"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1929B39"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9A4B65E" w14:textId="77777777" w:rsidTr="00806A88">
        <w:trPr>
          <w:trHeight w:val="330"/>
        </w:trPr>
        <w:tc>
          <w:tcPr>
            <w:tcW w:w="1739" w:type="pct"/>
            <w:tcMar>
              <w:top w:w="0" w:type="dxa"/>
              <w:left w:w="100" w:type="dxa"/>
              <w:bottom w:w="0" w:type="dxa"/>
              <w:right w:w="100" w:type="dxa"/>
            </w:tcMar>
            <w:vAlign w:val="center"/>
          </w:tcPr>
          <w:p w14:paraId="1D74C615"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Nonbinary</w:t>
            </w:r>
          </w:p>
        </w:tc>
        <w:tc>
          <w:tcPr>
            <w:tcW w:w="1631" w:type="pct"/>
            <w:tcMar>
              <w:top w:w="0" w:type="dxa"/>
              <w:left w:w="100" w:type="dxa"/>
              <w:bottom w:w="0" w:type="dxa"/>
              <w:right w:w="100" w:type="dxa"/>
            </w:tcMar>
            <w:vAlign w:val="center"/>
          </w:tcPr>
          <w:p w14:paraId="23DFE66D"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0.587</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5F97B26C"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0.604</w:t>
            </w:r>
            <w:r>
              <w:rPr>
                <w:rFonts w:asciiTheme="majorHAnsi" w:hAnsiTheme="majorHAnsi" w:cstheme="majorHAnsi"/>
                <w:sz w:val="20"/>
                <w:szCs w:val="20"/>
                <w:vertAlign w:val="superscript"/>
              </w:rPr>
              <w:t>***</w:t>
            </w:r>
          </w:p>
        </w:tc>
      </w:tr>
      <w:tr w:rsidR="00BD732D" w:rsidRPr="001B2966" w14:paraId="6B5C2A71" w14:textId="77777777" w:rsidTr="00806A88">
        <w:trPr>
          <w:trHeight w:val="270"/>
        </w:trPr>
        <w:tc>
          <w:tcPr>
            <w:tcW w:w="1739" w:type="pct"/>
            <w:tcMar>
              <w:top w:w="0" w:type="dxa"/>
              <w:left w:w="100" w:type="dxa"/>
              <w:bottom w:w="0" w:type="dxa"/>
              <w:right w:w="100" w:type="dxa"/>
            </w:tcMar>
            <w:vAlign w:val="center"/>
          </w:tcPr>
          <w:p w14:paraId="1EF52BE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EA160F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(0.116)</w:t>
            </w:r>
          </w:p>
        </w:tc>
        <w:tc>
          <w:tcPr>
            <w:tcW w:w="1631" w:type="pct"/>
            <w:tcMar>
              <w:top w:w="0" w:type="dxa"/>
              <w:left w:w="100" w:type="dxa"/>
              <w:bottom w:w="0" w:type="dxa"/>
              <w:right w:w="100" w:type="dxa"/>
            </w:tcMar>
            <w:vAlign w:val="center"/>
          </w:tcPr>
          <w:p w14:paraId="50125BE4"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(0.118)</w:t>
            </w:r>
          </w:p>
        </w:tc>
      </w:tr>
      <w:tr w:rsidR="00BD732D" w:rsidRPr="001B2966" w14:paraId="0449EA7B" w14:textId="77777777" w:rsidTr="00806A88">
        <w:trPr>
          <w:trHeight w:val="270"/>
        </w:trPr>
        <w:tc>
          <w:tcPr>
            <w:tcW w:w="1739" w:type="pct"/>
            <w:tcMar>
              <w:top w:w="0" w:type="dxa"/>
              <w:left w:w="100" w:type="dxa"/>
              <w:bottom w:w="0" w:type="dxa"/>
              <w:right w:w="100" w:type="dxa"/>
            </w:tcMar>
            <w:vAlign w:val="center"/>
          </w:tcPr>
          <w:p w14:paraId="49D5317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12D7FBE6"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2E773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4DB5959" w14:textId="77777777" w:rsidTr="00806A88">
        <w:trPr>
          <w:trHeight w:val="330"/>
        </w:trPr>
        <w:tc>
          <w:tcPr>
            <w:tcW w:w="1739" w:type="pct"/>
            <w:tcMar>
              <w:top w:w="0" w:type="dxa"/>
              <w:left w:w="100" w:type="dxa"/>
              <w:bottom w:w="0" w:type="dxa"/>
              <w:right w:w="100" w:type="dxa"/>
            </w:tcMar>
            <w:vAlign w:val="center"/>
          </w:tcPr>
          <w:p w14:paraId="22B531E0"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Gender diverse/questioning</w:t>
            </w:r>
          </w:p>
        </w:tc>
        <w:tc>
          <w:tcPr>
            <w:tcW w:w="1631" w:type="pct"/>
            <w:tcMar>
              <w:top w:w="0" w:type="dxa"/>
              <w:left w:w="100" w:type="dxa"/>
              <w:bottom w:w="0" w:type="dxa"/>
              <w:right w:w="100" w:type="dxa"/>
            </w:tcMar>
            <w:vAlign w:val="center"/>
          </w:tcPr>
          <w:p w14:paraId="1C4729E7"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0.460</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11F3258"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0.432</w:t>
            </w:r>
            <w:r>
              <w:rPr>
                <w:rFonts w:asciiTheme="majorHAnsi" w:hAnsiTheme="majorHAnsi" w:cstheme="majorHAnsi"/>
                <w:sz w:val="20"/>
                <w:szCs w:val="20"/>
                <w:vertAlign w:val="superscript"/>
              </w:rPr>
              <w:t>*</w:t>
            </w:r>
          </w:p>
        </w:tc>
      </w:tr>
      <w:tr w:rsidR="00BD732D" w:rsidRPr="001B2966" w14:paraId="5B475F8F" w14:textId="77777777" w:rsidTr="00806A88">
        <w:trPr>
          <w:trHeight w:val="270"/>
        </w:trPr>
        <w:tc>
          <w:tcPr>
            <w:tcW w:w="1739" w:type="pct"/>
            <w:tcMar>
              <w:top w:w="0" w:type="dxa"/>
              <w:left w:w="100" w:type="dxa"/>
              <w:bottom w:w="0" w:type="dxa"/>
              <w:right w:w="100" w:type="dxa"/>
            </w:tcMar>
            <w:vAlign w:val="center"/>
          </w:tcPr>
          <w:p w14:paraId="7DFF7D1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6E489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(0.223)</w:t>
            </w:r>
          </w:p>
        </w:tc>
        <w:tc>
          <w:tcPr>
            <w:tcW w:w="1631" w:type="pct"/>
            <w:tcMar>
              <w:top w:w="0" w:type="dxa"/>
              <w:left w:w="100" w:type="dxa"/>
              <w:bottom w:w="0" w:type="dxa"/>
              <w:right w:w="100" w:type="dxa"/>
            </w:tcMar>
            <w:vAlign w:val="center"/>
          </w:tcPr>
          <w:p w14:paraId="1AE4EC3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(0.229)</w:t>
            </w:r>
          </w:p>
        </w:tc>
      </w:tr>
      <w:tr w:rsidR="00BD732D" w:rsidRPr="001B2966" w14:paraId="0161BA53" w14:textId="77777777" w:rsidTr="00806A88">
        <w:trPr>
          <w:trHeight w:val="270"/>
        </w:trPr>
        <w:tc>
          <w:tcPr>
            <w:tcW w:w="1739" w:type="pct"/>
            <w:tcMar>
              <w:top w:w="0" w:type="dxa"/>
              <w:left w:w="100" w:type="dxa"/>
              <w:bottom w:w="0" w:type="dxa"/>
              <w:right w:w="100" w:type="dxa"/>
            </w:tcMar>
            <w:vAlign w:val="center"/>
          </w:tcPr>
          <w:p w14:paraId="5C29DFC4"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7A54D8"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915B8DC"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8D08498" w14:textId="77777777" w:rsidTr="00806A88">
        <w:trPr>
          <w:trHeight w:val="330"/>
        </w:trPr>
        <w:tc>
          <w:tcPr>
            <w:tcW w:w="1739" w:type="pct"/>
            <w:tcMar>
              <w:top w:w="0" w:type="dxa"/>
              <w:left w:w="100" w:type="dxa"/>
              <w:bottom w:w="0" w:type="dxa"/>
              <w:right w:w="100" w:type="dxa"/>
            </w:tcMar>
            <w:vAlign w:val="center"/>
          </w:tcPr>
          <w:p w14:paraId="1D35B2EF"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Prefer not to say</w:t>
            </w:r>
          </w:p>
        </w:tc>
        <w:tc>
          <w:tcPr>
            <w:tcW w:w="1631" w:type="pct"/>
            <w:tcMar>
              <w:top w:w="0" w:type="dxa"/>
              <w:left w:w="100" w:type="dxa"/>
              <w:bottom w:w="0" w:type="dxa"/>
              <w:right w:w="100" w:type="dxa"/>
            </w:tcMar>
            <w:vAlign w:val="center"/>
          </w:tcPr>
          <w:p w14:paraId="301E37D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0.313</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2502CB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0.259</w:t>
            </w:r>
          </w:p>
        </w:tc>
      </w:tr>
      <w:tr w:rsidR="00BD732D" w:rsidRPr="001B2966" w14:paraId="4702FF74"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627B9312" w14:textId="77777777" w:rsidR="00BD732D" w:rsidRPr="001B2966" w:rsidRDefault="00BD732D" w:rsidP="00806A88">
            <w:pPr>
              <w:rPr>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39C6058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(0.158)</w:t>
            </w:r>
          </w:p>
        </w:tc>
        <w:tc>
          <w:tcPr>
            <w:tcW w:w="1631" w:type="pct"/>
            <w:tcBorders>
              <w:bottom w:val="single" w:sz="8" w:space="0" w:color="000000"/>
            </w:tcBorders>
            <w:tcMar>
              <w:top w:w="0" w:type="dxa"/>
              <w:left w:w="100" w:type="dxa"/>
              <w:bottom w:w="0" w:type="dxa"/>
              <w:right w:w="100" w:type="dxa"/>
            </w:tcMar>
            <w:vAlign w:val="center"/>
          </w:tcPr>
          <w:p w14:paraId="7CCFB29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(0.161)</w:t>
            </w:r>
          </w:p>
        </w:tc>
      </w:tr>
      <w:tr w:rsidR="00BD732D" w:rsidRPr="001B2966" w14:paraId="1EA6C3A1" w14:textId="77777777" w:rsidTr="00806A88">
        <w:trPr>
          <w:trHeight w:val="285"/>
        </w:trPr>
        <w:tc>
          <w:tcPr>
            <w:tcW w:w="1739" w:type="pct"/>
            <w:tcMar>
              <w:top w:w="0" w:type="dxa"/>
              <w:left w:w="100" w:type="dxa"/>
              <w:bottom w:w="0" w:type="dxa"/>
              <w:right w:w="100" w:type="dxa"/>
            </w:tcMar>
            <w:vAlign w:val="center"/>
          </w:tcPr>
          <w:p w14:paraId="590EF29C"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Observations</w:t>
            </w:r>
          </w:p>
        </w:tc>
        <w:tc>
          <w:tcPr>
            <w:tcW w:w="1631" w:type="pct"/>
            <w:tcMar>
              <w:top w:w="0" w:type="dxa"/>
              <w:left w:w="100" w:type="dxa"/>
              <w:bottom w:w="0" w:type="dxa"/>
              <w:right w:w="100" w:type="dxa"/>
            </w:tcMar>
            <w:vAlign w:val="center"/>
          </w:tcPr>
          <w:p w14:paraId="2D7E32F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7497</w:t>
            </w:r>
          </w:p>
        </w:tc>
        <w:tc>
          <w:tcPr>
            <w:tcW w:w="1631" w:type="pct"/>
            <w:tcMar>
              <w:top w:w="0" w:type="dxa"/>
              <w:left w:w="100" w:type="dxa"/>
              <w:bottom w:w="0" w:type="dxa"/>
              <w:right w:w="100" w:type="dxa"/>
            </w:tcMar>
            <w:vAlign w:val="center"/>
          </w:tcPr>
          <w:p w14:paraId="5D764E4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7475</w:t>
            </w:r>
          </w:p>
        </w:tc>
      </w:tr>
      <w:tr w:rsidR="00BD732D" w:rsidRPr="001B2966" w14:paraId="4182E6D9"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7EABC14A"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Demographic controls</w:t>
            </w:r>
          </w:p>
        </w:tc>
        <w:tc>
          <w:tcPr>
            <w:tcW w:w="1631" w:type="pct"/>
            <w:tcBorders>
              <w:bottom w:val="single" w:sz="8" w:space="0" w:color="000000"/>
            </w:tcBorders>
            <w:tcMar>
              <w:top w:w="0" w:type="dxa"/>
              <w:left w:w="100" w:type="dxa"/>
              <w:bottom w:w="0" w:type="dxa"/>
              <w:right w:w="100" w:type="dxa"/>
            </w:tcMar>
            <w:vAlign w:val="center"/>
          </w:tcPr>
          <w:p w14:paraId="1E2330D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631" w:type="pct"/>
            <w:tcBorders>
              <w:bottom w:val="single" w:sz="8" w:space="0" w:color="000000"/>
            </w:tcBorders>
            <w:tcMar>
              <w:top w:w="0" w:type="dxa"/>
              <w:left w:w="100" w:type="dxa"/>
              <w:bottom w:w="0" w:type="dxa"/>
              <w:right w:w="100" w:type="dxa"/>
            </w:tcMar>
            <w:vAlign w:val="center"/>
          </w:tcPr>
          <w:p w14:paraId="4716673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55DEF74F" w14:textId="77777777" w:rsidR="00BD732D" w:rsidRPr="001B2966" w:rsidRDefault="00BD732D" w:rsidP="00BD732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65C281CA" w14:textId="77777777" w:rsidR="00BD732D" w:rsidRPr="001B2966" w:rsidRDefault="00BD732D" w:rsidP="00BD732D">
      <w:pPr>
        <w:spacing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71FA1864" w14:textId="77777777" w:rsidR="00BD732D" w:rsidRPr="001B2966" w:rsidRDefault="00BD732D" w:rsidP="00BD732D">
      <w:pPr>
        <w:spacing w:line="360" w:lineRule="auto"/>
        <w:rPr>
          <w:rFonts w:asciiTheme="majorHAnsi" w:hAnsiTheme="majorHAnsi" w:cstheme="majorHAnsi"/>
        </w:rPr>
      </w:pPr>
      <w:r>
        <w:rPr>
          <w:rFonts w:asciiTheme="majorHAnsi" w:hAnsiTheme="majorHAnsi" w:cstheme="majorHAnsi"/>
        </w:rPr>
        <w:t xml:space="preserve"> </w:t>
      </w:r>
    </w:p>
    <w:p w14:paraId="2286B7C1" w14:textId="408F2294" w:rsidR="00BD732D" w:rsidRPr="001B2966" w:rsidRDefault="00BD732D" w:rsidP="00BD732D">
      <w:pPr>
        <w:spacing w:line="360" w:lineRule="auto"/>
        <w:rPr>
          <w:rFonts w:asciiTheme="majorHAnsi" w:hAnsiTheme="majorHAnsi" w:cstheme="majorHAnsi"/>
          <w:b/>
          <w:bCs/>
        </w:rPr>
      </w:pPr>
      <w:r>
        <w:rPr>
          <w:b/>
          <w:bCs/>
        </w:rPr>
        <w:br w:type="page"/>
      </w:r>
      <w:r>
        <w:rPr>
          <w:rFonts w:asciiTheme="majorHAnsi" w:hAnsiTheme="majorHAnsi" w:cstheme="majorHAnsi"/>
          <w:b/>
          <w:bCs/>
        </w:rPr>
        <w:lastRenderedPageBreak/>
        <w:t>Table H4</w:t>
      </w:r>
    </w:p>
    <w:p w14:paraId="25443185" w14:textId="77777777" w:rsidR="00BD732D" w:rsidRPr="001B2966" w:rsidRDefault="00BD732D" w:rsidP="00BD732D">
      <w:pPr>
        <w:spacing w:line="360" w:lineRule="auto"/>
        <w:rPr>
          <w:rFonts w:asciiTheme="majorHAnsi" w:hAnsiTheme="majorHAnsi" w:cstheme="majorHAnsi"/>
        </w:rPr>
      </w:pPr>
      <w:r>
        <w:rPr>
          <w:rFonts w:asciiTheme="majorHAnsi" w:hAnsiTheme="majorHAnsi" w:cstheme="majorHAnsi"/>
          <w:i/>
          <w:iCs/>
          <w:highlight w:val="yellow"/>
        </w:rPr>
        <w:t>Ordered Logit Models: Highest Degree Plans, by Sexual Orientation</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732D" w:rsidRPr="001B2966" w14:paraId="264233E4"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442C7CF4" w14:textId="77777777" w:rsidR="00BD732D" w:rsidRPr="001B2966" w:rsidRDefault="00BD732D" w:rsidP="00806A88">
            <w:pPr>
              <w:ind w:left="-120"/>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9C27AF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34F4969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BD732D" w:rsidRPr="001B2966" w14:paraId="7AD89385" w14:textId="77777777" w:rsidTr="00806A88">
        <w:trPr>
          <w:trHeight w:val="345"/>
        </w:trPr>
        <w:tc>
          <w:tcPr>
            <w:tcW w:w="1839" w:type="pct"/>
            <w:tcMar>
              <w:top w:w="0" w:type="dxa"/>
              <w:left w:w="100" w:type="dxa"/>
              <w:bottom w:w="0" w:type="dxa"/>
              <w:right w:w="100" w:type="dxa"/>
            </w:tcMar>
            <w:vAlign w:val="center"/>
          </w:tcPr>
          <w:p w14:paraId="54CD702B"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Gay or lesbian</w:t>
            </w:r>
          </w:p>
        </w:tc>
        <w:tc>
          <w:tcPr>
            <w:tcW w:w="1581" w:type="pct"/>
            <w:tcMar>
              <w:top w:w="0" w:type="dxa"/>
              <w:left w:w="100" w:type="dxa"/>
              <w:bottom w:w="0" w:type="dxa"/>
              <w:right w:w="100" w:type="dxa"/>
            </w:tcMar>
            <w:vAlign w:val="center"/>
          </w:tcPr>
          <w:p w14:paraId="6855004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0.423</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F7A744"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0.328</w:t>
            </w:r>
            <w:r>
              <w:rPr>
                <w:rFonts w:asciiTheme="majorHAnsi" w:hAnsiTheme="majorHAnsi" w:cstheme="majorHAnsi"/>
                <w:sz w:val="20"/>
                <w:szCs w:val="20"/>
                <w:vertAlign w:val="superscript"/>
              </w:rPr>
              <w:t>***</w:t>
            </w:r>
          </w:p>
        </w:tc>
      </w:tr>
      <w:tr w:rsidR="00BD732D" w:rsidRPr="001B2966" w14:paraId="59ED80A7" w14:textId="77777777" w:rsidTr="00806A88">
        <w:trPr>
          <w:trHeight w:val="270"/>
        </w:trPr>
        <w:tc>
          <w:tcPr>
            <w:tcW w:w="1839" w:type="pct"/>
            <w:tcMar>
              <w:top w:w="0" w:type="dxa"/>
              <w:left w:w="100" w:type="dxa"/>
              <w:bottom w:w="0" w:type="dxa"/>
              <w:right w:w="100" w:type="dxa"/>
            </w:tcMar>
            <w:vAlign w:val="center"/>
          </w:tcPr>
          <w:p w14:paraId="61A061E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60D7EBA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(0.102)</w:t>
            </w:r>
          </w:p>
        </w:tc>
        <w:tc>
          <w:tcPr>
            <w:tcW w:w="1580" w:type="pct"/>
            <w:tcMar>
              <w:top w:w="0" w:type="dxa"/>
              <w:left w:w="100" w:type="dxa"/>
              <w:bottom w:w="0" w:type="dxa"/>
              <w:right w:w="100" w:type="dxa"/>
            </w:tcMar>
            <w:vAlign w:val="center"/>
          </w:tcPr>
          <w:p w14:paraId="56782342"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(0.105)</w:t>
            </w:r>
          </w:p>
        </w:tc>
      </w:tr>
      <w:tr w:rsidR="00BD732D" w:rsidRPr="001B2966" w14:paraId="4715B0A1" w14:textId="77777777" w:rsidTr="00806A88">
        <w:trPr>
          <w:trHeight w:val="270"/>
        </w:trPr>
        <w:tc>
          <w:tcPr>
            <w:tcW w:w="1839" w:type="pct"/>
            <w:tcMar>
              <w:top w:w="0" w:type="dxa"/>
              <w:left w:w="100" w:type="dxa"/>
              <w:bottom w:w="0" w:type="dxa"/>
              <w:right w:w="100" w:type="dxa"/>
            </w:tcMar>
            <w:vAlign w:val="center"/>
          </w:tcPr>
          <w:p w14:paraId="076D732B"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CE7ECB3"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38704BB8"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4BF067EC" w14:textId="77777777" w:rsidTr="00806A88">
        <w:trPr>
          <w:trHeight w:val="330"/>
        </w:trPr>
        <w:tc>
          <w:tcPr>
            <w:tcW w:w="1839" w:type="pct"/>
            <w:tcMar>
              <w:top w:w="0" w:type="dxa"/>
              <w:left w:w="100" w:type="dxa"/>
              <w:bottom w:w="0" w:type="dxa"/>
              <w:right w:w="100" w:type="dxa"/>
            </w:tcMar>
            <w:vAlign w:val="center"/>
          </w:tcPr>
          <w:p w14:paraId="2625E1B6"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Bisexual/pansexual/omnisexual</w:t>
            </w:r>
          </w:p>
        </w:tc>
        <w:tc>
          <w:tcPr>
            <w:tcW w:w="1581" w:type="pct"/>
            <w:tcMar>
              <w:top w:w="0" w:type="dxa"/>
              <w:left w:w="100" w:type="dxa"/>
              <w:bottom w:w="0" w:type="dxa"/>
              <w:right w:w="100" w:type="dxa"/>
            </w:tcMar>
            <w:vAlign w:val="center"/>
          </w:tcPr>
          <w:p w14:paraId="1650D910"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0.492</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36A3FB67"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0.462</w:t>
            </w:r>
            <w:r>
              <w:rPr>
                <w:rFonts w:asciiTheme="majorHAnsi" w:hAnsiTheme="majorHAnsi" w:cstheme="majorHAnsi"/>
                <w:sz w:val="20"/>
                <w:szCs w:val="20"/>
                <w:vertAlign w:val="superscript"/>
              </w:rPr>
              <w:t>***</w:t>
            </w:r>
          </w:p>
        </w:tc>
      </w:tr>
      <w:tr w:rsidR="00BD732D" w:rsidRPr="001B2966" w14:paraId="1451A424" w14:textId="77777777" w:rsidTr="00806A88">
        <w:trPr>
          <w:trHeight w:val="270"/>
        </w:trPr>
        <w:tc>
          <w:tcPr>
            <w:tcW w:w="1839" w:type="pct"/>
            <w:tcMar>
              <w:top w:w="0" w:type="dxa"/>
              <w:left w:w="100" w:type="dxa"/>
              <w:bottom w:w="0" w:type="dxa"/>
              <w:right w:w="100" w:type="dxa"/>
            </w:tcMar>
            <w:vAlign w:val="center"/>
          </w:tcPr>
          <w:p w14:paraId="60CFA9D7"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19B38688"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(0.060)</w:t>
            </w:r>
          </w:p>
        </w:tc>
        <w:tc>
          <w:tcPr>
            <w:tcW w:w="1580" w:type="pct"/>
            <w:tcMar>
              <w:top w:w="0" w:type="dxa"/>
              <w:left w:w="100" w:type="dxa"/>
              <w:bottom w:w="0" w:type="dxa"/>
              <w:right w:w="100" w:type="dxa"/>
            </w:tcMar>
            <w:vAlign w:val="center"/>
          </w:tcPr>
          <w:p w14:paraId="173CD8B0"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(0.061)</w:t>
            </w:r>
          </w:p>
        </w:tc>
      </w:tr>
      <w:tr w:rsidR="00BD732D" w:rsidRPr="001B2966" w14:paraId="23946602" w14:textId="77777777" w:rsidTr="00806A88">
        <w:trPr>
          <w:trHeight w:val="270"/>
        </w:trPr>
        <w:tc>
          <w:tcPr>
            <w:tcW w:w="1839" w:type="pct"/>
            <w:tcMar>
              <w:top w:w="0" w:type="dxa"/>
              <w:left w:w="100" w:type="dxa"/>
              <w:bottom w:w="0" w:type="dxa"/>
              <w:right w:w="100" w:type="dxa"/>
            </w:tcMar>
            <w:vAlign w:val="center"/>
          </w:tcPr>
          <w:p w14:paraId="1B12C88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3AA2C505"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16D27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388F1B5F" w14:textId="77777777" w:rsidTr="00806A88">
        <w:trPr>
          <w:trHeight w:val="330"/>
        </w:trPr>
        <w:tc>
          <w:tcPr>
            <w:tcW w:w="1839" w:type="pct"/>
            <w:tcMar>
              <w:top w:w="0" w:type="dxa"/>
              <w:left w:w="100" w:type="dxa"/>
              <w:bottom w:w="0" w:type="dxa"/>
              <w:right w:w="100" w:type="dxa"/>
            </w:tcMar>
            <w:vAlign w:val="center"/>
          </w:tcPr>
          <w:p w14:paraId="0F1A1D4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Asexual/aromantic/demisexual</w:t>
            </w:r>
          </w:p>
        </w:tc>
        <w:tc>
          <w:tcPr>
            <w:tcW w:w="1581" w:type="pct"/>
            <w:tcMar>
              <w:top w:w="0" w:type="dxa"/>
              <w:left w:w="100" w:type="dxa"/>
              <w:bottom w:w="0" w:type="dxa"/>
              <w:right w:w="100" w:type="dxa"/>
            </w:tcMar>
            <w:vAlign w:val="center"/>
          </w:tcPr>
          <w:p w14:paraId="77E1789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0.420</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DB3BB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0.224</w:t>
            </w:r>
          </w:p>
        </w:tc>
      </w:tr>
      <w:tr w:rsidR="00BD732D" w:rsidRPr="001B2966" w14:paraId="7EC42936" w14:textId="77777777" w:rsidTr="00806A88">
        <w:trPr>
          <w:trHeight w:val="270"/>
        </w:trPr>
        <w:tc>
          <w:tcPr>
            <w:tcW w:w="1839" w:type="pct"/>
            <w:tcMar>
              <w:top w:w="0" w:type="dxa"/>
              <w:left w:w="100" w:type="dxa"/>
              <w:bottom w:w="0" w:type="dxa"/>
              <w:right w:w="100" w:type="dxa"/>
            </w:tcMar>
            <w:vAlign w:val="center"/>
          </w:tcPr>
          <w:p w14:paraId="6519EC5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E8BD357"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(0.135)</w:t>
            </w:r>
          </w:p>
        </w:tc>
        <w:tc>
          <w:tcPr>
            <w:tcW w:w="1580" w:type="pct"/>
            <w:tcMar>
              <w:top w:w="0" w:type="dxa"/>
              <w:left w:w="100" w:type="dxa"/>
              <w:bottom w:w="0" w:type="dxa"/>
              <w:right w:w="100" w:type="dxa"/>
            </w:tcMar>
            <w:vAlign w:val="center"/>
          </w:tcPr>
          <w:p w14:paraId="45378A5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(0.138)</w:t>
            </w:r>
          </w:p>
        </w:tc>
      </w:tr>
      <w:tr w:rsidR="00BD732D" w:rsidRPr="001B2966" w14:paraId="7E8895A2" w14:textId="77777777" w:rsidTr="00806A88">
        <w:trPr>
          <w:trHeight w:val="270"/>
        </w:trPr>
        <w:tc>
          <w:tcPr>
            <w:tcW w:w="1839" w:type="pct"/>
            <w:tcMar>
              <w:top w:w="0" w:type="dxa"/>
              <w:left w:w="100" w:type="dxa"/>
              <w:bottom w:w="0" w:type="dxa"/>
              <w:right w:w="100" w:type="dxa"/>
            </w:tcMar>
            <w:vAlign w:val="center"/>
          </w:tcPr>
          <w:p w14:paraId="466E007E"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15AFA1"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2BFF5C67"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7AFAD1DC" w14:textId="77777777" w:rsidTr="00806A88">
        <w:trPr>
          <w:trHeight w:val="330"/>
        </w:trPr>
        <w:tc>
          <w:tcPr>
            <w:tcW w:w="1839" w:type="pct"/>
            <w:tcMar>
              <w:top w:w="0" w:type="dxa"/>
              <w:left w:w="100" w:type="dxa"/>
              <w:bottom w:w="0" w:type="dxa"/>
              <w:right w:w="100" w:type="dxa"/>
            </w:tcMar>
            <w:vAlign w:val="center"/>
          </w:tcPr>
          <w:p w14:paraId="58E16D39"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Other/queer/questioning</w:t>
            </w:r>
          </w:p>
        </w:tc>
        <w:tc>
          <w:tcPr>
            <w:tcW w:w="1581" w:type="pct"/>
            <w:tcMar>
              <w:top w:w="0" w:type="dxa"/>
              <w:left w:w="100" w:type="dxa"/>
              <w:bottom w:w="0" w:type="dxa"/>
              <w:right w:w="100" w:type="dxa"/>
            </w:tcMar>
            <w:vAlign w:val="center"/>
          </w:tcPr>
          <w:p w14:paraId="5B2809D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0.365</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2A0E2053"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0.257</w:t>
            </w:r>
          </w:p>
        </w:tc>
      </w:tr>
      <w:tr w:rsidR="00BD732D" w:rsidRPr="001B2966" w14:paraId="33C3BB2D" w14:textId="77777777" w:rsidTr="00806A88">
        <w:trPr>
          <w:trHeight w:val="270"/>
        </w:trPr>
        <w:tc>
          <w:tcPr>
            <w:tcW w:w="1839" w:type="pct"/>
            <w:tcMar>
              <w:top w:w="0" w:type="dxa"/>
              <w:left w:w="100" w:type="dxa"/>
              <w:bottom w:w="0" w:type="dxa"/>
              <w:right w:w="100" w:type="dxa"/>
            </w:tcMar>
            <w:vAlign w:val="center"/>
          </w:tcPr>
          <w:p w14:paraId="0351F098"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9879A82"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(0.158)</w:t>
            </w:r>
          </w:p>
        </w:tc>
        <w:tc>
          <w:tcPr>
            <w:tcW w:w="1580" w:type="pct"/>
            <w:tcMar>
              <w:top w:w="0" w:type="dxa"/>
              <w:left w:w="100" w:type="dxa"/>
              <w:bottom w:w="0" w:type="dxa"/>
              <w:right w:w="100" w:type="dxa"/>
            </w:tcMar>
            <w:vAlign w:val="center"/>
          </w:tcPr>
          <w:p w14:paraId="623F5C4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(0.162)</w:t>
            </w:r>
          </w:p>
        </w:tc>
      </w:tr>
      <w:tr w:rsidR="00BD732D" w:rsidRPr="001B2966" w14:paraId="5DFF810C" w14:textId="77777777" w:rsidTr="00806A88">
        <w:trPr>
          <w:trHeight w:val="270"/>
        </w:trPr>
        <w:tc>
          <w:tcPr>
            <w:tcW w:w="1839" w:type="pct"/>
            <w:tcMar>
              <w:top w:w="0" w:type="dxa"/>
              <w:left w:w="100" w:type="dxa"/>
              <w:bottom w:w="0" w:type="dxa"/>
              <w:right w:w="100" w:type="dxa"/>
            </w:tcMar>
            <w:vAlign w:val="center"/>
          </w:tcPr>
          <w:p w14:paraId="76F08DB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7922DD"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33B1E2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681D1B8F" w14:textId="77777777" w:rsidTr="00806A88">
        <w:trPr>
          <w:trHeight w:val="330"/>
        </w:trPr>
        <w:tc>
          <w:tcPr>
            <w:tcW w:w="1839" w:type="pct"/>
            <w:tcMar>
              <w:top w:w="0" w:type="dxa"/>
              <w:left w:w="100" w:type="dxa"/>
              <w:bottom w:w="0" w:type="dxa"/>
              <w:right w:w="100" w:type="dxa"/>
            </w:tcMar>
            <w:vAlign w:val="center"/>
          </w:tcPr>
          <w:p w14:paraId="2E0697E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581" w:type="pct"/>
            <w:tcMar>
              <w:top w:w="0" w:type="dxa"/>
              <w:left w:w="100" w:type="dxa"/>
              <w:bottom w:w="0" w:type="dxa"/>
              <w:right w:w="100" w:type="dxa"/>
            </w:tcMar>
            <w:vAlign w:val="center"/>
          </w:tcPr>
          <w:p w14:paraId="4DFD698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0.150</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0DC560B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0.048</w:t>
            </w:r>
          </w:p>
        </w:tc>
      </w:tr>
      <w:tr w:rsidR="00BD732D" w:rsidRPr="001B2966" w14:paraId="545C1C71"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3FB7222D"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6FA7016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(0.084)</w:t>
            </w:r>
          </w:p>
        </w:tc>
        <w:tc>
          <w:tcPr>
            <w:tcW w:w="1580" w:type="pct"/>
            <w:tcBorders>
              <w:bottom w:val="single" w:sz="8" w:space="0" w:color="000000"/>
            </w:tcBorders>
            <w:tcMar>
              <w:top w:w="0" w:type="dxa"/>
              <w:left w:w="100" w:type="dxa"/>
              <w:bottom w:w="0" w:type="dxa"/>
              <w:right w:w="100" w:type="dxa"/>
            </w:tcMar>
            <w:vAlign w:val="center"/>
          </w:tcPr>
          <w:p w14:paraId="74ED72D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(0.085)</w:t>
            </w:r>
          </w:p>
        </w:tc>
      </w:tr>
      <w:tr w:rsidR="00BD732D" w:rsidRPr="001B2966" w14:paraId="6E3935DC" w14:textId="77777777" w:rsidTr="00806A88">
        <w:trPr>
          <w:trHeight w:val="285"/>
        </w:trPr>
        <w:tc>
          <w:tcPr>
            <w:tcW w:w="1839" w:type="pct"/>
            <w:tcMar>
              <w:top w:w="0" w:type="dxa"/>
              <w:left w:w="100" w:type="dxa"/>
              <w:bottom w:w="0" w:type="dxa"/>
              <w:right w:w="100" w:type="dxa"/>
            </w:tcMar>
            <w:vAlign w:val="center"/>
          </w:tcPr>
          <w:p w14:paraId="6CBBEFA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00E5698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7456</w:t>
            </w:r>
          </w:p>
        </w:tc>
        <w:tc>
          <w:tcPr>
            <w:tcW w:w="1580" w:type="pct"/>
            <w:tcMar>
              <w:top w:w="0" w:type="dxa"/>
              <w:left w:w="100" w:type="dxa"/>
              <w:bottom w:w="0" w:type="dxa"/>
              <w:right w:w="100" w:type="dxa"/>
            </w:tcMar>
            <w:vAlign w:val="center"/>
          </w:tcPr>
          <w:p w14:paraId="7C0F338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7433</w:t>
            </w:r>
          </w:p>
        </w:tc>
      </w:tr>
      <w:tr w:rsidR="00BD732D" w:rsidRPr="001B2966" w14:paraId="1FD3009C"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23D4208D"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581" w:type="pct"/>
            <w:tcBorders>
              <w:bottom w:val="single" w:sz="8" w:space="0" w:color="000000"/>
            </w:tcBorders>
            <w:tcMar>
              <w:top w:w="0" w:type="dxa"/>
              <w:left w:w="100" w:type="dxa"/>
              <w:bottom w:w="0" w:type="dxa"/>
              <w:right w:w="100" w:type="dxa"/>
            </w:tcMar>
            <w:vAlign w:val="center"/>
          </w:tcPr>
          <w:p w14:paraId="1BF17CC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80" w:type="pct"/>
            <w:tcBorders>
              <w:bottom w:val="single" w:sz="8" w:space="0" w:color="000000"/>
            </w:tcBorders>
            <w:tcMar>
              <w:top w:w="0" w:type="dxa"/>
              <w:left w:w="100" w:type="dxa"/>
              <w:bottom w:w="0" w:type="dxa"/>
              <w:right w:w="100" w:type="dxa"/>
            </w:tcMar>
            <w:vAlign w:val="center"/>
          </w:tcPr>
          <w:p w14:paraId="1A4D3AB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7CCB30FE" w14:textId="77777777" w:rsidR="00BD732D" w:rsidRPr="001B2966" w:rsidRDefault="00BD732D" w:rsidP="00BD732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1A2375B0" w14:textId="77777777" w:rsidR="00BD732D" w:rsidRPr="001B2966" w:rsidRDefault="00BD732D" w:rsidP="00BD732D">
      <w:pPr>
        <w:spacing w:after="240"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6C316550" w14:textId="7862CB3F" w:rsidR="00020A7C" w:rsidRDefault="00020A7C">
      <w:pPr>
        <w:rPr>
          <w:rFonts w:asciiTheme="majorHAnsi" w:hAnsiTheme="majorHAnsi" w:cstheme="majorHAnsi"/>
        </w:rPr>
      </w:pPr>
      <w:r>
        <w:rPr>
          <w:rFonts w:asciiTheme="majorHAnsi" w:hAnsiTheme="majorHAnsi" w:cstheme="majorHAnsi"/>
        </w:rPr>
        <w:br w:type="page"/>
      </w:r>
    </w:p>
    <w:p w14:paraId="011C21B5" w14:textId="1400B372" w:rsidR="005C1AB6" w:rsidRPr="00D720F2" w:rsidRDefault="00020A7C"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I: Predicted Probabilities of Degree Aspirations</w:t>
      </w:r>
    </w:p>
    <w:p w14:paraId="57B67C30" w14:textId="77777777" w:rsidR="00020A7C" w:rsidRDefault="00020A7C" w:rsidP="001B2966">
      <w:pPr>
        <w:spacing w:line="360" w:lineRule="auto"/>
        <w:rPr>
          <w:rFonts w:asciiTheme="majorHAnsi" w:hAnsiTheme="majorHAnsi" w:cstheme="majorHAnsi"/>
        </w:rPr>
      </w:pPr>
    </w:p>
    <w:p w14:paraId="44660131" w14:textId="4F7CA883" w:rsidR="00A00541" w:rsidRPr="001B2966" w:rsidRDefault="00A00541" w:rsidP="00A00541">
      <w:pPr>
        <w:spacing w:line="360" w:lineRule="auto"/>
        <w:rPr>
          <w:rFonts w:asciiTheme="majorHAnsi" w:hAnsiTheme="majorHAnsi" w:cstheme="majorHAnsi"/>
          <w:b/>
          <w:bCs/>
        </w:rPr>
      </w:pPr>
      <w:r>
        <w:rPr>
          <w:rFonts w:asciiTheme="majorHAnsi" w:hAnsiTheme="majorHAnsi" w:cstheme="majorHAnsi"/>
          <w:b/>
          <w:bCs/>
        </w:rPr>
        <w:t>Figure I1</w:t>
      </w:r>
    </w:p>
    <w:p w14:paraId="28E25DCC" w14:textId="66DA2D38" w:rsidR="00A00541" w:rsidRDefault="00A00541" w:rsidP="00A00541">
      <w:pPr>
        <w:spacing w:line="360" w:lineRule="auto"/>
        <w:rPr>
          <w:rFonts w:asciiTheme="majorHAnsi" w:hAnsiTheme="majorHAnsi" w:cstheme="majorHAnsi"/>
          <w:i/>
          <w:iCs/>
        </w:rPr>
      </w:pPr>
      <w:r>
        <w:rPr>
          <w:rFonts w:asciiTheme="majorHAnsi" w:hAnsiTheme="majorHAnsi" w:cstheme="majorHAnsi"/>
          <w:i/>
          <w:iCs/>
        </w:rPr>
        <w:t>Predicted Probability of Degree Aspirations by Gender Identity, Evaluated at Sample Means</w:t>
      </w:r>
    </w:p>
    <w:p w14:paraId="2008517C" w14:textId="3FED2070" w:rsidR="00A00541" w:rsidRDefault="00A00541" w:rsidP="00FC4653">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070232B8" wp14:editId="6A16854F">
            <wp:extent cx="5763492" cy="3840480"/>
            <wp:effectExtent l="0" t="0" r="2540" b="0"/>
            <wp:docPr id="225026159" name="Picture 10"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  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3492" cy="3840480"/>
                    </a:xfrm>
                    <a:prstGeom prst="rect">
                      <a:avLst/>
                    </a:prstGeom>
                  </pic:spPr>
                </pic:pic>
              </a:graphicData>
            </a:graphic>
          </wp:inline>
        </w:drawing>
      </w:r>
    </w:p>
    <w:p w14:paraId="6A196E37" w14:textId="77777777"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3E89DB71" w14:textId="0AB683F6" w:rsidR="00FC4653" w:rsidRDefault="00FC4653">
      <w:pPr>
        <w:rPr>
          <w:rFonts w:asciiTheme="majorHAnsi" w:hAnsiTheme="majorHAnsi" w:cstheme="majorHAnsi"/>
          <w:i/>
          <w:iCs/>
        </w:rPr>
      </w:pPr>
      <w:r>
        <w:rPr>
          <w:rFonts w:asciiTheme="majorHAnsi" w:hAnsiTheme="majorHAnsi" w:cstheme="majorHAnsi"/>
          <w:i/>
          <w:iCs/>
        </w:rPr>
        <w:br w:type="page"/>
      </w:r>
    </w:p>
    <w:p w14:paraId="09A44EE0" w14:textId="0ADC7D1A" w:rsidR="00FC4653" w:rsidRPr="001B2966" w:rsidRDefault="00FC4653" w:rsidP="00FC4653">
      <w:pPr>
        <w:spacing w:line="360" w:lineRule="auto"/>
        <w:rPr>
          <w:rFonts w:asciiTheme="majorHAnsi" w:hAnsiTheme="majorHAnsi" w:cstheme="majorHAnsi"/>
          <w:b/>
          <w:bCs/>
        </w:rPr>
      </w:pPr>
      <w:r>
        <w:rPr>
          <w:rFonts w:asciiTheme="majorHAnsi" w:hAnsiTheme="majorHAnsi" w:cstheme="majorHAnsi"/>
          <w:b/>
          <w:bCs/>
        </w:rPr>
        <w:lastRenderedPageBreak/>
        <w:t>Figure I2</w:t>
      </w:r>
    </w:p>
    <w:p w14:paraId="2223D54F" w14:textId="7A291FAA" w:rsidR="00D26BAA" w:rsidRDefault="003018AE" w:rsidP="00FC4653">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w:t>
      </w:r>
    </w:p>
    <w:p w14:paraId="1481E55F" w14:textId="1DEA2805" w:rsidR="00D26BAA" w:rsidRDefault="00D26BAA" w:rsidP="00D720F2">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3B0E1392" wp14:editId="152E4360">
            <wp:extent cx="5763491" cy="3840480"/>
            <wp:effectExtent l="0" t="0" r="2540" b="0"/>
            <wp:docPr id="275221566" name="Picture 11"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  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061C4B24" w14:textId="0262D9EE"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2540D5B1" w14:textId="77777777" w:rsidR="00D26BAA" w:rsidRDefault="00D26BAA" w:rsidP="00A00541">
      <w:pPr>
        <w:spacing w:line="360" w:lineRule="auto"/>
        <w:rPr>
          <w:rFonts w:asciiTheme="majorHAnsi" w:hAnsiTheme="majorHAnsi" w:cstheme="majorHAnsi"/>
        </w:rPr>
      </w:pPr>
    </w:p>
    <w:p w14:paraId="71F73AF5" w14:textId="77777777" w:rsidR="00D26BAA" w:rsidRDefault="00D26BAA">
      <w:pPr>
        <w:rPr>
          <w:rFonts w:asciiTheme="majorHAnsi" w:hAnsiTheme="majorHAnsi" w:cstheme="majorHAnsi"/>
          <w:b/>
          <w:bCs/>
        </w:rPr>
      </w:pPr>
      <w:r>
        <w:rPr>
          <w:rFonts w:asciiTheme="majorHAnsi" w:hAnsiTheme="majorHAnsi" w:cstheme="majorHAnsi"/>
          <w:b/>
          <w:bCs/>
        </w:rPr>
        <w:br w:type="page"/>
      </w:r>
    </w:p>
    <w:p w14:paraId="1C6380F7" w14:textId="354CAAB9" w:rsidR="00D26BAA" w:rsidRPr="001B2966" w:rsidRDefault="00D26BAA" w:rsidP="00D26BAA">
      <w:pPr>
        <w:spacing w:line="360" w:lineRule="auto"/>
        <w:rPr>
          <w:rFonts w:asciiTheme="majorHAnsi" w:hAnsiTheme="majorHAnsi" w:cstheme="majorHAnsi"/>
          <w:b/>
          <w:bCs/>
        </w:rPr>
      </w:pPr>
      <w:r>
        <w:rPr>
          <w:rFonts w:asciiTheme="majorHAnsi" w:hAnsiTheme="majorHAnsi" w:cstheme="majorHAnsi"/>
          <w:b/>
          <w:bCs/>
        </w:rPr>
        <w:lastRenderedPageBreak/>
        <w:t>Figure I3</w:t>
      </w:r>
    </w:p>
    <w:p w14:paraId="587D91C2" w14:textId="6896CDA7" w:rsidR="00D26BAA" w:rsidRDefault="00EB3E9C" w:rsidP="00D26BAA">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 Controlling for Assigned Sex at Birth</w:t>
      </w:r>
    </w:p>
    <w:p w14:paraId="0B614305" w14:textId="78E28623" w:rsidR="00020A7C" w:rsidRDefault="00020A7C" w:rsidP="00D720F2">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461AC7FA" wp14:editId="53C66F9D">
            <wp:extent cx="5763491" cy="3840480"/>
            <wp:effectExtent l="0" t="0" r="2540" b="0"/>
            <wp:docPr id="2033411400" name="Picture 12"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  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7FA87364" w14:textId="00DD051B" w:rsidR="00A219C7" w:rsidRDefault="00A219C7" w:rsidP="00A00541">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 and assigned sex at birth.</w:t>
      </w:r>
    </w:p>
    <w:p w14:paraId="46652050" w14:textId="5EB8FFA0" w:rsidR="00352836" w:rsidRDefault="00352836">
      <w:pPr>
        <w:rPr>
          <w:rFonts w:asciiTheme="majorHAnsi" w:hAnsiTheme="majorHAnsi" w:cstheme="majorHAnsi"/>
          <w:sz w:val="20"/>
          <w:szCs w:val="20"/>
        </w:rPr>
      </w:pPr>
      <w:r>
        <w:rPr>
          <w:rFonts w:asciiTheme="majorHAnsi" w:hAnsiTheme="majorHAnsi" w:cstheme="majorHAnsi"/>
          <w:sz w:val="20"/>
          <w:szCs w:val="20"/>
        </w:rPr>
        <w:br w:type="page"/>
      </w:r>
    </w:p>
    <w:p w14:paraId="7A339754" w14:textId="7A7E7179" w:rsidR="00352836" w:rsidRPr="00352836" w:rsidRDefault="00352836" w:rsidP="00352836">
      <w:pPr>
        <w:spacing w:line="360" w:lineRule="auto"/>
        <w:jc w:val="center"/>
        <w:rPr>
          <w:rFonts w:asciiTheme="majorHAnsi" w:hAnsiTheme="majorHAnsi" w:cstheme="majorHAnsi"/>
          <w:b/>
          <w:bCs/>
        </w:rPr>
      </w:pPr>
      <w:r>
        <w:rPr>
          <w:rFonts w:asciiTheme="majorHAnsi" w:hAnsiTheme="majorHAnsi" w:cstheme="majorHAnsi"/>
          <w:b/>
          <w:bCs/>
        </w:rPr>
        <w:lastRenderedPageBreak/>
        <w:t>Appendix J: Bullying as Mediator for High School Experience</w:t>
      </w:r>
    </w:p>
    <w:p w14:paraId="7FE317B5" w14:textId="77777777" w:rsidR="00352836" w:rsidRDefault="00352836" w:rsidP="00A00541">
      <w:pPr>
        <w:spacing w:line="360" w:lineRule="auto"/>
        <w:rPr>
          <w:rFonts w:asciiTheme="majorHAnsi" w:hAnsiTheme="majorHAnsi" w:cstheme="majorHAnsi"/>
          <w:sz w:val="20"/>
          <w:szCs w:val="20"/>
        </w:rPr>
      </w:pPr>
    </w:p>
    <w:p w14:paraId="6F807260" w14:textId="24190FDD" w:rsidR="005D0E46" w:rsidRPr="00B621E1" w:rsidRDefault="005D0E46" w:rsidP="005D0E46">
      <w:pPr>
        <w:spacing w:line="360" w:lineRule="auto"/>
        <w:rPr>
          <w:rFonts w:asciiTheme="majorHAnsi" w:hAnsiTheme="majorHAnsi" w:cstheme="majorHAnsi"/>
          <w:b/>
          <w:bCs/>
        </w:rPr>
      </w:pPr>
      <w:r>
        <w:rPr>
          <w:rFonts w:asciiTheme="majorHAnsi" w:hAnsiTheme="majorHAnsi" w:cstheme="majorHAnsi"/>
          <w:b/>
          <w:bCs/>
        </w:rPr>
        <w:t>Figure J1</w:t>
      </w:r>
    </w:p>
    <w:p w14:paraId="4945A3F2" w14:textId="54150653" w:rsidR="00352836" w:rsidRPr="001A3945" w:rsidRDefault="005D0E46"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Gender Identity, Controlling for Bullying</w:t>
      </w:r>
    </w:p>
    <w:p w14:paraId="2550F5A7" w14:textId="2DECCEDA" w:rsidR="00352836" w:rsidRDefault="00352836" w:rsidP="001A3945">
      <w:pPr>
        <w:spacing w:line="360" w:lineRule="auto"/>
        <w:jc w:val="center"/>
        <w:rPr>
          <w:rFonts w:asciiTheme="majorHAnsi" w:hAnsiTheme="majorHAnsi" w:cstheme="majorHAnsi"/>
          <w:sz w:val="20"/>
          <w:szCs w:val="20"/>
        </w:rPr>
      </w:pPr>
      <w:r>
        <w:rPr>
          <w:rFonts w:asciiTheme="majorHAnsi" w:hAnsiTheme="majorHAnsi" w:cstheme="majorHAnsi"/>
          <w:noProof/>
        </w:rPr>
        <w:drawing>
          <wp:inline distT="0" distB="0" distL="0" distR="0" wp14:anchorId="70C84A19" wp14:editId="0167131F">
            <wp:extent cx="5033099" cy="3657600"/>
            <wp:effectExtent l="0" t="0" r="0" b="0"/>
            <wp:docPr id="88520214" name="Picture 3"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14" name="Picture 3" descr="A graph with different colored lines  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4BABD21" w14:textId="0DF7830A" w:rsidR="00352836" w:rsidRPr="0058735A" w:rsidRDefault="007F189C" w:rsidP="001A3945">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For the unconditional model, n = 7,483. For the model controlling for demographics (race/ethnicity and parental level of education), n = 7,464. For the model controlling for demographics and frequency of bullying, n = 7,456. The lines indicate 95 percent confidence intervals while the sample frequency and mean index of each gender identity are reported in parentheses. The vertical line at 0 represents the coefficient for the reference group (cisgender man).</w:t>
      </w:r>
    </w:p>
    <w:p w14:paraId="7C9EF2AA" w14:textId="77777777" w:rsidR="00352836" w:rsidRDefault="00352836" w:rsidP="00A00541">
      <w:pPr>
        <w:spacing w:line="360" w:lineRule="auto"/>
        <w:rPr>
          <w:rFonts w:asciiTheme="majorHAnsi" w:hAnsiTheme="majorHAnsi" w:cstheme="majorHAnsi"/>
          <w:sz w:val="20"/>
          <w:szCs w:val="20"/>
        </w:rPr>
      </w:pPr>
    </w:p>
    <w:p w14:paraId="52D4553D" w14:textId="77777777" w:rsidR="006B4158" w:rsidRDefault="006B4158">
      <w:pPr>
        <w:rPr>
          <w:rFonts w:asciiTheme="majorHAnsi" w:hAnsiTheme="majorHAnsi" w:cstheme="majorHAnsi"/>
          <w:b/>
          <w:bCs/>
        </w:rPr>
      </w:pPr>
      <w:r>
        <w:rPr>
          <w:rFonts w:asciiTheme="majorHAnsi" w:hAnsiTheme="majorHAnsi" w:cstheme="majorHAnsi"/>
          <w:b/>
          <w:bCs/>
        </w:rPr>
        <w:br w:type="page"/>
      </w:r>
    </w:p>
    <w:p w14:paraId="5754ACBB" w14:textId="3C2A17A5" w:rsidR="006B4158" w:rsidRPr="00B621E1" w:rsidRDefault="006B4158" w:rsidP="006B4158">
      <w:pPr>
        <w:spacing w:line="360" w:lineRule="auto"/>
        <w:rPr>
          <w:rFonts w:asciiTheme="majorHAnsi" w:hAnsiTheme="majorHAnsi" w:cstheme="majorHAnsi"/>
          <w:b/>
          <w:bCs/>
        </w:rPr>
      </w:pPr>
      <w:r>
        <w:rPr>
          <w:rFonts w:asciiTheme="majorHAnsi" w:hAnsiTheme="majorHAnsi" w:cstheme="majorHAnsi"/>
          <w:b/>
          <w:bCs/>
        </w:rPr>
        <w:lastRenderedPageBreak/>
        <w:t>Figure J2</w:t>
      </w:r>
    </w:p>
    <w:p w14:paraId="6488BC0B" w14:textId="3C24954B" w:rsidR="006B4158" w:rsidRPr="001A3945" w:rsidRDefault="006B4158"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 Controlling for Bullying</w:t>
      </w:r>
    </w:p>
    <w:p w14:paraId="5312ABC0" w14:textId="77777777" w:rsidR="00221C6C" w:rsidRDefault="00352836" w:rsidP="00221C6C">
      <w:pPr>
        <w:spacing w:line="360" w:lineRule="auto"/>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8DB0488" wp14:editId="02D6B193">
            <wp:extent cx="5033099" cy="3657600"/>
            <wp:effectExtent l="0" t="0" r="0" b="0"/>
            <wp:docPr id="1116610179" name="Picture 5"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79" name="Picture 5" descr="A graph with numbers and lines  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8B3BFAB" w14:textId="30A207D1" w:rsidR="002777E5" w:rsidRDefault="002777E5" w:rsidP="004172C6">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7,442. For the model controlling for demographics (race/ethnicity and parental level of education), n = 7,422. For the model controlling for demographics and frequency of bullying, n = 7,414. For the model additionally controlling for assigned sex at birth, n = 7,404. The lines indicate 95 percent confidence intervals while the sample frequency and mean index of each sexual orientation are reported in parentheses. The vertical line at 0 represents the coefficient for the reference group (straight/heterosexual).</w:t>
      </w:r>
    </w:p>
    <w:p w14:paraId="470AB053" w14:textId="77777777" w:rsidR="00272EB8" w:rsidRDefault="00272EB8" w:rsidP="004172C6">
      <w:pPr>
        <w:rPr>
          <w:rFonts w:asciiTheme="majorHAnsi" w:hAnsiTheme="majorHAnsi" w:cstheme="majorHAnsi"/>
          <w:sz w:val="20"/>
          <w:szCs w:val="20"/>
        </w:rPr>
      </w:pPr>
    </w:p>
    <w:p w14:paraId="3041AECD" w14:textId="77777777" w:rsidR="00272EB8" w:rsidRDefault="00272EB8" w:rsidP="004172C6">
      <w:pPr>
        <w:rPr>
          <w:rFonts w:asciiTheme="majorHAnsi" w:hAnsiTheme="majorHAnsi" w:cstheme="majorHAnsi"/>
          <w:sz w:val="20"/>
          <w:szCs w:val="20"/>
        </w:rPr>
      </w:pPr>
    </w:p>
    <w:p w14:paraId="2890DF3F" w14:textId="36E244CD" w:rsidR="00272EB8" w:rsidRDefault="00272EB8">
      <w:pPr>
        <w:rPr>
          <w:rFonts w:asciiTheme="majorHAnsi" w:hAnsiTheme="majorHAnsi" w:cstheme="majorHAnsi"/>
          <w:sz w:val="20"/>
          <w:szCs w:val="20"/>
        </w:rPr>
      </w:pPr>
      <w:r>
        <w:rPr>
          <w:rFonts w:asciiTheme="majorHAnsi" w:hAnsiTheme="majorHAnsi" w:cstheme="majorHAnsi"/>
          <w:sz w:val="20"/>
          <w:szCs w:val="20"/>
        </w:rPr>
        <w:br w:type="page"/>
      </w:r>
    </w:p>
    <w:p w14:paraId="21763874" w14:textId="5A65E853" w:rsidR="00272EB8" w:rsidRDefault="00272EB8" w:rsidP="00272EB8">
      <w:pPr>
        <w:jc w:val="center"/>
        <w:rPr>
          <w:rFonts w:asciiTheme="majorHAnsi" w:hAnsiTheme="majorHAnsi" w:cstheme="majorHAnsi"/>
          <w:b/>
          <w:bCs/>
        </w:rPr>
      </w:pPr>
      <w:r>
        <w:rPr>
          <w:rFonts w:asciiTheme="majorHAnsi" w:hAnsiTheme="majorHAnsi" w:cstheme="majorHAnsi"/>
          <w:b/>
          <w:bCs/>
        </w:rPr>
        <w:lastRenderedPageBreak/>
        <w:t>Appendix K: Bullying as Mediator for College Worries</w:t>
      </w:r>
    </w:p>
    <w:p w14:paraId="5C86B4DF" w14:textId="77777777" w:rsidR="0009553C" w:rsidRDefault="0009553C" w:rsidP="0009553C">
      <w:pPr>
        <w:rPr>
          <w:rFonts w:asciiTheme="majorHAnsi" w:hAnsiTheme="majorHAnsi" w:cstheme="majorHAnsi"/>
          <w:b/>
          <w:bCs/>
        </w:rPr>
      </w:pPr>
    </w:p>
    <w:p w14:paraId="63844626" w14:textId="07EE63D3" w:rsidR="00DD1600" w:rsidRDefault="00DD1600" w:rsidP="0009553C">
      <w:pPr>
        <w:rPr>
          <w:rFonts w:asciiTheme="majorHAnsi" w:hAnsiTheme="majorHAnsi" w:cstheme="majorHAnsi"/>
          <w:b/>
          <w:bCs/>
        </w:rPr>
      </w:pPr>
      <w:r>
        <w:rPr>
          <w:rFonts w:asciiTheme="majorHAnsi" w:hAnsiTheme="majorHAnsi" w:cstheme="majorHAnsi"/>
          <w:b/>
          <w:bCs/>
        </w:rPr>
        <w:t>Figure K1</w:t>
      </w:r>
    </w:p>
    <w:p w14:paraId="77EF1860" w14:textId="178158B5" w:rsidR="00DD1600" w:rsidRPr="001A3945" w:rsidRDefault="00DD1600"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Gender Identity, Controlling for Bullying</w:t>
      </w:r>
    </w:p>
    <w:p w14:paraId="59A95EAB" w14:textId="77777777" w:rsidR="0009553C" w:rsidRDefault="0009553C" w:rsidP="001A3945">
      <w:pPr>
        <w:jc w:val="center"/>
        <w:rPr>
          <w:rFonts w:asciiTheme="majorHAnsi" w:hAnsiTheme="majorHAnsi" w:cstheme="majorHAnsi"/>
        </w:rPr>
      </w:pPr>
      <w:r>
        <w:rPr>
          <w:rFonts w:asciiTheme="majorHAnsi" w:hAnsiTheme="majorHAnsi" w:cstheme="majorHAnsi"/>
          <w:noProof/>
        </w:rPr>
        <w:drawing>
          <wp:inline distT="0" distB="0" distL="0" distR="0" wp14:anchorId="2F22D7CD" wp14:editId="6331A6BE">
            <wp:extent cx="5033099" cy="3657600"/>
            <wp:effectExtent l="0" t="0" r="0" b="0"/>
            <wp:docPr id="2003429602" name="Picture 8"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602" name="Picture 8" descr="A graph with different colored lines  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0BB156B" w14:textId="7EA71B98" w:rsidR="0009553C" w:rsidRPr="001A3945" w:rsidRDefault="0009553C" w:rsidP="000955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42319EA4" w14:textId="77777777" w:rsidR="0009553C" w:rsidRDefault="0009553C" w:rsidP="0009553C">
      <w:pPr>
        <w:rPr>
          <w:rFonts w:asciiTheme="majorHAnsi" w:hAnsiTheme="majorHAnsi" w:cstheme="majorHAnsi"/>
        </w:rPr>
      </w:pPr>
    </w:p>
    <w:p w14:paraId="18A47B8D" w14:textId="77777777" w:rsidR="009C6697" w:rsidRDefault="009C6697">
      <w:pPr>
        <w:rPr>
          <w:rFonts w:asciiTheme="majorHAnsi" w:hAnsiTheme="majorHAnsi" w:cstheme="majorHAnsi"/>
          <w:b/>
          <w:bCs/>
        </w:rPr>
      </w:pPr>
      <w:r>
        <w:rPr>
          <w:rFonts w:asciiTheme="majorHAnsi" w:hAnsiTheme="majorHAnsi" w:cstheme="majorHAnsi"/>
          <w:b/>
          <w:bCs/>
        </w:rPr>
        <w:br w:type="page"/>
      </w:r>
    </w:p>
    <w:p w14:paraId="09DD3182" w14:textId="5A463B4A" w:rsidR="009C6697" w:rsidRDefault="009C6697" w:rsidP="009C6697">
      <w:pPr>
        <w:rPr>
          <w:rFonts w:asciiTheme="majorHAnsi" w:hAnsiTheme="majorHAnsi" w:cstheme="majorHAnsi"/>
          <w:b/>
          <w:bCs/>
        </w:rPr>
      </w:pPr>
      <w:r>
        <w:rPr>
          <w:rFonts w:asciiTheme="majorHAnsi" w:hAnsiTheme="majorHAnsi" w:cstheme="majorHAnsi"/>
          <w:b/>
          <w:bCs/>
        </w:rPr>
        <w:lastRenderedPageBreak/>
        <w:t>Figure K2</w:t>
      </w:r>
    </w:p>
    <w:p w14:paraId="3872D078" w14:textId="6C636B51" w:rsidR="009C6697" w:rsidRPr="001A3945" w:rsidRDefault="009C6697"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Sexual Orientation, Controlling for Bullying</w:t>
      </w:r>
    </w:p>
    <w:p w14:paraId="5522724A" w14:textId="5A34D8ED" w:rsidR="0009553C" w:rsidRDefault="0009553C" w:rsidP="007460BD">
      <w:pPr>
        <w:jc w:val="center"/>
        <w:rPr>
          <w:rFonts w:asciiTheme="majorHAnsi" w:hAnsiTheme="majorHAnsi" w:cstheme="majorHAnsi"/>
        </w:rPr>
      </w:pPr>
      <w:r>
        <w:rPr>
          <w:rFonts w:asciiTheme="majorHAnsi" w:hAnsiTheme="majorHAnsi" w:cstheme="majorHAnsi"/>
          <w:noProof/>
        </w:rPr>
        <w:drawing>
          <wp:inline distT="0" distB="0" distL="0" distR="0" wp14:anchorId="005D68E7" wp14:editId="6686F9FF">
            <wp:extent cx="5033099" cy="3657600"/>
            <wp:effectExtent l="0" t="0" r="0" b="0"/>
            <wp:docPr id="922130535" name="Picture 9" descr="A graph with different colored lines and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535" name="Picture 9" descr="A graph with different colored lines and numbers  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B2E4396" w14:textId="277B6D89" w:rsidR="007460BD" w:rsidRDefault="007460BD" w:rsidP="007460B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6BF82D93" w14:textId="51726A3B" w:rsidR="00A9670E" w:rsidRDefault="00A9670E">
      <w:pPr>
        <w:rPr>
          <w:rFonts w:asciiTheme="majorHAnsi" w:hAnsiTheme="majorHAnsi" w:cstheme="majorHAnsi"/>
          <w:sz w:val="20"/>
          <w:szCs w:val="20"/>
        </w:rPr>
      </w:pPr>
      <w:r>
        <w:rPr>
          <w:rFonts w:asciiTheme="majorHAnsi" w:hAnsiTheme="majorHAnsi" w:cstheme="majorHAnsi"/>
          <w:sz w:val="20"/>
          <w:szCs w:val="20"/>
        </w:rPr>
        <w:br w:type="page"/>
      </w:r>
    </w:p>
    <w:p w14:paraId="543AA7A8" w14:textId="604A85D9" w:rsidR="00A9670E" w:rsidRDefault="00A9670E" w:rsidP="00A9670E">
      <w:pPr>
        <w:rPr>
          <w:rFonts w:asciiTheme="majorHAnsi" w:hAnsiTheme="majorHAnsi" w:cstheme="majorHAnsi"/>
          <w:b/>
          <w:bCs/>
        </w:rPr>
      </w:pPr>
      <w:r>
        <w:rPr>
          <w:rFonts w:asciiTheme="majorHAnsi" w:hAnsiTheme="majorHAnsi" w:cstheme="majorHAnsi"/>
          <w:b/>
          <w:bCs/>
        </w:rPr>
        <w:lastRenderedPageBreak/>
        <w:t>Figure K3</w:t>
      </w:r>
    </w:p>
    <w:p w14:paraId="693EC008" w14:textId="07D00325" w:rsidR="00A9670E" w:rsidRPr="00806A88" w:rsidRDefault="00A9670E" w:rsidP="00A9670E">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Gender Identity, Controlling for Bullying</w:t>
      </w:r>
    </w:p>
    <w:p w14:paraId="2D623D3D" w14:textId="597A8304" w:rsidR="00A9670E" w:rsidRDefault="0079748E" w:rsidP="0079748E">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4C0120B2" wp14:editId="5A64C283">
            <wp:extent cx="5033099" cy="3657600"/>
            <wp:effectExtent l="0" t="0" r="0" b="0"/>
            <wp:docPr id="1686209624" name="Picture 10"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9624" name="Picture 10" descr="A graph with numbers and lines  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276B444" w14:textId="6B7AA140" w:rsidR="000A1171" w:rsidRDefault="000A1171" w:rsidP="000A1171">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6FE03404" w14:textId="4F909C21" w:rsidR="000A1171" w:rsidRDefault="000A1171">
      <w:pPr>
        <w:rPr>
          <w:rFonts w:asciiTheme="majorHAnsi" w:hAnsiTheme="majorHAnsi" w:cstheme="majorHAnsi"/>
          <w:sz w:val="20"/>
          <w:szCs w:val="20"/>
        </w:rPr>
      </w:pPr>
      <w:r>
        <w:rPr>
          <w:rFonts w:asciiTheme="majorHAnsi" w:hAnsiTheme="majorHAnsi" w:cstheme="majorHAnsi"/>
          <w:sz w:val="20"/>
          <w:szCs w:val="20"/>
        </w:rPr>
        <w:br w:type="page"/>
      </w:r>
    </w:p>
    <w:p w14:paraId="4D80A31E" w14:textId="2958FC19" w:rsidR="000A1171" w:rsidRDefault="000A1171" w:rsidP="000A1171">
      <w:pPr>
        <w:rPr>
          <w:rFonts w:asciiTheme="majorHAnsi" w:hAnsiTheme="majorHAnsi" w:cstheme="majorHAnsi"/>
          <w:b/>
          <w:bCs/>
        </w:rPr>
      </w:pPr>
      <w:r>
        <w:rPr>
          <w:rFonts w:asciiTheme="majorHAnsi" w:hAnsiTheme="majorHAnsi" w:cstheme="majorHAnsi"/>
          <w:b/>
          <w:bCs/>
        </w:rPr>
        <w:lastRenderedPageBreak/>
        <w:t>Figure K4</w:t>
      </w:r>
    </w:p>
    <w:p w14:paraId="5AFE9DE6" w14:textId="21A999FB" w:rsidR="000A1171" w:rsidRPr="00806A88" w:rsidRDefault="000A1171" w:rsidP="000A1171">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Sexual Orientation, Controlling for Bullying</w:t>
      </w:r>
    </w:p>
    <w:p w14:paraId="79C274AD" w14:textId="4311B343" w:rsidR="000A1171" w:rsidRDefault="007C0890" w:rsidP="007C0890">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1916EE41" wp14:editId="2004274F">
            <wp:extent cx="5033099" cy="3657600"/>
            <wp:effectExtent l="0" t="0" r="0" b="0"/>
            <wp:docPr id="1220255459" name="Picture 11" descr="A graph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459" name="Picture 11" descr="A graph with text on it  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56AAEA" w14:textId="1DD706BA" w:rsidR="003A0903" w:rsidRDefault="00B568DE" w:rsidP="00B568DE">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5D29D31B" w14:textId="77777777" w:rsidR="003A0903" w:rsidRDefault="003A0903">
      <w:pPr>
        <w:rPr>
          <w:rFonts w:asciiTheme="majorHAnsi" w:hAnsiTheme="majorHAnsi" w:cstheme="majorHAnsi"/>
          <w:sz w:val="20"/>
          <w:szCs w:val="20"/>
        </w:rPr>
      </w:pPr>
      <w:r>
        <w:rPr>
          <w:rFonts w:asciiTheme="majorHAnsi" w:hAnsiTheme="majorHAnsi" w:cstheme="majorHAnsi"/>
          <w:sz w:val="20"/>
          <w:szCs w:val="20"/>
        </w:rPr>
        <w:br w:type="page"/>
      </w:r>
    </w:p>
    <w:p w14:paraId="2D5586DF" w14:textId="54FB2600" w:rsidR="004A614C" w:rsidRDefault="004A614C" w:rsidP="004A614C">
      <w:pPr>
        <w:rPr>
          <w:rFonts w:asciiTheme="majorHAnsi" w:hAnsiTheme="majorHAnsi" w:cstheme="majorHAnsi"/>
          <w:b/>
          <w:bCs/>
        </w:rPr>
      </w:pPr>
      <w:r>
        <w:rPr>
          <w:rFonts w:asciiTheme="majorHAnsi" w:hAnsiTheme="majorHAnsi" w:cstheme="majorHAnsi"/>
          <w:b/>
          <w:bCs/>
        </w:rPr>
        <w:lastRenderedPageBreak/>
        <w:t>Figure K5</w:t>
      </w:r>
    </w:p>
    <w:p w14:paraId="00357506" w14:textId="08EDC356" w:rsidR="00B568DE" w:rsidRPr="001A3945" w:rsidRDefault="004A614C" w:rsidP="001A3945">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Gender Identity, Controlling for Bullying</w:t>
      </w:r>
    </w:p>
    <w:p w14:paraId="39C61505" w14:textId="1230DD25" w:rsidR="003A0903" w:rsidRDefault="003A0903" w:rsidP="003A0903">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77A0A0A4" wp14:editId="5528F9CE">
            <wp:extent cx="5033099" cy="3657600"/>
            <wp:effectExtent l="0" t="0" r="0" b="0"/>
            <wp:docPr id="413527620" name="Picture 1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7620" name="Picture 12" descr="A graph with numbers and lines  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E4C15A0" w14:textId="6B439BE8" w:rsidR="000169CD" w:rsidRDefault="00387714" w:rsidP="00387714">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1BC10EB1" w14:textId="77777777" w:rsidR="000169CD" w:rsidRDefault="000169CD">
      <w:pPr>
        <w:rPr>
          <w:rFonts w:asciiTheme="majorHAnsi" w:hAnsiTheme="majorHAnsi" w:cstheme="majorHAnsi"/>
          <w:sz w:val="20"/>
          <w:szCs w:val="20"/>
        </w:rPr>
      </w:pPr>
      <w:r>
        <w:rPr>
          <w:rFonts w:asciiTheme="majorHAnsi" w:hAnsiTheme="majorHAnsi" w:cstheme="majorHAnsi"/>
          <w:sz w:val="20"/>
          <w:szCs w:val="20"/>
        </w:rPr>
        <w:br w:type="page"/>
      </w:r>
    </w:p>
    <w:p w14:paraId="79884356" w14:textId="23BB7A2F" w:rsidR="000169CD" w:rsidRDefault="000169CD" w:rsidP="000169CD">
      <w:pPr>
        <w:rPr>
          <w:rFonts w:asciiTheme="majorHAnsi" w:hAnsiTheme="majorHAnsi" w:cstheme="majorHAnsi"/>
          <w:b/>
          <w:bCs/>
        </w:rPr>
      </w:pPr>
      <w:r>
        <w:rPr>
          <w:rFonts w:asciiTheme="majorHAnsi" w:hAnsiTheme="majorHAnsi" w:cstheme="majorHAnsi"/>
          <w:b/>
          <w:bCs/>
        </w:rPr>
        <w:lastRenderedPageBreak/>
        <w:t>Figure K6</w:t>
      </w:r>
    </w:p>
    <w:p w14:paraId="7B8C2889" w14:textId="5A15888D" w:rsidR="000169CD" w:rsidRDefault="000169CD" w:rsidP="000169CD">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Sexual Orientation, Controlling for Bullying</w:t>
      </w:r>
    </w:p>
    <w:p w14:paraId="6ABE060E" w14:textId="3D65F298" w:rsidR="004E63AC" w:rsidRDefault="004E63AC" w:rsidP="004E63AC">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0B189481" wp14:editId="5D8868CA">
            <wp:extent cx="5033099" cy="3657600"/>
            <wp:effectExtent l="0" t="0" r="0" b="0"/>
            <wp:docPr id="409412900" name="Picture 1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2900" name="Picture 13" descr="A graph with numbers and lines  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324B34" w14:textId="5050A83D" w:rsidR="00EE52F6" w:rsidRPr="001A3945" w:rsidRDefault="00EE52F6" w:rsidP="001A3945">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7CF8AE4C" w14:textId="77777777" w:rsidR="00387714" w:rsidRPr="007460BD" w:rsidRDefault="00387714" w:rsidP="001A3945">
      <w:pPr>
        <w:rPr>
          <w:rFonts w:asciiTheme="majorHAnsi" w:hAnsiTheme="majorHAnsi" w:cstheme="majorHAnsi"/>
          <w:sz w:val="20"/>
          <w:szCs w:val="20"/>
        </w:rPr>
      </w:pPr>
    </w:p>
    <w:sectPr w:rsidR="00387714" w:rsidRPr="007460BD"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1" w:author="Alexandria M Hurtt" w:date="2026-03-12T10:29:00Z" w:initials="AMH">
    <w:p w14:paraId="2336FD54" w14:textId="77777777" w:rsidR="005D2EC2" w:rsidRDefault="005D2EC2" w:rsidP="005D2EC2">
      <w:r>
        <w:rPr>
          <w:rStyle w:val="CommentReference"/>
        </w:rPr>
        <w:annotationRef/>
      </w:r>
      <w:r>
        <w:rPr>
          <w:sz w:val="20"/>
          <w:szCs w:val="20"/>
        </w:rPr>
        <w:t>Thank you so much for this suggestion, but we would also like to highlight our results related to SO in this initial report</w:t>
      </w:r>
    </w:p>
  </w:comment>
  <w:comment w:id="5"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6"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7"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8" w:author="Alexandria M Hurtt" w:date="2026-03-12T10:35:00Z" w:initials="AMH">
    <w:p w14:paraId="21543448" w14:textId="77777777" w:rsidR="005D2EC2" w:rsidRDefault="005D2EC2" w:rsidP="005D2EC2">
      <w:r>
        <w:rPr>
          <w:rStyle w:val="CommentReference"/>
        </w:rPr>
        <w:annotationRef/>
      </w:r>
      <w:r>
        <w:rPr>
          <w:sz w:val="20"/>
          <w:szCs w:val="20"/>
        </w:rPr>
        <w:t xml:space="preserve">Thank you for your suggestions - we include specific research questions to further clarify but do not include a conceptual diagram at this time </w:t>
      </w:r>
    </w:p>
  </w:comment>
  <w:comment w:id="3"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4" w:author="Alexandria M Hurtt" w:date="2026-03-12T10:36:00Z" w:initials="AMH">
    <w:p w14:paraId="50ADC764" w14:textId="77777777" w:rsidR="005D2EC2" w:rsidRDefault="005D2EC2" w:rsidP="005D2EC2">
      <w:r>
        <w:rPr>
          <w:rStyle w:val="CommentReference"/>
        </w:rPr>
        <w:annotationRef/>
      </w:r>
      <w:r>
        <w:rPr>
          <w:sz w:val="20"/>
          <w:szCs w:val="20"/>
        </w:rPr>
        <w:t>This is a great suggestion and we have reordered our findings to mirror the abstract</w:t>
      </w:r>
    </w:p>
  </w:comment>
  <w:comment w:id="9"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10" w:author="Alexandria M Hurtt" w:date="2026-03-12T10:40:00Z" w:initials="AMH">
    <w:p w14:paraId="108727BC" w14:textId="77777777" w:rsidR="00255044" w:rsidRDefault="00255044" w:rsidP="00255044">
      <w:r>
        <w:rPr>
          <w:rStyle w:val="CommentReference"/>
        </w:rPr>
        <w:annotationRef/>
      </w:r>
      <w:r>
        <w:rPr>
          <w:sz w:val="20"/>
          <w:szCs w:val="20"/>
        </w:rPr>
        <w:t>Thank you, we adopt several of these suggestions in our revision (same decimal place, additional testing discussed in a footnote, description of measures)</w:t>
      </w:r>
    </w:p>
  </w:comment>
  <w:comment w:id="12"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13" w:author="Alexandria M Hurtt" w:date="2026-03-14T22:35:00Z" w:initials="AMH">
    <w:p w14:paraId="0A46B2AB" w14:textId="77777777" w:rsidR="00482F21" w:rsidRDefault="00482F21" w:rsidP="00482F21">
      <w:r>
        <w:rPr>
          <w:rStyle w:val="CommentReference"/>
        </w:rPr>
        <w:annotationRef/>
      </w:r>
      <w:r>
        <w:rPr>
          <w:sz w:val="20"/>
          <w:szCs w:val="20"/>
        </w:rPr>
        <w:t>Revised the bulk of the introduction to more clarify our study aims and purpose</w:t>
      </w:r>
    </w:p>
  </w:comment>
  <w:comment w:id="14"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15" w:author="Kerith Conron" w:date="2026-03-06T09:18:00Z" w:initials="KC">
    <w:p w14:paraId="4F97FF87" w14:textId="77777777" w:rsidR="00331823" w:rsidRDefault="00AB77EF" w:rsidP="00331823">
      <w:pPr>
        <w:pStyle w:val="CommentText"/>
      </w:pPr>
      <w:r>
        <w:rPr>
          <w:rStyle w:val="CommentReference"/>
        </w:rPr>
        <w:annotationRef/>
      </w:r>
      <w:r w:rsidR="00331823">
        <w:t xml:space="preserve">It would be helpful to list a few findings and recs specific to each gender identity group (or (at least the trans/gender diverse groups) in findings, the discussion, and in an executive summary. </w:t>
      </w:r>
    </w:p>
  </w:comment>
  <w:comment w:id="16" w:author="Alexandria M Hurtt" w:date="2026-03-12T10:58:00Z" w:initials="AMH">
    <w:p w14:paraId="3170E2AD" w14:textId="77777777" w:rsidR="00C9417F" w:rsidRDefault="00C9417F" w:rsidP="00C9417F">
      <w:r>
        <w:rPr>
          <w:rStyle w:val="CommentReference"/>
        </w:rPr>
        <w:annotationRef/>
      </w:r>
      <w:r>
        <w:rPr>
          <w:sz w:val="20"/>
          <w:szCs w:val="20"/>
        </w:rPr>
        <w:t>We appreciate this suggestion and have highlighted a couple recommendations related to TGD students in our discussion</w:t>
      </w:r>
    </w:p>
  </w:comment>
  <w:comment w:id="18"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17" w:author="Alexandria M Hurtt" w:date="2026-03-14T23:17:00Z" w:initials="AMH">
    <w:p w14:paraId="3E0DE042" w14:textId="77777777" w:rsidR="00C25A1D" w:rsidRDefault="00C25A1D" w:rsidP="00C25A1D">
      <w:r>
        <w:rPr>
          <w:rStyle w:val="CommentReference"/>
        </w:rPr>
        <w:annotationRef/>
      </w:r>
      <w:r>
        <w:rPr>
          <w:sz w:val="20"/>
          <w:szCs w:val="20"/>
        </w:rPr>
        <w:t>I will add this in later</w:t>
      </w:r>
    </w:p>
  </w:comment>
  <w:comment w:id="19"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20"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22" w:author="Alexandria M Hurtt" w:date="2026-03-13T11:47:00Z" w:initials="AMH">
    <w:p w14:paraId="6AC62582" w14:textId="77777777" w:rsidR="005649F0" w:rsidRDefault="005649F0" w:rsidP="005649F0">
      <w:r>
        <w:rPr>
          <w:rStyle w:val="CommentReference"/>
        </w:rPr>
        <w:annotationRef/>
      </w:r>
      <w:r>
        <w:rPr>
          <w:sz w:val="20"/>
          <w:szCs w:val="20"/>
        </w:rPr>
        <w:t>Add source for bullying questions (CHKS)</w:t>
      </w:r>
    </w:p>
  </w:comment>
  <w:comment w:id="23" w:author="Christina Sun" w:date="2026-03-16T13:01:00Z" w:initials="CS">
    <w:p w14:paraId="7F6D0CD4" w14:textId="77777777" w:rsidR="008B078D" w:rsidRDefault="008B078D" w:rsidP="008B078D">
      <w:r>
        <w:rPr>
          <w:rStyle w:val="CommentReference"/>
        </w:rPr>
        <w:annotationRef/>
      </w:r>
      <w:r>
        <w:rPr>
          <w:sz w:val="20"/>
          <w:szCs w:val="20"/>
        </w:rPr>
        <w:t>Done</w:t>
      </w:r>
    </w:p>
    <w:p w14:paraId="11E0FEF8" w14:textId="77777777" w:rsidR="008B078D" w:rsidRDefault="008B078D" w:rsidP="008B078D"/>
  </w:comment>
  <w:comment w:id="25"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26"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27" w:author="Alexandria M Hurtt" w:date="2026-03-12T11:14:00Z" w:initials="AMH">
    <w:p w14:paraId="328B05C3" w14:textId="77777777" w:rsidR="00B91C80" w:rsidRDefault="00B91C80" w:rsidP="00B91C80">
      <w:r>
        <w:rPr>
          <w:rStyle w:val="CommentReference"/>
        </w:rPr>
        <w:annotationRef/>
      </w:r>
      <w:r>
        <w:rPr>
          <w:sz w:val="20"/>
          <w:szCs w:val="20"/>
        </w:rPr>
        <w:t>No incentive or thank you provided; this was done in partnership with CSAC and was voluntary for all participants</w:t>
      </w:r>
    </w:p>
  </w:comment>
  <w:comment w:id="28"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29"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30"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31"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32"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33"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34" w:author="Christina Sun" w:date="2026-03-16T13:08:00Z" w:initials="CS">
    <w:p w14:paraId="5CF7DC59" w14:textId="77777777" w:rsidR="000E6523" w:rsidRDefault="000E6523" w:rsidP="000E6523">
      <w:r>
        <w:rPr>
          <w:rStyle w:val="CommentReference"/>
        </w:rPr>
        <w:annotationRef/>
      </w:r>
      <w:r>
        <w:rPr>
          <w:sz w:val="20"/>
          <w:szCs w:val="20"/>
        </w:rPr>
        <w:t>done</w:t>
      </w:r>
    </w:p>
  </w:comment>
  <w:comment w:id="35" w:author="Kerith Conron" w:date="2026-03-03T16:03:00Z" w:initials="KC">
    <w:p w14:paraId="1DDB20DA" w14:textId="77777777" w:rsidR="004D5CCC" w:rsidRDefault="004D5CCC" w:rsidP="006C7BD3">
      <w:pPr>
        <w:pStyle w:val="CommentText"/>
      </w:pPr>
      <w:r>
        <w:rPr>
          <w:rStyle w:val="CommentReference"/>
        </w:rPr>
        <w:annotationRef/>
      </w:r>
      <w:r>
        <w:t>This citation should be listed by the name of the report editor, Herman, J (2014).</w:t>
      </w:r>
    </w:p>
  </w:comment>
  <w:comment w:id="36"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37"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38"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39"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40"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41" w:author="Alexandria M Hurtt" w:date="2026-03-13T12:31:00Z" w:initials="AMH">
    <w:p w14:paraId="3E2F4386" w14:textId="77777777" w:rsidR="00E9640D" w:rsidRDefault="00E9640D" w:rsidP="00E9640D">
      <w:r>
        <w:rPr>
          <w:rStyle w:val="CommentReference"/>
        </w:rPr>
        <w:annotationRef/>
      </w:r>
      <w:r>
        <w:rPr>
          <w:sz w:val="20"/>
          <w:szCs w:val="20"/>
        </w:rPr>
        <w:t>Thank you for your comment, but we are using queer as an umbrella term in this case as there is no universally agreed upon definition and intend to capture the breadth of experience as much as we are able</w:t>
      </w:r>
    </w:p>
  </w:comment>
  <w:comment w:id="42"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43" w:author="Christina Sun" w:date="2026-03-16T13:34:00Z" w:initials="CS">
    <w:p w14:paraId="6F7D9393" w14:textId="77777777" w:rsidR="0067739F" w:rsidRDefault="0067739F" w:rsidP="0067739F">
      <w:r>
        <w:rPr>
          <w:rStyle w:val="CommentReference"/>
        </w:rPr>
        <w:annotationRef/>
      </w:r>
      <w:r>
        <w:rPr>
          <w:sz w:val="20"/>
          <w:szCs w:val="20"/>
        </w:rPr>
        <w:t>added footnote</w:t>
      </w:r>
    </w:p>
  </w:comment>
  <w:comment w:id="45"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46" w:author="Alexandria M Hurtt" w:date="2026-03-13T12:31:00Z" w:initials="AMH">
    <w:p w14:paraId="77B18C0E" w14:textId="77777777" w:rsidR="00E9640D" w:rsidRDefault="00E9640D" w:rsidP="00E9640D">
      <w:r>
        <w:rPr>
          <w:rStyle w:val="CommentReference"/>
        </w:rPr>
        <w:annotationRef/>
      </w:r>
      <w:r>
        <w:rPr>
          <w:sz w:val="20"/>
          <w:szCs w:val="20"/>
        </w:rPr>
        <w:t>Thank you for this suggestion, we are not including a conceptual framework at this time but in future iterations may include one</w:t>
      </w:r>
    </w:p>
  </w:comment>
  <w:comment w:id="47"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48"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50"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52"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51"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55"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58" w:author="Kerith Conron" w:date="2026-03-04T16:18:00Z" w:initials="KC">
    <w:p w14:paraId="04C17865" w14:textId="77777777" w:rsidR="003F106B" w:rsidRDefault="003F106B" w:rsidP="001D4A5D">
      <w:pPr>
        <w:pStyle w:val="CommentText"/>
      </w:pPr>
      <w:r>
        <w:rPr>
          <w:rStyle w:val="CommentReference"/>
        </w:rPr>
        <w:annotationRef/>
      </w:r>
      <w:r>
        <w:t>This info belongs in methods/measures</w:t>
      </w:r>
    </w:p>
  </w:comment>
  <w:comment w:id="59" w:author="Kerith Conron" w:date="2026-03-04T16:18:00Z" w:initials="KC">
    <w:p w14:paraId="30DA118D" w14:textId="77777777" w:rsidR="003F106B" w:rsidRDefault="003F106B" w:rsidP="001D4A5D">
      <w:pPr>
        <w:pStyle w:val="CommentText"/>
      </w:pPr>
      <w:r>
        <w:rPr>
          <w:rStyle w:val="CommentReference"/>
        </w:rPr>
        <w:annotationRef/>
      </w:r>
      <w:r>
        <w:t>This info belongs in methods/measures</w:t>
      </w:r>
    </w:p>
  </w:comment>
  <w:comment w:id="61"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64"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65"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66"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67" w:author="Alexandria M Hurtt" w:date="2026-03-14T23:15:00Z" w:initials="AMH">
    <w:p w14:paraId="62AE1A91" w14:textId="77777777" w:rsidR="00C25A1D" w:rsidRDefault="00C25A1D" w:rsidP="00C25A1D">
      <w:r>
        <w:rPr>
          <w:rStyle w:val="CommentReference"/>
        </w:rPr>
        <w:annotationRef/>
      </w:r>
      <w:r>
        <w:rPr>
          <w:sz w:val="20"/>
          <w:szCs w:val="20"/>
        </w:rPr>
        <w:t xml:space="preserve">@Christina - I can weave this in </w:t>
      </w:r>
    </w:p>
  </w:comment>
  <w:comment w:id="69" w:author="Kerith Conron" w:date="2026-03-03T17:28:00Z" w:initials="KC">
    <w:p w14:paraId="6CA40563" w14:textId="77777777" w:rsidR="004F595A" w:rsidRDefault="004F595A" w:rsidP="00705159">
      <w:pPr>
        <w:pStyle w:val="CommentText"/>
      </w:pPr>
      <w:r>
        <w:rPr>
          <w:rStyle w:val="CommentReference"/>
        </w:rPr>
        <w:annotationRef/>
      </w:r>
      <w:r>
        <w:t>Figure titles should contain enough info to stand alone from the report and provide useful info to readers.</w:t>
      </w:r>
    </w:p>
  </w:comment>
  <w:comment w:id="70" w:author="Kerith Conron" w:date="2026-03-04T15:54:00Z" w:initials="KC">
    <w:p w14:paraId="6B6F91BC" w14:textId="77777777" w:rsidR="004F595A" w:rsidRDefault="004F595A" w:rsidP="00266684">
      <w:pPr>
        <w:pStyle w:val="CommentText"/>
      </w:pPr>
      <w:r>
        <w:rPr>
          <w:rStyle w:val="CommentReference"/>
        </w:rPr>
        <w:annotationRef/>
      </w:r>
      <w:r>
        <w:t>This is super interesting info! I haven’t seen any other studies with intended field of study. Nice work!</w:t>
      </w:r>
    </w:p>
  </w:comment>
  <w:comment w:id="71" w:author="Kerith Conron" w:date="2026-03-06T09:50:00Z" w:initials="KC">
    <w:p w14:paraId="3236D35B" w14:textId="77777777" w:rsidR="004F595A" w:rsidRDefault="004F595A" w:rsidP="005211ED">
      <w:pPr>
        <w:pStyle w:val="CommentText"/>
      </w:pPr>
      <w:r>
        <w:rPr>
          <w:rStyle w:val="CommentReference"/>
        </w:rPr>
        <w:annotationRef/>
      </w:r>
      <w:r>
        <w:t>Be sure to integrate this info into the discussion and abstract/executive summary</w:t>
      </w:r>
    </w:p>
  </w:comment>
  <w:comment w:id="72" w:author="Kerith Conron" w:date="2026-03-04T15:57:00Z" w:initials="KC">
    <w:p w14:paraId="7C571FD9" w14:textId="77777777" w:rsidR="004F595A" w:rsidRDefault="004F595A" w:rsidP="009A3F5F">
      <w:pPr>
        <w:pStyle w:val="CommentText"/>
      </w:pPr>
      <w:r>
        <w:rPr>
          <w:rStyle w:val="CommentReference"/>
        </w:rPr>
        <w:annotationRef/>
      </w:r>
      <w:r>
        <w:t>Report all percentages to same decimal place  (i.e., 30.0%) throughout findings.</w:t>
      </w:r>
    </w:p>
  </w:comment>
  <w:comment w:id="73" w:author="Kerith Conron" w:date="2026-03-04T15:48:00Z" w:initials="KC">
    <w:p w14:paraId="4CBCB98C" w14:textId="77777777" w:rsidR="004F595A" w:rsidRDefault="004F595A" w:rsidP="00270787">
      <w:pPr>
        <w:pStyle w:val="CommentText"/>
      </w:pPr>
      <w:r>
        <w:rPr>
          <w:rStyle w:val="CommentReference"/>
        </w:rPr>
        <w:annotationRef/>
      </w:r>
      <w:r>
        <w:t>retitle</w:t>
      </w:r>
    </w:p>
  </w:comment>
  <w:comment w:id="76" w:author="Kerith Conron" w:date="2026-03-04T16:07:00Z" w:initials="KC">
    <w:p w14:paraId="7F26FBFC" w14:textId="77777777" w:rsidR="004F595A" w:rsidRDefault="004F595A" w:rsidP="009C3732">
      <w:pPr>
        <w:pStyle w:val="CommentText"/>
      </w:pPr>
      <w:r>
        <w:rPr>
          <w:rStyle w:val="CommentReference"/>
        </w:rPr>
        <w:annotationRef/>
      </w:r>
      <w:r>
        <w:t>40% of 55% = 72.7%</w:t>
      </w:r>
    </w:p>
  </w:comment>
  <w:comment w:id="77" w:author="Alexandria M Hurtt" w:date="2026-03-14T22:00:00Z" w:initials="AMH">
    <w:p w14:paraId="0BAABF65" w14:textId="77777777" w:rsidR="00BE5299" w:rsidRDefault="00BE5299" w:rsidP="00BE5299">
      <w:r>
        <w:rPr>
          <w:rStyle w:val="CommentReference"/>
        </w:rPr>
        <w:annotationRef/>
      </w:r>
      <w:r>
        <w:rPr>
          <w:sz w:val="20"/>
          <w:szCs w:val="20"/>
        </w:rPr>
        <w:t>I added her result in here, but feel free to change the language and/or remove!</w:t>
      </w:r>
    </w:p>
  </w:comment>
  <w:comment w:id="74" w:author="Kerith Conron" w:date="2026-03-04T16:10:00Z" w:initials="KC">
    <w:p w14:paraId="159DE15E" w14:textId="77777777" w:rsidR="004F595A" w:rsidRDefault="004F595A" w:rsidP="004F595A">
      <w:pPr>
        <w:pStyle w:val="CommentText"/>
      </w:pPr>
      <w:r>
        <w:rPr>
          <w:rStyle w:val="CommentReference"/>
        </w:rPr>
        <w:annotationRef/>
      </w:r>
      <w:r>
        <w:t>Include % when reporting findings throughout this section.</w:t>
      </w:r>
    </w:p>
    <w:p w14:paraId="64DB9F80" w14:textId="77777777" w:rsidR="004F595A" w:rsidRDefault="004F595A" w:rsidP="004F595A">
      <w:pPr>
        <w:pStyle w:val="CommentText"/>
      </w:pPr>
    </w:p>
    <w:p w14:paraId="5882CEDC" w14:textId="77777777" w:rsidR="004F595A" w:rsidRDefault="004F595A" w:rsidP="004F595A">
      <w:pPr>
        <w:pStyle w:val="CommentText"/>
      </w:pPr>
      <w:r>
        <w:t>There also should be tests of statistical significance to support assertions about differences. You can get these from pairwise comparisons -- chi-squares or linear regressions (changing the reference group).</w:t>
      </w:r>
    </w:p>
  </w:comment>
  <w:comment w:id="75" w:author="Christina Sun" w:date="2026-03-16T16:13:00Z" w:initials="CS">
    <w:p w14:paraId="0F919B80" w14:textId="77777777" w:rsidR="00AB1749" w:rsidRDefault="00AB1749" w:rsidP="00AB1749">
      <w:r>
        <w:rPr>
          <w:rStyle w:val="CommentReference"/>
        </w:rPr>
        <w:annotationRef/>
      </w:r>
      <w:r>
        <w:rPr>
          <w:sz w:val="20"/>
          <w:szCs w:val="20"/>
        </w:rPr>
        <w:t>We have logit and ordered logit models</w:t>
      </w:r>
    </w:p>
  </w:comment>
  <w:comment w:id="78"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79" w:author="Alexandria M Hurtt" w:date="2026-03-12T11:28:00Z" w:initials="AMH">
    <w:p w14:paraId="214A824C" w14:textId="77777777" w:rsidR="001210E5" w:rsidRDefault="001210E5" w:rsidP="001210E5">
      <w:r>
        <w:rPr>
          <w:rStyle w:val="CommentReference"/>
        </w:rPr>
        <w:annotationRef/>
      </w:r>
      <w:r>
        <w:rPr>
          <w:sz w:val="20"/>
          <w:szCs w:val="20"/>
        </w:rPr>
        <w:t>Thank you, we have added a footnote to describe where qualitative results can be found in more detail. Additionally, we added a brief description of our qualitative analysis in methods.</w:t>
      </w:r>
    </w:p>
  </w:comment>
  <w:comment w:id="80"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83" w:author="Kerith Conron" w:date="2026-03-06T11:12:00Z" w:initials="KC">
    <w:p w14:paraId="0ACEA055" w14:textId="77777777" w:rsidR="00D3396C" w:rsidRDefault="00D3396C" w:rsidP="00D3396C">
      <w:pPr>
        <w:pStyle w:val="CommentText"/>
      </w:pPr>
      <w:r>
        <w:rPr>
          <w:rStyle w:val="CommentReference"/>
        </w:rPr>
        <w:annotationRef/>
      </w:r>
      <w:r>
        <w:t>citations</w:t>
      </w:r>
    </w:p>
  </w:comment>
  <w:comment w:id="84" w:author="Kerith Conron" w:date="2026-03-06T11:13:00Z" w:initials="KC">
    <w:p w14:paraId="26C62798" w14:textId="77777777" w:rsidR="00D3396C" w:rsidRDefault="00D3396C" w:rsidP="00D3396C">
      <w:pPr>
        <w:pStyle w:val="CommentText"/>
      </w:pPr>
      <w:r>
        <w:rPr>
          <w:rStyle w:val="CommentReference"/>
        </w:rPr>
        <w:annotationRef/>
      </w:r>
      <w:r>
        <w:t>citations</w:t>
      </w:r>
    </w:p>
  </w:comment>
  <w:comment w:id="85" w:author="Alexandria M Hurtt" w:date="2026-03-13T11:49:00Z" w:initials="AMH">
    <w:p w14:paraId="0E89E900" w14:textId="77777777" w:rsidR="005649F0" w:rsidRDefault="005649F0" w:rsidP="005649F0">
      <w:r>
        <w:rPr>
          <w:rStyle w:val="CommentReference"/>
        </w:rPr>
        <w:annotationRef/>
      </w:r>
      <w:r>
        <w:rPr>
          <w:sz w:val="20"/>
          <w:szCs w:val="20"/>
        </w:rPr>
        <w:t>Make a note about how our findings mirror CHKS earlier [</w:t>
      </w:r>
      <w:hyperlink r:id="rId3" w:history="1">
        <w:r w:rsidRPr="007D2CCC">
          <w:rPr>
            <w:rStyle w:val="Hyperlink"/>
            <w:sz w:val="20"/>
            <w:szCs w:val="20"/>
          </w:rPr>
          <w:t>https://calschls.org/reports-data/public-dashboards/</w:t>
        </w:r>
      </w:hyperlink>
      <w:r>
        <w:rPr>
          <w:sz w:val="20"/>
          <w:szCs w:val="20"/>
        </w:rPr>
        <w:t>] from reviewer: "key indicators, secondary school dashboard, available by gender identity"</w:t>
      </w:r>
    </w:p>
  </w:comment>
  <w:comment w:id="86" w:author="Kerith Conron" w:date="2026-03-06T11:14:00Z" w:initials="KC">
    <w:p w14:paraId="2159E4E8" w14:textId="77777777" w:rsidR="006F0A64" w:rsidRDefault="006F0A64" w:rsidP="006F0A64">
      <w:pPr>
        <w:pStyle w:val="CommentText"/>
      </w:pPr>
      <w:r>
        <w:rPr>
          <w:rStyle w:val="CommentReference"/>
        </w:rPr>
        <w:annotationRef/>
      </w:r>
      <w:r>
        <w:t>Yes!</w:t>
      </w:r>
    </w:p>
  </w:comment>
  <w:comment w:id="87"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88" w:author="Alexandria M Hurtt" w:date="2026-03-13T11:55:00Z" w:initials="AMH">
    <w:p w14:paraId="3EA0FBEF" w14:textId="77777777" w:rsidR="005649F0" w:rsidRDefault="005649F0" w:rsidP="005649F0">
      <w:r>
        <w:rPr>
          <w:rStyle w:val="CommentReference"/>
        </w:rPr>
        <w:annotationRef/>
      </w:r>
      <w:r>
        <w:rPr>
          <w:sz w:val="20"/>
          <w:szCs w:val="20"/>
        </w:rPr>
        <w:t>Add note about CHKS here, as while imperfect, does offer some insight into trans/gender expansive students' schooling experiences</w:t>
      </w:r>
    </w:p>
  </w:comment>
  <w:comment w:id="92"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93"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95"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97"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 w:id="98" w:author="Kerith Conron" w:date="2026-03-06T12:06:00Z" w:initials="KC">
    <w:p w14:paraId="5AD1A32C" w14:textId="77777777" w:rsidR="006C73E7" w:rsidRDefault="006C73E7"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1"/>
  <w15:commentEx w15:paraId="2336FD54" w15:paraIdParent="251A0A54" w15:done="1"/>
  <w15:commentEx w15:paraId="65D4A352" w15:done="1"/>
  <w15:commentEx w15:paraId="750BA802" w15:done="1"/>
  <w15:commentEx w15:paraId="251E9EA3" w15:paraIdParent="750BA802" w15:done="1"/>
  <w15:commentEx w15:paraId="21543448" w15:paraIdParent="750BA802" w15:done="1"/>
  <w15:commentEx w15:paraId="0974BF3C" w15:done="1"/>
  <w15:commentEx w15:paraId="50ADC764" w15:paraIdParent="0974BF3C" w15:done="1"/>
  <w15:commentEx w15:paraId="07C99A22" w15:done="1"/>
  <w15:commentEx w15:paraId="108727BC" w15:paraIdParent="07C99A22" w15:done="1"/>
  <w15:commentEx w15:paraId="1B2D2D6E" w15:done="1"/>
  <w15:commentEx w15:paraId="0A46B2AB" w15:paraIdParent="1B2D2D6E" w15:done="1"/>
  <w15:commentEx w15:paraId="64004783" w15:done="1"/>
  <w15:commentEx w15:paraId="4F97FF87" w15:done="1"/>
  <w15:commentEx w15:paraId="3170E2AD" w15:paraIdParent="4F97FF87" w15:done="1"/>
  <w15:commentEx w15:paraId="0FF2D159" w15:done="1"/>
  <w15:commentEx w15:paraId="3E0DE042" w15:done="0"/>
  <w15:commentEx w15:paraId="186F418E" w15:done="1"/>
  <w15:commentEx w15:paraId="7C220CA8" w15:done="1"/>
  <w15:commentEx w15:paraId="6AC62582" w15:done="1"/>
  <w15:commentEx w15:paraId="11E0FEF8" w15:paraIdParent="6AC62582" w15:done="1"/>
  <w15:commentEx w15:paraId="31AF9DA7" w15:done="1"/>
  <w15:commentEx w15:paraId="6FC206C8" w15:done="1"/>
  <w15:commentEx w15:paraId="328B05C3" w15:paraIdParent="6FC206C8" w15:done="1"/>
  <w15:commentEx w15:paraId="27202541" w15:done="1"/>
  <w15:commentEx w15:paraId="1DBDE58C" w15:done="1"/>
  <w15:commentEx w15:paraId="29E41C03" w15:done="1"/>
  <w15:commentEx w15:paraId="40AE5E66" w15:done="1"/>
  <w15:commentEx w15:paraId="0EBCD8AF" w15:done="1"/>
  <w15:commentEx w15:paraId="10008767" w15:done="1"/>
  <w15:commentEx w15:paraId="5CF7DC59" w15:paraIdParent="10008767" w15:done="1"/>
  <w15:commentEx w15:paraId="1DDB20DA" w15:done="1"/>
  <w15:commentEx w15:paraId="6DFFEC8C" w15:done="1"/>
  <w15:commentEx w15:paraId="01C7154D" w15:done="1"/>
  <w15:commentEx w15:paraId="7EF5A3A1" w15:done="1"/>
  <w15:commentEx w15:paraId="231B81FF" w15:done="1"/>
  <w15:commentEx w15:paraId="4867D5DE" w15:done="1"/>
  <w15:commentEx w15:paraId="3E2F4386" w15:paraIdParent="4867D5DE" w15:done="1"/>
  <w15:commentEx w15:paraId="68E1DE23" w15:done="1"/>
  <w15:commentEx w15:paraId="6F7D9393" w15:paraIdParent="68E1DE23" w15:done="1"/>
  <w15:commentEx w15:paraId="58815A9F" w15:done="1"/>
  <w15:commentEx w15:paraId="77B18C0E" w15:paraIdParent="58815A9F" w15:done="1"/>
  <w15:commentEx w15:paraId="399762A0" w15:done="1"/>
  <w15:commentEx w15:paraId="0471C35D" w15:paraIdParent="399762A0" w15:done="1"/>
  <w15:commentEx w15:paraId="10523BBA" w15:done="1"/>
  <w15:commentEx w15:paraId="67BAC007" w15:done="1"/>
  <w15:commentEx w15:paraId="58929D82" w15:done="1"/>
  <w15:commentEx w15:paraId="07B41C93" w15:done="1"/>
  <w15:commentEx w15:paraId="04C17865" w15:done="1"/>
  <w15:commentEx w15:paraId="30DA118D" w15:done="1"/>
  <w15:commentEx w15:paraId="35298B46" w15:done="1"/>
  <w15:commentEx w15:paraId="4DDF6827" w15:done="1"/>
  <w15:commentEx w15:paraId="22BC6DAB" w15:done="1"/>
  <w15:commentEx w15:paraId="3A258305" w15:done="0"/>
  <w15:commentEx w15:paraId="62AE1A91" w15:paraIdParent="3A258305" w15:done="0"/>
  <w15:commentEx w15:paraId="6CA40563" w15:done="1"/>
  <w15:commentEx w15:paraId="6B6F91BC" w15:done="1"/>
  <w15:commentEx w15:paraId="3236D35B" w15:paraIdParent="6B6F91BC" w15:done="1"/>
  <w15:commentEx w15:paraId="7C571FD9" w15:done="1"/>
  <w15:commentEx w15:paraId="4CBCB98C" w15:done="1"/>
  <w15:commentEx w15:paraId="7F26FBFC" w15:done="1"/>
  <w15:commentEx w15:paraId="0BAABF65" w15:paraIdParent="7F26FBFC" w15:done="1"/>
  <w15:commentEx w15:paraId="5882CEDC" w15:done="1"/>
  <w15:commentEx w15:paraId="0F919B80" w15:paraIdParent="5882CEDC" w15:done="1"/>
  <w15:commentEx w15:paraId="14D9B40D" w15:done="1"/>
  <w15:commentEx w15:paraId="214A824C" w15:paraIdParent="14D9B40D" w15:done="1"/>
  <w15:commentEx w15:paraId="50C8922B" w15:done="1"/>
  <w15:commentEx w15:paraId="0ACEA055" w15:done="1"/>
  <w15:commentEx w15:paraId="26C62798" w15:done="1"/>
  <w15:commentEx w15:paraId="0E89E900" w15:done="0"/>
  <w15:commentEx w15:paraId="2159E4E8" w15:done="1"/>
  <w15:commentEx w15:paraId="25748C36" w15:done="0"/>
  <w15:commentEx w15:paraId="3EA0FBEF" w15:paraIdParent="25748C36" w15:done="0"/>
  <w15:commentEx w15:paraId="24A9B909" w15:done="0"/>
  <w15:commentEx w15:paraId="672CA677" w15:done="1"/>
  <w15:commentEx w15:paraId="2B6A5DB6" w15:done="0"/>
  <w15:commentEx w15:paraId="503F4BA4" w15:done="1"/>
  <w15:commentEx w15:paraId="5AD1A3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751C2BA8" w16cex:dateUtc="2026-03-12T17:29:00Z"/>
  <w16cex:commentExtensible w16cex:durableId="4FE2961E" w16cex:dateUtc="2026-03-06T13:01:00Z"/>
  <w16cex:commentExtensible w16cex:durableId="2539A104" w16cex:dateUtc="2026-03-06T16:58:00Z"/>
  <w16cex:commentExtensible w16cex:durableId="079871E4" w16cex:dateUtc="2026-03-06T18:23:00Z"/>
  <w16cex:commentExtensible w16cex:durableId="0CDA30C8" w16cex:dateUtc="2026-03-12T17:35:00Z"/>
  <w16cex:commentExtensible w16cex:durableId="65CC43E6" w16cex:dateUtc="2026-03-06T13:15:00Z"/>
  <w16cex:commentExtensible w16cex:durableId="6861FE4E" w16cex:dateUtc="2026-03-12T17:36:00Z"/>
  <w16cex:commentExtensible w16cex:durableId="64FB3B00" w16cex:dateUtc="2026-03-06T18:13:00Z"/>
  <w16cex:commentExtensible w16cex:durableId="2C22AFF6" w16cex:dateUtc="2026-03-12T17:40:00Z"/>
  <w16cex:commentExtensible w16cex:durableId="09F1B33F" w16cex:dateUtc="2026-03-06T14:29:00Z"/>
  <w16cex:commentExtensible w16cex:durableId="69B5F88B" w16cex:dateUtc="2026-03-15T05:35:00Z"/>
  <w16cex:commentExtensible w16cex:durableId="618502E6" w16cex:dateUtc="2026-03-06T14:13:00Z"/>
  <w16cex:commentExtensible w16cex:durableId="09E60994" w16cex:dateUtc="2026-03-06T14:18:00Z"/>
  <w16cex:commentExtensible w16cex:durableId="48448833" w16cex:dateUtc="2026-03-12T17:58:00Z"/>
  <w16cex:commentExtensible w16cex:durableId="2F8777F6" w16cex:dateUtc="2026-03-06T14:19:00Z"/>
  <w16cex:commentExtensible w16cex:durableId="591DAD43" w16cex:dateUtc="2026-03-15T06:17:00Z"/>
  <w16cex:commentExtensible w16cex:durableId="58C31A9E" w16cex:dateUtc="2026-03-06T14:24:00Z"/>
  <w16cex:commentExtensible w16cex:durableId="1B1776EB" w16cex:dateUtc="2026-03-06T14:27:00Z"/>
  <w16cex:commentExtensible w16cex:durableId="62C40623" w16cex:dateUtc="2026-03-13T18:47:00Z"/>
  <w16cex:commentExtensible w16cex:durableId="65598ED7" w16cex:dateUtc="2026-03-16T20:01:00Z"/>
  <w16cex:commentExtensible w16cex:durableId="598251B4" w16cex:dateUtc="2026-03-03T21:20:00Z"/>
  <w16cex:commentExtensible w16cex:durableId="62C69491" w16cex:dateUtc="2026-03-03T22:36:00Z"/>
  <w16cex:commentExtensible w16cex:durableId="714B8A9D" w16cex:dateUtc="2026-03-12T18:14:00Z"/>
  <w16cex:commentExtensible w16cex:durableId="00F14B20" w16cex:dateUtc="2026-03-03T22:32:00Z"/>
  <w16cex:commentExtensible w16cex:durableId="18B85F35" w16cex:dateUtc="2026-03-02T21:47: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6F4909AD" w16cex:dateUtc="2026-03-16T20:08:00Z"/>
  <w16cex:commentExtensible w16cex:durableId="492AAA34"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532FF753" w16cex:dateUtc="2026-03-13T19:31:00Z"/>
  <w16cex:commentExtensible w16cex:durableId="71F5C94A" w16cex:dateUtc="2026-03-03T21:17:00Z"/>
  <w16cex:commentExtensible w16cex:durableId="430DD6C8" w16cex:dateUtc="2026-03-16T20:34:00Z"/>
  <w16cex:commentExtensible w16cex:durableId="3A353E59" w16cex:dateUtc="2026-03-03T22:40:00Z"/>
  <w16cex:commentExtensible w16cex:durableId="01003C6F" w16cex:dateUtc="2026-03-13T19:31:00Z"/>
  <w16cex:commentExtensible w16cex:durableId="636783B2" w16cex:dateUtc="2026-03-03T22:48:00Z"/>
  <w16cex:commentExtensible w16cex:durableId="508F2667" w16cex:dateUtc="2026-03-06T17:13:00Z"/>
  <w16cex:commentExtensible w16cex:durableId="079EAB85" w16cex:dateUtc="2026-03-04T20:35:00Z"/>
  <w16cex:commentExtensible w16cex:durableId="777EDA35" w16cex:dateUtc="2026-03-06T14:40:00Z"/>
  <w16cex:commentExtensible w16cex:durableId="640EB22F" w16cex:dateUtc="2026-03-06T14:41:00Z"/>
  <w16cex:commentExtensible w16cex:durableId="6599424B" w16cex:dateUtc="2026-03-06T14:31:00Z"/>
  <w16cex:commentExtensible w16cex:durableId="2963951F" w16cex:dateUtc="2026-03-04T21:18:00Z"/>
  <w16cex:commentExtensible w16cex:durableId="6A272983" w16cex:dateUtc="2026-03-04T21:18: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5AE6D3A2" w16cex:dateUtc="2026-03-15T06:15:00Z"/>
  <w16cex:commentExtensible w16cex:durableId="334737D1" w16cex:dateUtc="2026-03-03T22:28:00Z"/>
  <w16cex:commentExtensible w16cex:durableId="656E4CE2" w16cex:dateUtc="2026-03-04T20:54:00Z"/>
  <w16cex:commentExtensible w16cex:durableId="6877C225" w16cex:dateUtc="2026-03-06T14:50:00Z"/>
  <w16cex:commentExtensible w16cex:durableId="64545B02" w16cex:dateUtc="2026-03-04T20:57:00Z"/>
  <w16cex:commentExtensible w16cex:durableId="0C75EC7E" w16cex:dateUtc="2026-03-04T20:48:00Z"/>
  <w16cex:commentExtensible w16cex:durableId="34A31F3C" w16cex:dateUtc="2026-03-04T21:07:00Z"/>
  <w16cex:commentExtensible w16cex:durableId="72C1B2CA" w16cex:dateUtc="2026-03-15T05:00:00Z"/>
  <w16cex:commentExtensible w16cex:durableId="79A1CE49" w16cex:dateUtc="2026-03-04T21:10:00Z"/>
  <w16cex:commentExtensible w16cex:durableId="1E5B9BBC" w16cex:dateUtc="2026-03-16T23:13:00Z"/>
  <w16cex:commentExtensible w16cex:durableId="496E8D90" w16cex:dateUtc="2026-03-04T22:55:00Z"/>
  <w16cex:commentExtensible w16cex:durableId="57B18F69" w16cex:dateUtc="2026-03-12T18:28:00Z"/>
  <w16cex:commentExtensible w16cex:durableId="14BC180F" w16cex:dateUtc="2026-03-04T22:52:00Z"/>
  <w16cex:commentExtensible w16cex:durableId="27D68D0B" w16cex:dateUtc="2026-03-06T16:12:00Z"/>
  <w16cex:commentExtensible w16cex:durableId="6F480AE2" w16cex:dateUtc="2026-03-06T16:13:00Z"/>
  <w16cex:commentExtensible w16cex:durableId="3E2E8D8F" w16cex:dateUtc="2026-03-13T18:49:00Z"/>
  <w16cex:commentExtensible w16cex:durableId="0B318A4F" w16cex:dateUtc="2026-03-06T16:14:00Z"/>
  <w16cex:commentExtensible w16cex:durableId="515376E6" w16cex:dateUtc="2026-03-06T16:34:00Z"/>
  <w16cex:commentExtensible w16cex:durableId="247B5FD7" w16cex:dateUtc="2026-03-13T18:5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Extensible w16cex:durableId="3AC8CEB0" w16cex:dateUtc="2026-03-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2336FD54" w16cid:durableId="751C2BA8"/>
  <w16cid:commentId w16cid:paraId="65D4A352" w16cid:durableId="4FE2961E"/>
  <w16cid:commentId w16cid:paraId="750BA802" w16cid:durableId="2539A104"/>
  <w16cid:commentId w16cid:paraId="251E9EA3" w16cid:durableId="079871E4"/>
  <w16cid:commentId w16cid:paraId="21543448" w16cid:durableId="0CDA30C8"/>
  <w16cid:commentId w16cid:paraId="0974BF3C" w16cid:durableId="65CC43E6"/>
  <w16cid:commentId w16cid:paraId="50ADC764" w16cid:durableId="6861FE4E"/>
  <w16cid:commentId w16cid:paraId="07C99A22" w16cid:durableId="64FB3B00"/>
  <w16cid:commentId w16cid:paraId="108727BC" w16cid:durableId="2C22AFF6"/>
  <w16cid:commentId w16cid:paraId="1B2D2D6E" w16cid:durableId="09F1B33F"/>
  <w16cid:commentId w16cid:paraId="0A46B2AB" w16cid:durableId="69B5F88B"/>
  <w16cid:commentId w16cid:paraId="64004783" w16cid:durableId="618502E6"/>
  <w16cid:commentId w16cid:paraId="4F97FF87" w16cid:durableId="09E60994"/>
  <w16cid:commentId w16cid:paraId="3170E2AD" w16cid:durableId="48448833"/>
  <w16cid:commentId w16cid:paraId="0FF2D159" w16cid:durableId="2F8777F6"/>
  <w16cid:commentId w16cid:paraId="3E0DE042" w16cid:durableId="591DAD43"/>
  <w16cid:commentId w16cid:paraId="186F418E" w16cid:durableId="58C31A9E"/>
  <w16cid:commentId w16cid:paraId="7C220CA8" w16cid:durableId="1B1776EB"/>
  <w16cid:commentId w16cid:paraId="6AC62582" w16cid:durableId="62C40623"/>
  <w16cid:commentId w16cid:paraId="11E0FEF8" w16cid:durableId="65598ED7"/>
  <w16cid:commentId w16cid:paraId="31AF9DA7" w16cid:durableId="598251B4"/>
  <w16cid:commentId w16cid:paraId="6FC206C8" w16cid:durableId="62C69491"/>
  <w16cid:commentId w16cid:paraId="328B05C3" w16cid:durableId="714B8A9D"/>
  <w16cid:commentId w16cid:paraId="27202541" w16cid:durableId="00F14B20"/>
  <w16cid:commentId w16cid:paraId="1DBDE58C" w16cid:durableId="18B85F35"/>
  <w16cid:commentId w16cid:paraId="29E41C03" w16cid:durableId="39174973"/>
  <w16cid:commentId w16cid:paraId="40AE5E66" w16cid:durableId="4508D35C"/>
  <w16cid:commentId w16cid:paraId="0EBCD8AF" w16cid:durableId="31997B90"/>
  <w16cid:commentId w16cid:paraId="10008767" w16cid:durableId="59043229"/>
  <w16cid:commentId w16cid:paraId="5CF7DC59" w16cid:durableId="6F4909AD"/>
  <w16cid:commentId w16cid:paraId="1DDB20DA" w16cid:durableId="492AAA34"/>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3E2F4386" w16cid:durableId="532FF753"/>
  <w16cid:commentId w16cid:paraId="68E1DE23" w16cid:durableId="71F5C94A"/>
  <w16cid:commentId w16cid:paraId="6F7D9393" w16cid:durableId="430DD6C8"/>
  <w16cid:commentId w16cid:paraId="58815A9F" w16cid:durableId="3A353E59"/>
  <w16cid:commentId w16cid:paraId="77B18C0E" w16cid:durableId="01003C6F"/>
  <w16cid:commentId w16cid:paraId="399762A0" w16cid:durableId="636783B2"/>
  <w16cid:commentId w16cid:paraId="0471C35D" w16cid:durableId="508F2667"/>
  <w16cid:commentId w16cid:paraId="10523BBA" w16cid:durableId="079EAB85"/>
  <w16cid:commentId w16cid:paraId="67BAC007" w16cid:durableId="777EDA35"/>
  <w16cid:commentId w16cid:paraId="58929D82" w16cid:durableId="640EB22F"/>
  <w16cid:commentId w16cid:paraId="07B41C93" w16cid:durableId="6599424B"/>
  <w16cid:commentId w16cid:paraId="04C17865" w16cid:durableId="2963951F"/>
  <w16cid:commentId w16cid:paraId="30DA118D" w16cid:durableId="6A272983"/>
  <w16cid:commentId w16cid:paraId="35298B46" w16cid:durableId="1606EA9E"/>
  <w16cid:commentId w16cid:paraId="4DDF6827" w16cid:durableId="3FDF8C10"/>
  <w16cid:commentId w16cid:paraId="22BC6DAB" w16cid:durableId="1597E8B9"/>
  <w16cid:commentId w16cid:paraId="3A258305" w16cid:durableId="0281D022"/>
  <w16cid:commentId w16cid:paraId="62AE1A91" w16cid:durableId="5AE6D3A2"/>
  <w16cid:commentId w16cid:paraId="6CA40563" w16cid:durableId="334737D1"/>
  <w16cid:commentId w16cid:paraId="6B6F91BC" w16cid:durableId="656E4CE2"/>
  <w16cid:commentId w16cid:paraId="3236D35B" w16cid:durableId="6877C225"/>
  <w16cid:commentId w16cid:paraId="7C571FD9" w16cid:durableId="64545B02"/>
  <w16cid:commentId w16cid:paraId="4CBCB98C" w16cid:durableId="0C75EC7E"/>
  <w16cid:commentId w16cid:paraId="7F26FBFC" w16cid:durableId="34A31F3C"/>
  <w16cid:commentId w16cid:paraId="0BAABF65" w16cid:durableId="72C1B2CA"/>
  <w16cid:commentId w16cid:paraId="5882CEDC" w16cid:durableId="79A1CE49"/>
  <w16cid:commentId w16cid:paraId="0F919B80" w16cid:durableId="1E5B9BBC"/>
  <w16cid:commentId w16cid:paraId="14D9B40D" w16cid:durableId="496E8D90"/>
  <w16cid:commentId w16cid:paraId="214A824C" w16cid:durableId="57B18F69"/>
  <w16cid:commentId w16cid:paraId="50C8922B" w16cid:durableId="14BC180F"/>
  <w16cid:commentId w16cid:paraId="0ACEA055" w16cid:durableId="27D68D0B"/>
  <w16cid:commentId w16cid:paraId="26C62798" w16cid:durableId="6F480AE2"/>
  <w16cid:commentId w16cid:paraId="0E89E900" w16cid:durableId="3E2E8D8F"/>
  <w16cid:commentId w16cid:paraId="2159E4E8" w16cid:durableId="0B318A4F"/>
  <w16cid:commentId w16cid:paraId="25748C36" w16cid:durableId="515376E6"/>
  <w16cid:commentId w16cid:paraId="3EA0FBEF" w16cid:durableId="247B5FD7"/>
  <w16cid:commentId w16cid:paraId="24A9B909" w16cid:durableId="5774A962"/>
  <w16cid:commentId w16cid:paraId="672CA677" w16cid:durableId="3126D5BB"/>
  <w16cid:commentId w16cid:paraId="2B6A5DB6" w16cid:durableId="399CD74B"/>
  <w16cid:commentId w16cid:paraId="503F4BA4" w16cid:durableId="2B557097"/>
  <w16cid:commentId w16cid:paraId="5AD1A32C" w16cid:durableId="3AC8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D2AF" w14:textId="77777777" w:rsidR="00145934" w:rsidRDefault="00145934">
      <w:r>
        <w:separator/>
      </w:r>
    </w:p>
  </w:endnote>
  <w:endnote w:type="continuationSeparator" w:id="0">
    <w:p w14:paraId="543005DC" w14:textId="77777777" w:rsidR="00145934" w:rsidRDefault="0014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CD22C6B-CFF2-5245-8B28-B567317DE7B6}"/>
  </w:font>
  <w:font w:name="Times New Roman">
    <w:panose1 w:val="02020603050405020304"/>
    <w:charset w:val="00"/>
    <w:family w:val="roman"/>
    <w:pitch w:val="variable"/>
    <w:sig w:usb0="E0002EFF" w:usb1="C000785B" w:usb2="00000009" w:usb3="00000000" w:csb0="000001FF" w:csb1="00000000"/>
    <w:embedRegular r:id="rId2" w:fontKey="{AD83775B-F3E6-294F-9432-F1EE89BF9818}"/>
    <w:embedBold r:id="rId3" w:fontKey="{A22EFC80-353E-5146-A4BD-3C8353957374}"/>
    <w:embedItalic r:id="rId4" w:fontKey="{CEAB17B8-E26D-794B-8F82-367179974C68}"/>
    <w:embedBoldItalic r:id="rId5" w:fontKey="{CE03DAA7-D087-D640-9730-17BF5C3A7DCD}"/>
  </w:font>
  <w:font w:name="Calibri">
    <w:panose1 w:val="020F0502020204030204"/>
    <w:charset w:val="00"/>
    <w:family w:val="swiss"/>
    <w:pitch w:val="variable"/>
    <w:sig w:usb0="E4002EFF" w:usb1="C200247B" w:usb2="00000009" w:usb3="00000000" w:csb0="000001FF" w:csb1="00000000"/>
    <w:embedRegular r:id="rId6" w:fontKey="{ADEA5052-3BA0-F74A-AEF4-B7468CFC22A2}"/>
    <w:embedBold r:id="rId7" w:fontKey="{89CD68D2-9D5F-B443-AB0C-9394D87B482F}"/>
    <w:embedItalic r:id="rId8" w:fontKey="{FA4A3801-CF7F-FD4F-963A-D4BFE4334B09}"/>
    <w:embedBoldItalic r:id="rId9" w:fontKey="{5CB597C8-6EDE-2940-AB40-9811C01A6151}"/>
  </w:font>
  <w:font w:name="Arial">
    <w:panose1 w:val="020B0604020202020204"/>
    <w:charset w:val="00"/>
    <w:family w:val="swiss"/>
    <w:pitch w:val="variable"/>
    <w:sig w:usb0="E0002EFF" w:usb1="C000785B" w:usb2="00000009" w:usb3="00000000" w:csb0="000001FF" w:csb1="00000000"/>
    <w:embedRegular r:id="rId10" w:fontKey="{47D1769A-E6A4-1D4C-8E8D-31BE0C6F97B1}"/>
    <w:embedItalic r:id="rId11" w:fontKey="{22C1F3FD-2254-124E-9788-C90AD3D3B5E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AF2E31A6-A783-D843-96CE-BBE19FD587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807C" w14:textId="77777777" w:rsidR="00145934" w:rsidRDefault="00145934">
      <w:r>
        <w:separator/>
      </w:r>
    </w:p>
  </w:footnote>
  <w:footnote w:type="continuationSeparator" w:id="0">
    <w:p w14:paraId="25B7EBDD" w14:textId="77777777" w:rsidR="00145934" w:rsidRDefault="00145934">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63D51BA9" w14:textId="07FF1971" w:rsidR="00880EB1" w:rsidRPr="00880EB1" w:rsidRDefault="00880EB1">
      <w:pPr>
        <w:pStyle w:val="FootnoteText"/>
      </w:pPr>
      <w:r>
        <w:rPr>
          <w:rStyle w:val="FootnoteReference"/>
        </w:rPr>
        <w:footnoteRef/>
      </w:r>
      <w:r>
        <w:t xml:space="preserve"> </w:t>
      </w:r>
      <w:r w:rsidRPr="00880EB1">
        <w:rPr>
          <w:rFonts w:asciiTheme="majorHAnsi" w:hAnsiTheme="majorHAnsi" w:cstheme="majorHAnsi"/>
        </w:rPr>
        <w:t>In the survey sample, of all students who responded to the gender identity questions (N=</w:t>
      </w:r>
      <w:r>
        <w:rPr>
          <w:rFonts w:asciiTheme="majorHAnsi" w:hAnsiTheme="majorHAnsi" w:cstheme="majorHAnsi"/>
        </w:rPr>
        <w:t>7551</w:t>
      </w:r>
      <w:r w:rsidRPr="00880EB1">
        <w:rPr>
          <w:rFonts w:asciiTheme="majorHAnsi" w:hAnsiTheme="majorHAnsi" w:cstheme="majorHAnsi"/>
        </w:rPr>
        <w:t>), 1</w:t>
      </w:r>
      <w:r>
        <w:rPr>
          <w:rFonts w:asciiTheme="majorHAnsi" w:hAnsiTheme="majorHAnsi" w:cstheme="majorHAnsi"/>
        </w:rPr>
        <w:t>.1</w:t>
      </w:r>
      <w:r w:rsidRPr="00880EB1">
        <w:rPr>
          <w:rFonts w:asciiTheme="majorHAnsi" w:hAnsiTheme="majorHAnsi" w:cstheme="majorHAnsi"/>
        </w:rPr>
        <w:t>% (n=</w:t>
      </w:r>
      <w:r>
        <w:rPr>
          <w:rFonts w:asciiTheme="majorHAnsi" w:hAnsiTheme="majorHAnsi" w:cstheme="majorHAnsi"/>
        </w:rPr>
        <w:t>86</w:t>
      </w:r>
      <w:r w:rsidRPr="00880EB1">
        <w:rPr>
          <w:rFonts w:asciiTheme="majorHAnsi" w:hAnsiTheme="majorHAnsi" w:cstheme="majorHAnsi"/>
        </w:rPr>
        <w:t>) students selected “Other” and wrote in a response.</w:t>
      </w:r>
    </w:p>
  </w:footnote>
  <w:footnote w:id="3">
    <w:p w14:paraId="00E27B0F" w14:textId="492CA1A3" w:rsidR="00AB6684" w:rsidRPr="006159A0" w:rsidRDefault="00AB6684">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Of the 266 students who identified as non-binary, 87% (n = 231) were assigned female at birth.</w:t>
      </w:r>
    </w:p>
  </w:footnote>
  <w:footnote w:id="4">
    <w:p w14:paraId="59DFCE99" w14:textId="249BA4DE" w:rsidR="00880EB1" w:rsidRPr="0067739F" w:rsidRDefault="00880EB1">
      <w:pPr>
        <w:pStyle w:val="FootnoteText"/>
        <w:rPr>
          <w:rFonts w:asciiTheme="majorHAnsi" w:hAnsiTheme="majorHAnsi" w:cstheme="majorHAnsi"/>
          <w:lang w:val="en-US"/>
        </w:rPr>
      </w:pPr>
      <w:r w:rsidRPr="0067739F">
        <w:rPr>
          <w:rStyle w:val="FootnoteReference"/>
          <w:rFonts w:asciiTheme="majorHAnsi" w:hAnsiTheme="majorHAnsi" w:cstheme="majorHAnsi"/>
        </w:rPr>
        <w:footnoteRef/>
      </w:r>
      <w:r w:rsidRPr="0067739F">
        <w:rPr>
          <w:rFonts w:asciiTheme="majorHAnsi" w:hAnsiTheme="majorHAnsi" w:cstheme="majorHAnsi"/>
        </w:rPr>
        <w:t xml:space="preserve"> In the survey sample, of all students who responded to the sexual orientation questions (N=7507), 3.1% (n=231) students selected “Other” and wrote in a response.</w:t>
      </w:r>
    </w:p>
  </w:footnote>
  <w:footnote w:id="5">
    <w:p w14:paraId="5F31FF71" w14:textId="49A5D52B" w:rsidR="00A830BE" w:rsidRPr="006159A0" w:rsidRDefault="00A830BE">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See Appendix B for </w:t>
      </w:r>
      <w:r w:rsidR="00FC4DD2" w:rsidRPr="006159A0">
        <w:rPr>
          <w:rFonts w:asciiTheme="majorHAnsi" w:hAnsiTheme="majorHAnsi" w:cstheme="majorHAnsi"/>
        </w:rPr>
        <w:t xml:space="preserve">high school experience </w:t>
      </w:r>
      <w:r w:rsidRPr="006159A0">
        <w:rPr>
          <w:rFonts w:asciiTheme="majorHAnsi" w:hAnsiTheme="majorHAnsi" w:cstheme="majorHAnsi"/>
        </w:rPr>
        <w:t>survey items and summary statistics.</w:t>
      </w:r>
    </w:p>
  </w:footnote>
  <w:footnote w:id="6">
    <w:p w14:paraId="3AB3CDE6" w14:textId="68D6A077" w:rsidR="00342026" w:rsidRPr="006159A0" w:rsidRDefault="00342026">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w:t>
      </w:r>
      <w:r w:rsidR="00E07D1C">
        <w:rPr>
          <w:rFonts w:asciiTheme="majorHAnsi" w:hAnsiTheme="majorHAnsi" w:cstheme="majorHAnsi"/>
        </w:rPr>
        <w:t>For sexual orientation, w</w:t>
      </w:r>
      <w:r w:rsidRPr="006159A0">
        <w:rPr>
          <w:rFonts w:asciiTheme="majorHAnsi" w:hAnsiTheme="majorHAnsi" w:cstheme="majorHAnsi"/>
        </w:rPr>
        <w:t xml:space="preserve">e also estimate </w:t>
      </w:r>
      <w:r w:rsidR="00E07D1C">
        <w:rPr>
          <w:rFonts w:asciiTheme="majorHAnsi" w:hAnsiTheme="majorHAnsi" w:cstheme="majorHAnsi"/>
        </w:rPr>
        <w:t xml:space="preserve">an additional </w:t>
      </w:r>
      <w:r w:rsidRPr="006159A0">
        <w:rPr>
          <w:rFonts w:asciiTheme="majorHAnsi" w:hAnsiTheme="majorHAnsi" w:cstheme="majorHAnsi"/>
        </w:rPr>
        <w:t>specification that controls for assigned sex at birth. See Appendix F for results.</w:t>
      </w:r>
    </w:p>
  </w:footnote>
  <w:footnote w:id="7">
    <w:p w14:paraId="7439B2A4" w14:textId="2D9580B0"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8">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ith Conron">
    <w15:presenceInfo w15:providerId="Windows Live" w15:userId="f1fe59e1c38d45a4"/>
  </w15:person>
  <w15:person w15:author="Alexandria M Hurtt">
    <w15:presenceInfo w15:providerId="AD" w15:userId="S::amhurtt@ucdavis.edu::eb8a14f7-2cbb-47e4-96a1-25169f888a45"/>
  </w15:person>
  <w15:person w15:author="Christina Sun">
    <w15:presenceInfo w15:providerId="AD" w15:userId="S::ucsun@ucdavis.edu::5be2d8b9-4fc5-44a2-9632-34f820d3b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169CD"/>
    <w:rsid w:val="00020A7C"/>
    <w:rsid w:val="000237D5"/>
    <w:rsid w:val="00023F9C"/>
    <w:rsid w:val="00026236"/>
    <w:rsid w:val="00027FC9"/>
    <w:rsid w:val="000322E6"/>
    <w:rsid w:val="00035D76"/>
    <w:rsid w:val="00036510"/>
    <w:rsid w:val="00037B1F"/>
    <w:rsid w:val="00051BD2"/>
    <w:rsid w:val="00051F5E"/>
    <w:rsid w:val="00052592"/>
    <w:rsid w:val="00053FA4"/>
    <w:rsid w:val="000748DC"/>
    <w:rsid w:val="0007674F"/>
    <w:rsid w:val="00077ED0"/>
    <w:rsid w:val="00086211"/>
    <w:rsid w:val="000914AF"/>
    <w:rsid w:val="00092E71"/>
    <w:rsid w:val="0009553C"/>
    <w:rsid w:val="000A1171"/>
    <w:rsid w:val="000B3292"/>
    <w:rsid w:val="000B5235"/>
    <w:rsid w:val="000D0693"/>
    <w:rsid w:val="000D0B08"/>
    <w:rsid w:val="000D1523"/>
    <w:rsid w:val="000D2739"/>
    <w:rsid w:val="000D28ED"/>
    <w:rsid w:val="000D3C0C"/>
    <w:rsid w:val="000D563E"/>
    <w:rsid w:val="000E3658"/>
    <w:rsid w:val="000E462A"/>
    <w:rsid w:val="000E543C"/>
    <w:rsid w:val="000E5742"/>
    <w:rsid w:val="000E6523"/>
    <w:rsid w:val="000F3816"/>
    <w:rsid w:val="001012D8"/>
    <w:rsid w:val="00103CDD"/>
    <w:rsid w:val="00104C36"/>
    <w:rsid w:val="00105E79"/>
    <w:rsid w:val="00106BF7"/>
    <w:rsid w:val="001112B8"/>
    <w:rsid w:val="001112D6"/>
    <w:rsid w:val="00111EC5"/>
    <w:rsid w:val="001155AA"/>
    <w:rsid w:val="0011781E"/>
    <w:rsid w:val="001210E5"/>
    <w:rsid w:val="00124A2B"/>
    <w:rsid w:val="00126B08"/>
    <w:rsid w:val="001309D9"/>
    <w:rsid w:val="001347BF"/>
    <w:rsid w:val="0013750D"/>
    <w:rsid w:val="0014251B"/>
    <w:rsid w:val="00143DCC"/>
    <w:rsid w:val="00145934"/>
    <w:rsid w:val="0014770C"/>
    <w:rsid w:val="00151F38"/>
    <w:rsid w:val="0015476A"/>
    <w:rsid w:val="001556A4"/>
    <w:rsid w:val="00165E9E"/>
    <w:rsid w:val="001671F8"/>
    <w:rsid w:val="00174480"/>
    <w:rsid w:val="001744EB"/>
    <w:rsid w:val="001751C5"/>
    <w:rsid w:val="00175AEE"/>
    <w:rsid w:val="00185246"/>
    <w:rsid w:val="001869A4"/>
    <w:rsid w:val="001904BF"/>
    <w:rsid w:val="0019183A"/>
    <w:rsid w:val="001928C1"/>
    <w:rsid w:val="00192B96"/>
    <w:rsid w:val="00194C5E"/>
    <w:rsid w:val="001A3877"/>
    <w:rsid w:val="001A3945"/>
    <w:rsid w:val="001A7CAC"/>
    <w:rsid w:val="001B2966"/>
    <w:rsid w:val="001B6F1D"/>
    <w:rsid w:val="001B6FDE"/>
    <w:rsid w:val="001D42A8"/>
    <w:rsid w:val="001D4A5D"/>
    <w:rsid w:val="001D7C72"/>
    <w:rsid w:val="001E374B"/>
    <w:rsid w:val="001E677D"/>
    <w:rsid w:val="001F3275"/>
    <w:rsid w:val="001F54E3"/>
    <w:rsid w:val="001F77F0"/>
    <w:rsid w:val="00212809"/>
    <w:rsid w:val="002142D4"/>
    <w:rsid w:val="002155FA"/>
    <w:rsid w:val="00217897"/>
    <w:rsid w:val="002219EB"/>
    <w:rsid w:val="00221C6C"/>
    <w:rsid w:val="002254D9"/>
    <w:rsid w:val="00230904"/>
    <w:rsid w:val="00230D0C"/>
    <w:rsid w:val="00236227"/>
    <w:rsid w:val="002370B0"/>
    <w:rsid w:val="00241FA1"/>
    <w:rsid w:val="00250061"/>
    <w:rsid w:val="00250791"/>
    <w:rsid w:val="00254931"/>
    <w:rsid w:val="00255044"/>
    <w:rsid w:val="002574AE"/>
    <w:rsid w:val="00262B50"/>
    <w:rsid w:val="00265029"/>
    <w:rsid w:val="00266684"/>
    <w:rsid w:val="00270787"/>
    <w:rsid w:val="00272EB8"/>
    <w:rsid w:val="00273D94"/>
    <w:rsid w:val="00276F3E"/>
    <w:rsid w:val="002777E5"/>
    <w:rsid w:val="002874B6"/>
    <w:rsid w:val="0029447E"/>
    <w:rsid w:val="002A0567"/>
    <w:rsid w:val="002A1697"/>
    <w:rsid w:val="002A3357"/>
    <w:rsid w:val="002B2BA4"/>
    <w:rsid w:val="002B5068"/>
    <w:rsid w:val="002B7988"/>
    <w:rsid w:val="002C4513"/>
    <w:rsid w:val="002C4A47"/>
    <w:rsid w:val="002C5D16"/>
    <w:rsid w:val="002D5B3F"/>
    <w:rsid w:val="002D762A"/>
    <w:rsid w:val="002D7717"/>
    <w:rsid w:val="002E37A5"/>
    <w:rsid w:val="002F2DE1"/>
    <w:rsid w:val="002F6979"/>
    <w:rsid w:val="002F724A"/>
    <w:rsid w:val="003018AE"/>
    <w:rsid w:val="0030238F"/>
    <w:rsid w:val="00310E5F"/>
    <w:rsid w:val="00311ECC"/>
    <w:rsid w:val="00313BFB"/>
    <w:rsid w:val="00314BD8"/>
    <w:rsid w:val="003202AF"/>
    <w:rsid w:val="00321FF7"/>
    <w:rsid w:val="00331823"/>
    <w:rsid w:val="00342026"/>
    <w:rsid w:val="00344288"/>
    <w:rsid w:val="00350E20"/>
    <w:rsid w:val="00352836"/>
    <w:rsid w:val="00352A29"/>
    <w:rsid w:val="00357E81"/>
    <w:rsid w:val="00362528"/>
    <w:rsid w:val="00362AF0"/>
    <w:rsid w:val="00366050"/>
    <w:rsid w:val="003679AD"/>
    <w:rsid w:val="00374686"/>
    <w:rsid w:val="0037558D"/>
    <w:rsid w:val="00375DDC"/>
    <w:rsid w:val="003803B1"/>
    <w:rsid w:val="003837D1"/>
    <w:rsid w:val="00384B22"/>
    <w:rsid w:val="00387714"/>
    <w:rsid w:val="00390EAB"/>
    <w:rsid w:val="003910DB"/>
    <w:rsid w:val="0039239C"/>
    <w:rsid w:val="00392EBF"/>
    <w:rsid w:val="00393D00"/>
    <w:rsid w:val="00394CC0"/>
    <w:rsid w:val="00394E3A"/>
    <w:rsid w:val="003A0903"/>
    <w:rsid w:val="003A3DEB"/>
    <w:rsid w:val="003A42F3"/>
    <w:rsid w:val="003A491C"/>
    <w:rsid w:val="003A5B6B"/>
    <w:rsid w:val="003B06A8"/>
    <w:rsid w:val="003B34CD"/>
    <w:rsid w:val="003C4DCF"/>
    <w:rsid w:val="003D2338"/>
    <w:rsid w:val="003D5B76"/>
    <w:rsid w:val="003E0C04"/>
    <w:rsid w:val="003E24BC"/>
    <w:rsid w:val="003F0AAB"/>
    <w:rsid w:val="003F106B"/>
    <w:rsid w:val="003F369F"/>
    <w:rsid w:val="003F3EC9"/>
    <w:rsid w:val="003F4AB9"/>
    <w:rsid w:val="003F4E39"/>
    <w:rsid w:val="003F58D7"/>
    <w:rsid w:val="0040314D"/>
    <w:rsid w:val="00405435"/>
    <w:rsid w:val="004172C6"/>
    <w:rsid w:val="00417D67"/>
    <w:rsid w:val="00417EEC"/>
    <w:rsid w:val="00420934"/>
    <w:rsid w:val="004227E9"/>
    <w:rsid w:val="00425BD3"/>
    <w:rsid w:val="004273E8"/>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50FD"/>
    <w:rsid w:val="00487CAD"/>
    <w:rsid w:val="004904B4"/>
    <w:rsid w:val="00493EB0"/>
    <w:rsid w:val="00495487"/>
    <w:rsid w:val="00496A39"/>
    <w:rsid w:val="004A614C"/>
    <w:rsid w:val="004B10E6"/>
    <w:rsid w:val="004B2EB4"/>
    <w:rsid w:val="004B324A"/>
    <w:rsid w:val="004B53C1"/>
    <w:rsid w:val="004B62AC"/>
    <w:rsid w:val="004B7BF1"/>
    <w:rsid w:val="004C0D98"/>
    <w:rsid w:val="004C3687"/>
    <w:rsid w:val="004C4FA9"/>
    <w:rsid w:val="004C6033"/>
    <w:rsid w:val="004C7F34"/>
    <w:rsid w:val="004D5A62"/>
    <w:rsid w:val="004D5CCC"/>
    <w:rsid w:val="004D71F4"/>
    <w:rsid w:val="004E144C"/>
    <w:rsid w:val="004E1974"/>
    <w:rsid w:val="004E19F8"/>
    <w:rsid w:val="004E63AC"/>
    <w:rsid w:val="004F54A0"/>
    <w:rsid w:val="004F595A"/>
    <w:rsid w:val="004F689A"/>
    <w:rsid w:val="004F7888"/>
    <w:rsid w:val="005020ED"/>
    <w:rsid w:val="00503037"/>
    <w:rsid w:val="0050784F"/>
    <w:rsid w:val="00510B0E"/>
    <w:rsid w:val="005111F0"/>
    <w:rsid w:val="005211ED"/>
    <w:rsid w:val="0053033F"/>
    <w:rsid w:val="00535C93"/>
    <w:rsid w:val="00544F73"/>
    <w:rsid w:val="00545C96"/>
    <w:rsid w:val="005466B8"/>
    <w:rsid w:val="00550359"/>
    <w:rsid w:val="005627F6"/>
    <w:rsid w:val="005649F0"/>
    <w:rsid w:val="005747E9"/>
    <w:rsid w:val="00580B3A"/>
    <w:rsid w:val="00582442"/>
    <w:rsid w:val="005834E6"/>
    <w:rsid w:val="0058735A"/>
    <w:rsid w:val="00590810"/>
    <w:rsid w:val="00595D34"/>
    <w:rsid w:val="00597E4E"/>
    <w:rsid w:val="005B3F0E"/>
    <w:rsid w:val="005B675C"/>
    <w:rsid w:val="005C029B"/>
    <w:rsid w:val="005C1AB6"/>
    <w:rsid w:val="005D0E46"/>
    <w:rsid w:val="005D2EC2"/>
    <w:rsid w:val="005E0AD3"/>
    <w:rsid w:val="005E4681"/>
    <w:rsid w:val="005E7BAE"/>
    <w:rsid w:val="005F5DF3"/>
    <w:rsid w:val="00601833"/>
    <w:rsid w:val="00602BF5"/>
    <w:rsid w:val="00604FC1"/>
    <w:rsid w:val="0060540B"/>
    <w:rsid w:val="00607D58"/>
    <w:rsid w:val="006159A0"/>
    <w:rsid w:val="00617DE8"/>
    <w:rsid w:val="006208F2"/>
    <w:rsid w:val="00633B98"/>
    <w:rsid w:val="00634828"/>
    <w:rsid w:val="006348D1"/>
    <w:rsid w:val="006366C4"/>
    <w:rsid w:val="0064192A"/>
    <w:rsid w:val="0064364C"/>
    <w:rsid w:val="00645F1A"/>
    <w:rsid w:val="00647623"/>
    <w:rsid w:val="00653104"/>
    <w:rsid w:val="00654EC3"/>
    <w:rsid w:val="006573EF"/>
    <w:rsid w:val="006574E9"/>
    <w:rsid w:val="00657A21"/>
    <w:rsid w:val="00662A97"/>
    <w:rsid w:val="00663A3D"/>
    <w:rsid w:val="00665CCD"/>
    <w:rsid w:val="0067739F"/>
    <w:rsid w:val="00682C86"/>
    <w:rsid w:val="00686688"/>
    <w:rsid w:val="006876EC"/>
    <w:rsid w:val="00693DF5"/>
    <w:rsid w:val="006A4E85"/>
    <w:rsid w:val="006B0DB1"/>
    <w:rsid w:val="006B4158"/>
    <w:rsid w:val="006C2CB5"/>
    <w:rsid w:val="006C6F02"/>
    <w:rsid w:val="006C73E7"/>
    <w:rsid w:val="006C785A"/>
    <w:rsid w:val="006C7BD3"/>
    <w:rsid w:val="006C7D98"/>
    <w:rsid w:val="006D380F"/>
    <w:rsid w:val="006E0A3B"/>
    <w:rsid w:val="006E705A"/>
    <w:rsid w:val="006F0A64"/>
    <w:rsid w:val="006F10ED"/>
    <w:rsid w:val="006F1410"/>
    <w:rsid w:val="007016FB"/>
    <w:rsid w:val="00701B02"/>
    <w:rsid w:val="00702DF8"/>
    <w:rsid w:val="00705159"/>
    <w:rsid w:val="00706FFC"/>
    <w:rsid w:val="0070708C"/>
    <w:rsid w:val="007113D8"/>
    <w:rsid w:val="00712F59"/>
    <w:rsid w:val="007155FC"/>
    <w:rsid w:val="007163AD"/>
    <w:rsid w:val="0071788A"/>
    <w:rsid w:val="007201EA"/>
    <w:rsid w:val="00720CA8"/>
    <w:rsid w:val="00721407"/>
    <w:rsid w:val="00721B16"/>
    <w:rsid w:val="0072235C"/>
    <w:rsid w:val="007237DF"/>
    <w:rsid w:val="0072561E"/>
    <w:rsid w:val="0073266D"/>
    <w:rsid w:val="00735625"/>
    <w:rsid w:val="007460BD"/>
    <w:rsid w:val="00747932"/>
    <w:rsid w:val="00760288"/>
    <w:rsid w:val="00760D29"/>
    <w:rsid w:val="00760D5E"/>
    <w:rsid w:val="0076150D"/>
    <w:rsid w:val="0077159A"/>
    <w:rsid w:val="00774CA6"/>
    <w:rsid w:val="00781E73"/>
    <w:rsid w:val="00784751"/>
    <w:rsid w:val="00790F46"/>
    <w:rsid w:val="00795A7A"/>
    <w:rsid w:val="0079716B"/>
    <w:rsid w:val="0079743E"/>
    <w:rsid w:val="0079748E"/>
    <w:rsid w:val="007A1126"/>
    <w:rsid w:val="007A58EC"/>
    <w:rsid w:val="007C0890"/>
    <w:rsid w:val="007C3F1C"/>
    <w:rsid w:val="007C59E9"/>
    <w:rsid w:val="007C5D8A"/>
    <w:rsid w:val="007C6E5C"/>
    <w:rsid w:val="007C7EFC"/>
    <w:rsid w:val="007D03E9"/>
    <w:rsid w:val="007D0BCA"/>
    <w:rsid w:val="007D0DE1"/>
    <w:rsid w:val="007D7255"/>
    <w:rsid w:val="007E04A4"/>
    <w:rsid w:val="007E2061"/>
    <w:rsid w:val="007E466E"/>
    <w:rsid w:val="007F189C"/>
    <w:rsid w:val="007F3CDA"/>
    <w:rsid w:val="0080255B"/>
    <w:rsid w:val="00807711"/>
    <w:rsid w:val="0081361A"/>
    <w:rsid w:val="00814844"/>
    <w:rsid w:val="00816094"/>
    <w:rsid w:val="0082334F"/>
    <w:rsid w:val="0082372B"/>
    <w:rsid w:val="00824E21"/>
    <w:rsid w:val="00833625"/>
    <w:rsid w:val="0083475E"/>
    <w:rsid w:val="00844C8C"/>
    <w:rsid w:val="00845B7A"/>
    <w:rsid w:val="008542DA"/>
    <w:rsid w:val="00855ABD"/>
    <w:rsid w:val="008603AB"/>
    <w:rsid w:val="00864233"/>
    <w:rsid w:val="0086743B"/>
    <w:rsid w:val="00871AA2"/>
    <w:rsid w:val="00873C71"/>
    <w:rsid w:val="00875048"/>
    <w:rsid w:val="00880EB1"/>
    <w:rsid w:val="0088325E"/>
    <w:rsid w:val="00884880"/>
    <w:rsid w:val="008849FD"/>
    <w:rsid w:val="00887134"/>
    <w:rsid w:val="00887500"/>
    <w:rsid w:val="00896CB9"/>
    <w:rsid w:val="008973DC"/>
    <w:rsid w:val="008A166E"/>
    <w:rsid w:val="008A2B79"/>
    <w:rsid w:val="008A352A"/>
    <w:rsid w:val="008A7BC5"/>
    <w:rsid w:val="008B078D"/>
    <w:rsid w:val="008B11B3"/>
    <w:rsid w:val="008B58AB"/>
    <w:rsid w:val="008D55E1"/>
    <w:rsid w:val="008D6262"/>
    <w:rsid w:val="008D67BD"/>
    <w:rsid w:val="008D6E11"/>
    <w:rsid w:val="008E4305"/>
    <w:rsid w:val="008E6925"/>
    <w:rsid w:val="008E71FD"/>
    <w:rsid w:val="008F157A"/>
    <w:rsid w:val="00903635"/>
    <w:rsid w:val="00906CF7"/>
    <w:rsid w:val="00907F1D"/>
    <w:rsid w:val="00910F2C"/>
    <w:rsid w:val="00911AA2"/>
    <w:rsid w:val="00911B49"/>
    <w:rsid w:val="009225AC"/>
    <w:rsid w:val="009253B7"/>
    <w:rsid w:val="009270C3"/>
    <w:rsid w:val="00927E13"/>
    <w:rsid w:val="009323B6"/>
    <w:rsid w:val="00933522"/>
    <w:rsid w:val="009406F5"/>
    <w:rsid w:val="00940701"/>
    <w:rsid w:val="00941C67"/>
    <w:rsid w:val="0094783A"/>
    <w:rsid w:val="00953074"/>
    <w:rsid w:val="0096474B"/>
    <w:rsid w:val="009724F6"/>
    <w:rsid w:val="0097514D"/>
    <w:rsid w:val="009757F3"/>
    <w:rsid w:val="00975D6B"/>
    <w:rsid w:val="009820F8"/>
    <w:rsid w:val="00984500"/>
    <w:rsid w:val="009908FB"/>
    <w:rsid w:val="009914E0"/>
    <w:rsid w:val="00997774"/>
    <w:rsid w:val="009A3F5F"/>
    <w:rsid w:val="009A52C2"/>
    <w:rsid w:val="009B0C4D"/>
    <w:rsid w:val="009B0E72"/>
    <w:rsid w:val="009B4B34"/>
    <w:rsid w:val="009C3566"/>
    <w:rsid w:val="009C3732"/>
    <w:rsid w:val="009C5B1D"/>
    <w:rsid w:val="009C6697"/>
    <w:rsid w:val="009C67D5"/>
    <w:rsid w:val="009D04CC"/>
    <w:rsid w:val="009D61CE"/>
    <w:rsid w:val="009D6203"/>
    <w:rsid w:val="009E2CBB"/>
    <w:rsid w:val="009E31BA"/>
    <w:rsid w:val="00A00541"/>
    <w:rsid w:val="00A047E7"/>
    <w:rsid w:val="00A06A4E"/>
    <w:rsid w:val="00A15A40"/>
    <w:rsid w:val="00A15F92"/>
    <w:rsid w:val="00A219C7"/>
    <w:rsid w:val="00A21E56"/>
    <w:rsid w:val="00A2442D"/>
    <w:rsid w:val="00A439C5"/>
    <w:rsid w:val="00A45E5F"/>
    <w:rsid w:val="00A47DDA"/>
    <w:rsid w:val="00A513AE"/>
    <w:rsid w:val="00A52813"/>
    <w:rsid w:val="00A62CE9"/>
    <w:rsid w:val="00A62F47"/>
    <w:rsid w:val="00A671BA"/>
    <w:rsid w:val="00A675D0"/>
    <w:rsid w:val="00A70364"/>
    <w:rsid w:val="00A739D5"/>
    <w:rsid w:val="00A830BE"/>
    <w:rsid w:val="00A865D7"/>
    <w:rsid w:val="00A87367"/>
    <w:rsid w:val="00A92169"/>
    <w:rsid w:val="00A9670E"/>
    <w:rsid w:val="00AA0A12"/>
    <w:rsid w:val="00AA5F8C"/>
    <w:rsid w:val="00AA7AF1"/>
    <w:rsid w:val="00AA7EE7"/>
    <w:rsid w:val="00AB1749"/>
    <w:rsid w:val="00AB4825"/>
    <w:rsid w:val="00AB52BD"/>
    <w:rsid w:val="00AB5F7D"/>
    <w:rsid w:val="00AB6684"/>
    <w:rsid w:val="00AB6C85"/>
    <w:rsid w:val="00AB77EF"/>
    <w:rsid w:val="00AC1C99"/>
    <w:rsid w:val="00AC2DF1"/>
    <w:rsid w:val="00AC4D17"/>
    <w:rsid w:val="00AC677D"/>
    <w:rsid w:val="00AD0857"/>
    <w:rsid w:val="00AD5623"/>
    <w:rsid w:val="00AD56CA"/>
    <w:rsid w:val="00AF71DB"/>
    <w:rsid w:val="00B044BB"/>
    <w:rsid w:val="00B10156"/>
    <w:rsid w:val="00B122C0"/>
    <w:rsid w:val="00B1501E"/>
    <w:rsid w:val="00B159D3"/>
    <w:rsid w:val="00B217B3"/>
    <w:rsid w:val="00B26E7A"/>
    <w:rsid w:val="00B27311"/>
    <w:rsid w:val="00B342DF"/>
    <w:rsid w:val="00B3582A"/>
    <w:rsid w:val="00B4412A"/>
    <w:rsid w:val="00B44B4B"/>
    <w:rsid w:val="00B5048B"/>
    <w:rsid w:val="00B5297B"/>
    <w:rsid w:val="00B55EDB"/>
    <w:rsid w:val="00B568DE"/>
    <w:rsid w:val="00B61F67"/>
    <w:rsid w:val="00B621E1"/>
    <w:rsid w:val="00B639E1"/>
    <w:rsid w:val="00B64424"/>
    <w:rsid w:val="00B7033B"/>
    <w:rsid w:val="00B719F1"/>
    <w:rsid w:val="00B729F0"/>
    <w:rsid w:val="00B83242"/>
    <w:rsid w:val="00B85FBC"/>
    <w:rsid w:val="00B90A35"/>
    <w:rsid w:val="00B91C80"/>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0A8F"/>
    <w:rsid w:val="00BF1ABC"/>
    <w:rsid w:val="00C01824"/>
    <w:rsid w:val="00C02F9A"/>
    <w:rsid w:val="00C06DAA"/>
    <w:rsid w:val="00C15444"/>
    <w:rsid w:val="00C179F7"/>
    <w:rsid w:val="00C2121F"/>
    <w:rsid w:val="00C25A1D"/>
    <w:rsid w:val="00C27BCA"/>
    <w:rsid w:val="00C340FD"/>
    <w:rsid w:val="00C4237A"/>
    <w:rsid w:val="00C428F3"/>
    <w:rsid w:val="00C43786"/>
    <w:rsid w:val="00C4541C"/>
    <w:rsid w:val="00C45C7E"/>
    <w:rsid w:val="00C514B3"/>
    <w:rsid w:val="00C545D3"/>
    <w:rsid w:val="00C60F71"/>
    <w:rsid w:val="00C64491"/>
    <w:rsid w:val="00C65C0D"/>
    <w:rsid w:val="00C706AE"/>
    <w:rsid w:val="00C7527B"/>
    <w:rsid w:val="00C81359"/>
    <w:rsid w:val="00C92FC2"/>
    <w:rsid w:val="00C93586"/>
    <w:rsid w:val="00C93A68"/>
    <w:rsid w:val="00C9417F"/>
    <w:rsid w:val="00C974F4"/>
    <w:rsid w:val="00CA42B3"/>
    <w:rsid w:val="00CB2295"/>
    <w:rsid w:val="00CB5315"/>
    <w:rsid w:val="00CB661C"/>
    <w:rsid w:val="00CC5F7E"/>
    <w:rsid w:val="00CD06C1"/>
    <w:rsid w:val="00CD5298"/>
    <w:rsid w:val="00CE2C8D"/>
    <w:rsid w:val="00CE4D50"/>
    <w:rsid w:val="00D05A55"/>
    <w:rsid w:val="00D065EC"/>
    <w:rsid w:val="00D103FB"/>
    <w:rsid w:val="00D17577"/>
    <w:rsid w:val="00D24599"/>
    <w:rsid w:val="00D2469C"/>
    <w:rsid w:val="00D26090"/>
    <w:rsid w:val="00D26BAA"/>
    <w:rsid w:val="00D3396C"/>
    <w:rsid w:val="00D36A68"/>
    <w:rsid w:val="00D404BA"/>
    <w:rsid w:val="00D4227E"/>
    <w:rsid w:val="00D4360C"/>
    <w:rsid w:val="00D5066E"/>
    <w:rsid w:val="00D51A42"/>
    <w:rsid w:val="00D545DB"/>
    <w:rsid w:val="00D5548E"/>
    <w:rsid w:val="00D63F44"/>
    <w:rsid w:val="00D644EE"/>
    <w:rsid w:val="00D70A5E"/>
    <w:rsid w:val="00D720F2"/>
    <w:rsid w:val="00D72D44"/>
    <w:rsid w:val="00D83587"/>
    <w:rsid w:val="00D83847"/>
    <w:rsid w:val="00D84443"/>
    <w:rsid w:val="00D8649D"/>
    <w:rsid w:val="00D9157E"/>
    <w:rsid w:val="00D9455B"/>
    <w:rsid w:val="00DA2AB1"/>
    <w:rsid w:val="00DA5179"/>
    <w:rsid w:val="00DA56E8"/>
    <w:rsid w:val="00DA6246"/>
    <w:rsid w:val="00DC08B8"/>
    <w:rsid w:val="00DD1600"/>
    <w:rsid w:val="00DD462C"/>
    <w:rsid w:val="00DD6BD5"/>
    <w:rsid w:val="00DE0178"/>
    <w:rsid w:val="00DE7454"/>
    <w:rsid w:val="00E0737D"/>
    <w:rsid w:val="00E07D1C"/>
    <w:rsid w:val="00E12CB8"/>
    <w:rsid w:val="00E1461D"/>
    <w:rsid w:val="00E21CE0"/>
    <w:rsid w:val="00E24423"/>
    <w:rsid w:val="00E2614B"/>
    <w:rsid w:val="00E32A0E"/>
    <w:rsid w:val="00E332EB"/>
    <w:rsid w:val="00E34B1E"/>
    <w:rsid w:val="00E36B38"/>
    <w:rsid w:val="00E37BD4"/>
    <w:rsid w:val="00E40F58"/>
    <w:rsid w:val="00E45A99"/>
    <w:rsid w:val="00E45E80"/>
    <w:rsid w:val="00E51FB2"/>
    <w:rsid w:val="00E53902"/>
    <w:rsid w:val="00E560DB"/>
    <w:rsid w:val="00E5640F"/>
    <w:rsid w:val="00E627CB"/>
    <w:rsid w:val="00E630CE"/>
    <w:rsid w:val="00E63866"/>
    <w:rsid w:val="00E6692B"/>
    <w:rsid w:val="00E72B2A"/>
    <w:rsid w:val="00E907B1"/>
    <w:rsid w:val="00E9640D"/>
    <w:rsid w:val="00E96C66"/>
    <w:rsid w:val="00E96C7A"/>
    <w:rsid w:val="00E97A5A"/>
    <w:rsid w:val="00EA129E"/>
    <w:rsid w:val="00EA272D"/>
    <w:rsid w:val="00EA2997"/>
    <w:rsid w:val="00EA3D8D"/>
    <w:rsid w:val="00EA7D12"/>
    <w:rsid w:val="00EB2F6E"/>
    <w:rsid w:val="00EB3E9C"/>
    <w:rsid w:val="00EC0E6B"/>
    <w:rsid w:val="00EC1B3C"/>
    <w:rsid w:val="00EC1DA0"/>
    <w:rsid w:val="00EC2BD2"/>
    <w:rsid w:val="00EC3EA2"/>
    <w:rsid w:val="00ED55AE"/>
    <w:rsid w:val="00ED7D72"/>
    <w:rsid w:val="00EE4953"/>
    <w:rsid w:val="00EE4EDD"/>
    <w:rsid w:val="00EE52F6"/>
    <w:rsid w:val="00EE6956"/>
    <w:rsid w:val="00EF1E41"/>
    <w:rsid w:val="00EF23EA"/>
    <w:rsid w:val="00EF6E80"/>
    <w:rsid w:val="00F007C2"/>
    <w:rsid w:val="00F020B7"/>
    <w:rsid w:val="00F06AC4"/>
    <w:rsid w:val="00F10C9A"/>
    <w:rsid w:val="00F16ACD"/>
    <w:rsid w:val="00F254FF"/>
    <w:rsid w:val="00F30BC1"/>
    <w:rsid w:val="00F33C46"/>
    <w:rsid w:val="00F343D0"/>
    <w:rsid w:val="00F35C97"/>
    <w:rsid w:val="00F369F4"/>
    <w:rsid w:val="00F372CF"/>
    <w:rsid w:val="00F409A8"/>
    <w:rsid w:val="00F432F8"/>
    <w:rsid w:val="00F44101"/>
    <w:rsid w:val="00F543BE"/>
    <w:rsid w:val="00F611B6"/>
    <w:rsid w:val="00F63976"/>
    <w:rsid w:val="00F6496F"/>
    <w:rsid w:val="00F77366"/>
    <w:rsid w:val="00F822A9"/>
    <w:rsid w:val="00F9213E"/>
    <w:rsid w:val="00F92C80"/>
    <w:rsid w:val="00F95546"/>
    <w:rsid w:val="00FA4A1F"/>
    <w:rsid w:val="00FA71B4"/>
    <w:rsid w:val="00FB083D"/>
    <w:rsid w:val="00FB1D8E"/>
    <w:rsid w:val="00FB31EE"/>
    <w:rsid w:val="00FC01E1"/>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F7"/>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 w:type="character" w:styleId="LineNumber">
    <w:name w:val="line number"/>
    <w:basedOn w:val="DefaultParagraphFont"/>
    <w:uiPriority w:val="99"/>
    <w:semiHidden/>
    <w:unhideWhenUsed/>
    <w:rsid w:val="001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hyperlink" Target="https://vc.bridgew.edu/jiws/vol13/iss2/3" TargetMode="External"/><Relationship Id="rId47" Type="http://schemas.openxmlformats.org/officeDocument/2006/relationships/hyperlink" Target="https://doi.org/10.1177/%2007435584211000315" TargetMode="External"/><Relationship Id="rId63" Type="http://schemas.openxmlformats.org/officeDocument/2006/relationships/hyperlink" Target="https://doi.org/10.1037/sgd0000132" TargetMode="External"/><Relationship Id="rId68" Type="http://schemas.openxmlformats.org/officeDocument/2006/relationships/hyperlink" Target="https://doi.org/10.2307/1170786" TargetMode="External"/><Relationship Id="rId84" Type="http://schemas.openxmlformats.org/officeDocument/2006/relationships/hyperlink" Target="https://doi.org/10.1126/science.1198364" TargetMode="External"/><Relationship Id="rId89" Type="http://schemas.openxmlformats.org/officeDocument/2006/relationships/image" Target="media/image14.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37/a0027180" TargetMode="External"/><Relationship Id="rId37" Type="http://schemas.openxmlformats.org/officeDocument/2006/relationships/hyperlink" Target="https://doi.org/10.1111/j.1532-7795.2010.00725.x" TargetMode="External"/><Relationship Id="rId53" Type="http://schemas.openxmlformats.org/officeDocument/2006/relationships/hyperlink" Target="https://doi.org/10.1007/s13394-020-00356-5" TargetMode="External"/><Relationship Id="rId58" Type="http://schemas.openxmlformats.org/officeDocument/2006/relationships/hyperlink" Target="https://doi.org/10.1080/19361653.2023.2264830" TargetMode="External"/><Relationship Id="rId74" Type="http://schemas.openxmlformats.org/officeDocument/2006/relationships/hyperlink" Target="https://doi.org/10.1080/19419899.2010.534490" TargetMode="External"/><Relationship Id="rId79" Type="http://schemas.openxmlformats.org/officeDocument/2006/relationships/hyperlink" Target="https://www.heri.ucla.edu/monographs/TheAmericanFreshman2019.pdf" TargetMode="External"/><Relationship Id="rId102" Type="http://schemas.openxmlformats.org/officeDocument/2006/relationships/image" Target="media/image27.png"/><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image" Target="media/image11.png"/><Relationship Id="rId27" Type="http://schemas.openxmlformats.org/officeDocument/2006/relationships/hyperlink" Target="https://doi.org/%2010.1007/s12552-015-9146-5" TargetMode="External"/><Relationship Id="rId43" Type="http://schemas.openxmlformats.org/officeDocument/2006/relationships/hyperlink" Target="https://doi.org/10.1037/sgd0000131" TargetMode="External"/><Relationship Id="rId48" Type="http://schemas.openxmlformats.org/officeDocument/2006/relationships/hyperlink" Target="https://doi.org/%2010.1007/s10826-018-1168-3" TargetMode="External"/><Relationship Id="rId64" Type="http://schemas.openxmlformats.org/officeDocument/2006/relationships/hyperlink" Target="https://doi.org/10.1177/2167696812469187" TargetMode="External"/><Relationship Id="rId69" Type="http://schemas.openxmlformats.org/officeDocument/2006/relationships/hyperlink" Target="https://doi.org/10.1080/13613324.2021.1890561" TargetMode="External"/><Relationship Id="rId80" Type="http://schemas.openxmlformats.org/officeDocument/2006/relationships/hyperlink" Target="https://doi.org/10.1177/016146811812000407" TargetMode="External"/><Relationship Id="rId85" Type="http://schemas.openxmlformats.org/officeDocument/2006/relationships/hyperlink" Target="https://doi.org/10.1111/jora.12488"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j.1540-6237.2008.00587.x" TargetMode="External"/><Relationship Id="rId38" Type="http://schemas.openxmlformats.org/officeDocument/2006/relationships/hyperlink" Target="https://www.eqca.org/" TargetMode="External"/><Relationship Id="rId59" Type="http://schemas.openxmlformats.org/officeDocument/2006/relationships/hyperlink" Target="https://research.collegeboard.org/media/pdf/education-pays-2019-full-report.pdf" TargetMode="External"/><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1080/19361653.2020.1813673" TargetMode="External"/><Relationship Id="rId54" Type="http://schemas.openxmlformats.org/officeDocument/2006/relationships/hyperlink" Target="https://www.glsen.org/sites/default/files/2022-10/NSCS-2021-Full-Report.pdf" TargetMode="External"/><Relationship Id="rId62" Type="http://schemas.openxmlformats.org/officeDocument/2006/relationships/hyperlink" Target="https://doi.org/10.1002/tea.21313" TargetMode="External"/><Relationship Id="rId70" Type="http://schemas.openxmlformats.org/officeDocument/2006/relationships/hyperlink" Target="https://doi.org/10.1080/00221546.2005.11772296" TargetMode="External"/><Relationship Id="rId75" Type="http://schemas.openxmlformats.org/officeDocument/2006/relationships/hyperlink" Target="https://doi.org/10.2190/fh61-ve7v-hhcx-0pur" TargetMode="External"/><Relationship Id="rId83" Type="http://schemas.openxmlformats.org/officeDocument/2006/relationships/hyperlink" Target="https://doi.org/10.1177/2156759x0801100503" TargetMode="External"/><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hyperlink" Target="https://doi.org/10.1080/%2019361653.2014.840761" TargetMode="External"/><Relationship Id="rId36" Type="http://schemas.openxmlformats.org/officeDocument/2006/relationships/hyperlink" Target="https://doi.org/10.1016/j.socscimed.2011.02.045" TargetMode="External"/><Relationship Id="rId49" Type="http://schemas.openxmlformats.org/officeDocument/2006/relationships/hyperlink" Target="https://williamsinstitute.law.ucla.edu/wp-content/uploads/Survey-Measures-Trans-GenIUSS-Sep-2014.pdf" TargetMode="External"/><Relationship Id="rId57" Type="http://schemas.openxmlformats.org/officeDocument/2006/relationships/hyperlink" Target="https://doi.org/10.1615/jwomenminorscieneng.2017018836" TargetMode="External"/><Relationship Id="rId10" Type="http://schemas.microsoft.com/office/2016/09/relationships/commentsIds" Target="commentsIds.xml"/><Relationship Id="rId31" Type="http://schemas.openxmlformats.org/officeDocument/2006/relationships/hyperlink" Target="https://doi.org/10.1177/1363460713511094" TargetMode="External"/><Relationship Id="rId44" Type="http://schemas.openxmlformats.org/officeDocument/2006/relationships/hyperlink" Target="https://doi.org/10.1080/10474412.2018.1480376" TargetMode="External"/><Relationship Id="rId52" Type="http://schemas.openxmlformats.org/officeDocument/2006/relationships/hyperlink" Target="https://doi.org/10.1177/13591045211033187" TargetMode="External"/><Relationship Id="rId60" Type="http://schemas.openxmlformats.org/officeDocument/2006/relationships/hyperlink" Target="https://doi.org/10.1037/a0037990" TargetMode="External"/><Relationship Id="rId65" Type="http://schemas.openxmlformats.org/officeDocument/2006/relationships/hyperlink" Target="https://www.jstor.org/stable/90024241" TargetMode="External"/><Relationship Id="rId73" Type="http://schemas.openxmlformats.org/officeDocument/2006/relationships/hyperlink" Target="https://www.brookings.edu/wp-content/uploads/2023/02/20230123_CCF_CollegeEnrollment_FINAL2.pdf" TargetMode="External"/><Relationship Id="rId78" Type="http://schemas.openxmlformats.org/officeDocument/2006/relationships/hyperlink" Target="https://doi.org/10.1016/j.childyouth.2018.10.003" TargetMode="External"/><Relationship Id="rId81" Type="http://schemas.openxmlformats.org/officeDocument/2006/relationships/hyperlink" Target="https://doi.org/10.1111/j.1939-0025.2010.01067.x" TargetMode="External"/><Relationship Id="rId86" Type="http://schemas.openxmlformats.org/officeDocument/2006/relationships/hyperlink" Target="https://doi.org/10.1037/sgd0000266" TargetMode="External"/><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80/00131911.2020.1816907" TargetMode="External"/><Relationship Id="rId34" Type="http://schemas.openxmlformats.org/officeDocument/2006/relationships/hyperlink" Target="https://doi.org/10.1007/s10964-018-0866-x" TargetMode="External"/><Relationship Id="rId50" Type="http://schemas.openxmlformats.org/officeDocument/2006/relationships/hyperlink" Target="http://www.hamiltonproject.org/assets/legacy/files/downloads_%20and_links/Major_Decisions_Lifetime__Earnings_by_Major.pdf" TargetMode="External"/><Relationship Id="rId55" Type="http://schemas.openxmlformats.org/officeDocument/2006/relationships/hyperlink" Target="https://edpolicyinca.org/sites/default/files/R_Kurlaender_Aug19_01.pdf" TargetMode="External"/><Relationship Id="rId76" Type="http://schemas.openxmlformats.org/officeDocument/2006/relationships/hyperlink" Target="https://doi.org/10.1016/j.econedurev.2019.101933" TargetMode="External"/><Relationship Id="rId97" Type="http://schemas.openxmlformats.org/officeDocument/2006/relationships/image" Target="media/image22.png"/><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02/sem3.20075"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data.calschls.org/resources/18th_%20Biennial_State_1921.pdf" TargetMode="External"/><Relationship Id="rId24" Type="http://schemas.openxmlformats.org/officeDocument/2006/relationships/header" Target="header2.xml"/><Relationship Id="rId40" Type="http://schemas.openxmlformats.org/officeDocument/2006/relationships/hyperlink" Target="https://doi.org/10.1016/j.ssresearch.2015.03.004" TargetMode="External"/><Relationship Id="rId45" Type="http://schemas.openxmlformats.org/officeDocument/2006/relationships/hyperlink" Target="https://doi.org/10.1080/19361653.2018.1429979" TargetMode="External"/><Relationship Id="rId66" Type="http://schemas.openxmlformats.org/officeDocument/2006/relationships/hyperlink" Target="https://williamsinstitute.law.ucla.edu/wp-content/uploads/LGBTQ-College-Grad-School-May-2022.pdf" TargetMode="External"/><Relationship Id="rId87" Type="http://schemas.openxmlformats.org/officeDocument/2006/relationships/hyperlink" Target="https://doi.org/10.1177/08912432211038689" TargetMode="External"/><Relationship Id="rId61" Type="http://schemas.openxmlformats.org/officeDocument/2006/relationships/hyperlink" Target="https://doi.org/10.1080/19361653.%202020.1727815" TargetMode="External"/><Relationship Id="rId82" Type="http://schemas.openxmlformats.org/officeDocument/2006/relationships/hyperlink" Target="https://doi.org/10.1007/978-1-4614-0586-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www.campuspride.org/wp-content/uploads/CampusPride_ChangingNature%20ofGender21stCentury.pdf" TargetMode="External"/><Relationship Id="rId35" Type="http://schemas.openxmlformats.org/officeDocument/2006/relationships/hyperlink" Target="https://doi.org/10.1353/rhe.2019.0096" TargetMode="External"/><Relationship Id="rId56" Type="http://schemas.openxmlformats.org/officeDocument/2006/relationships/hyperlink" Target="https://doi.org/10.3102/%200034654315617832" TargetMode="External"/><Relationship Id="rId77" Type="http://schemas.openxmlformats.org/officeDocument/2006/relationships/hyperlink" Target="https://doi.org/10.1332/251510820x15995647280686" TargetMode="External"/><Relationship Id="rId100" Type="http://schemas.openxmlformats.org/officeDocument/2006/relationships/image" Target="media/image25.png"/><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77/003804070808100103" TargetMode="External"/><Relationship Id="rId72" Type="http://schemas.openxmlformats.org/officeDocument/2006/relationships/hyperlink" Target="https://doi.org/10.1353/eac.2011.0007" TargetMode="External"/><Relationship Id="rId93" Type="http://schemas.openxmlformats.org/officeDocument/2006/relationships/image" Target="media/image18.png"/><Relationship Id="rId98" Type="http://schemas.openxmlformats.org/officeDocument/2006/relationships/image" Target="media/image23.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hyperlink" Target="https://doi.org/10.1177/08959048231153600" TargetMode="External"/><Relationship Id="rId67" Type="http://schemas.openxmlformats.org/officeDocument/2006/relationships/hyperlink" Target="http://dx.doi.org/10.14301/llcs.v8i3.41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17785</Words>
  <Characters>106538</Characters>
  <Application>Microsoft Office Word</Application>
  <DocSecurity>0</DocSecurity>
  <Lines>3551</Lines>
  <Paragraphs>2260</Paragraphs>
  <ScaleCrop>false</ScaleCrop>
  <Company/>
  <LinksUpToDate>false</LinksUpToDate>
  <CharactersWithSpaces>122063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Sun</cp:lastModifiedBy>
  <cp:revision>2</cp:revision>
  <dcterms:created xsi:type="dcterms:W3CDTF">2026-03-17T01:37:00Z</dcterms:created>
  <dcterms:modified xsi:type="dcterms:W3CDTF">2026-03-17T01:37:00Z</dcterms:modified>
</cp:coreProperties>
</file>