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Handwritten Digit Recognition using Classical Machine Learning Models</w:t>
      </w:r>
    </w:p>
    <w:p/>
    <w:p>
      <w:r>
        <w:t>1. Introduction</w:t>
      </w:r>
    </w:p>
    <w:p>
      <w:r>
        <w:t>This project focuses on handwritten digit recognition using the MNIST dataset and classical machine learning algorithms. The objective was to build an end-to-end ML pipeline including data analysis, preprocessing, model training, evaluation, and ensemble learning without using neural networks.</w:t>
      </w:r>
    </w:p>
    <w:p/>
    <w:p>
      <w:r>
        <w:t>2. Dataset Description</w:t>
      </w:r>
    </w:p>
    <w:p>
      <w:r>
        <w:t>The MNIST dataset consists of 60,000 training samples and 10,000 testing samples. Each image is a 28x28 grayscale digit flattened into 784 pixel values along with a label from 0 to 9.</w:t>
      </w:r>
    </w:p>
    <w:p/>
    <w:p>
      <w:r>
        <w:t>3. Exploratory Data Analysis (EDA)</w:t>
      </w:r>
    </w:p>
    <w:p>
      <w:r>
        <w:t>EDA showed that the dataset has no missing or duplicate values. Class distribution was balanced. Sample images, pixel intensity histograms, and mean digit images were visualized to understand data patterns and ambiguities.</w:t>
      </w:r>
    </w:p>
    <w:p/>
    <w:p>
      <w:r>
        <w:t>4. Data Preprocessing</w:t>
      </w:r>
    </w:p>
    <w:p>
      <w:r>
        <w:t>Pixel values were normalized to the range [0,1]. PCA was applied to reduce dimensionality while retaining 95% variance, improving training speed and reducing noise.</w:t>
      </w:r>
    </w:p>
    <w:p/>
    <w:p>
      <w:r>
        <w:t>5. Algorithms Used</w:t>
      </w:r>
    </w:p>
    <w:p>
      <w:r>
        <w:t>KNN: Simple baseline model, tuned using different k values.</w:t>
      </w:r>
    </w:p>
    <w:p>
      <w:r>
        <w:t>SVM: RBF kernel SVM with GridSearchCV for tuning C and gamma.</w:t>
      </w:r>
    </w:p>
    <w:p>
      <w:r>
        <w:t>Decision Tree: Tuned using depth and split constraints to avoid overfitting.</w:t>
      </w:r>
    </w:p>
    <w:p/>
    <w:p>
      <w:r>
        <w:t>6. Model Evaluation</w:t>
      </w:r>
    </w:p>
    <w:p>
      <w:r>
        <w:t>Models were evaluated using accuracy, confusion matrix, classification report, per-class accuracy, and misclassified digit visualization.</w:t>
      </w:r>
    </w:p>
    <w:p/>
    <w:p>
      <w:r>
        <w:t>7. Ensemble Learning and Boosting</w:t>
      </w:r>
    </w:p>
    <w:p>
      <w:r>
        <w:t>Decision Trees were boosted using AdaBoost. A voting ensemble combining KNN, SVM, and Boosted Decision Tree achieved the most robust performance.</w:t>
      </w:r>
    </w:p>
    <w:p/>
    <w:p>
      <w:r>
        <w:t>8. Challenges and Solutions</w:t>
      </w:r>
    </w:p>
    <w:p>
      <w:r>
        <w:t>High dimensionality was solved using PCA, slow training via dimensionality reduction, overfitting via regularization, and instability via ensemble learning.</w:t>
      </w:r>
    </w:p>
    <w:p/>
    <w:p>
      <w:r>
        <w:t>9. Results Summary</w:t>
      </w:r>
    </w:p>
    <w:p>
      <w:r>
        <w:t>SVM achieved the best single-model accuracy, while the ensemble model achieved the best overall robustness.</w:t>
      </w:r>
    </w:p>
    <w:p/>
    <w:p>
      <w:r>
        <w:t>10. Conclusion</w:t>
      </w:r>
    </w:p>
    <w:p>
      <w:r>
        <w:t>The project demonstrates that classical ML models combined with PCA, boosting, and ensemble learning can perform strongly on image classification tasks.</w:t>
      </w:r>
    </w:p>
    <w:p/>
    <w:p>
      <w:r>
        <w:t>11. Future Work</w:t>
      </w:r>
    </w:p>
    <w:p>
      <w:r>
        <w:t>Future improvements include soft voting, stacking, and comparison with neural networks.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