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3A8A"/>
          <w:sz w:val="40"/>
        </w:rPr>
        <w:t>Non-Invasive Blood Glucose Prediction &amp; Risk Screening System</w:t>
      </w:r>
    </w:p>
    <w:p>
      <w:r>
        <w:rPr>
          <w:rFonts w:ascii="Arial" w:hAnsi="Arial"/>
          <w:color w:val="64748B"/>
          <w:sz w:val="21"/>
        </w:rPr>
        <w:t>Comprehensive Project Report: Multi-Modal AI Architecture, Clinical Benchmarks, Hardware Sensor Ablation &amp; Production Deployment</w:t>
      </w:r>
    </w:p>
    <w:p>
      <w:pPr>
        <w:pStyle w:val="Heading1"/>
      </w:pPr>
      <w:r>
        <w:t>Executive Summary: Non-Invasive Glucose Detection in Plain English</w:t>
      </w:r>
    </w:p>
    <w:p>
      <w:r>
        <w:t>The Challenge: Millions of individuals living with diabetes must perform painful, invasive fingerstick tests daily. While optical sensors that shine light through the skin are attractive, a single optical sensor alone struggles in practice because skin pigmentation, sweat, ambient temperature, and motion distort the reading.</w:t>
        <w:br/>
        <w:br/>
        <w:t>Our Solution — Multi-Modal Sensor Fusion: Our AI architecture combines 4 complementary non-invasive signals: (1) Optical Pulse Light (MAX30102 PPG), (2) Saliva pH Bio-Probe, (3) Micro-Thermal Skin Conductance, and (4) Heart Rate Variability (ECG). Together, these signals allow the system to reach 99.22% clinical safety in Clarke Error Grid Zones A+B with a mean error of 12.13 mg/dL.</w:t>
        <w:br/>
        <w:br/>
        <w:t>Two Operating Paths: When hardware sensors are connected, the system computes full blood glucose estimates (mg/dL). When hardware is not present, it provides an honest 2-band lifestyle risk screening (Lower Risk vs Elevated Risk).</w:t>
      </w:r>
    </w:p>
    <w:p>
      <w:r>
        <w:t>Figure 1: How Multi-Modal Sensing Works (Layman Infographic)</w:t>
      </w:r>
    </w:p>
    <w:p>
      <w:r>
        <w:drawing>
          <wp:inline xmlns:a="http://schemas.openxmlformats.org/drawingml/2006/main" xmlns:pic="http://schemas.openxmlformats.org/drawingml/2006/picture">
            <wp:extent cx="6217920" cy="4032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man_how_it_wo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3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End-to-End System Pipeline &amp; Dual-Inference Architecture</w:t>
      </w:r>
    </w:p>
    <w:p>
      <w:r>
        <w:drawing>
          <wp:inline xmlns:a="http://schemas.openxmlformats.org/drawingml/2006/main" xmlns:pic="http://schemas.openxmlformats.org/drawingml/2006/picture">
            <wp:extent cx="6217920" cy="3479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pipeline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9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Multi-Modal Glucose Estimation (Model A) &amp; Benchmark</w:t>
      </w:r>
    </w:p>
    <w:p>
      <w:r>
        <w:t>Model A achieves R² = 0.8557 and MAE = 12.13 mg/dL on held-out test data, outperforming literature thresholds.</w:t>
      </w:r>
    </w:p>
    <w:p>
      <w:r>
        <w:drawing>
          <wp:inline xmlns:a="http://schemas.openxmlformats.org/drawingml/2006/main" xmlns:pic="http://schemas.openxmlformats.org/drawingml/2006/picture">
            <wp:extent cx="5029200" cy="4642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rke_error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4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Hardware Sensor Ablation &amp; Transducer Contribution</w:t>
      </w:r>
    </w:p>
    <w:p>
      <w:r>
        <w:t>Ablation study demonstrating the impact of removing individual transducers:</w:t>
      </w:r>
    </w:p>
    <w:p>
      <w:r>
        <w:drawing>
          <wp:inline xmlns:a="http://schemas.openxmlformats.org/drawingml/2006/main" xmlns:pic="http://schemas.openxmlformats.org/drawingml/2006/picture">
            <wp:extent cx="6217920" cy="276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stud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6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Uncertainty Quantification &amp; Quantile Regression</w:t>
      </w:r>
    </w:p>
    <w:p>
      <w:r>
        <w:t>Quantile Regressors provide 85.16% empirical test coverage for 90% target intervals:</w:t>
      </w:r>
    </w:p>
    <w:p>
      <w:r>
        <w:drawing>
          <wp:inline xmlns:a="http://schemas.openxmlformats.org/drawingml/2006/main" xmlns:pic="http://schemas.openxmlformats.org/drawingml/2006/picture">
            <wp:extent cx="6217920" cy="3375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certainty_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Production Inference Engine &amp; Streamlit Dashboard</w:t>
      </w:r>
    </w:p>
    <w:p>
      <w:r>
        <w:t>The Phase 8 Streamlit dashboard provides interactive clinical predictions, automatic ReportLab PDF exports, and CSV audit logging. It is deployed and operational on Streamlit Cloud.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