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Arial" w:hAnsi="Arial"/>
          <w:b/>
          <w:color w:val="1E3A8A"/>
          <w:sz w:val="44"/>
        </w:rPr>
        <w:t>Non-Invasive Blood Glucose Prediction System</w:t>
      </w:r>
    </w:p>
    <w:p>
      <w:pPr>
        <w:spacing w:after="240"/>
      </w:pPr>
      <w:r>
        <w:rPr>
          <w:rFonts w:ascii="Arial" w:hAnsi="Arial"/>
          <w:color w:val="64748B"/>
          <w:sz w:val="22"/>
        </w:rPr>
        <w:t>Comprehensive Technical &amp; Clinical Machine Learning Report • Phases 1–6 Synthesis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Target Metric:</w:t>
            </w:r>
            <w:r>
              <w:rPr>
                <w:sz w:val="17"/>
              </w:rPr>
              <w:t xml:space="preserve"> Blood Glucose (mg/dL)</w:t>
            </w:r>
          </w:p>
        </w:tc>
        <w:tc>
          <w:tcPr>
            <w:tcW w:type="dxa" w:w="33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Model Architecture:</w:t>
            </w:r>
            <w:r>
              <w:rPr>
                <w:sz w:val="17"/>
              </w:rPr>
              <w:t xml:space="preserve"> Multi-Modal RF &amp; XGBoost</w:t>
            </w:r>
          </w:p>
        </w:tc>
        <w:tc>
          <w:tcPr>
            <w:tcW w:type="dxa" w:w="33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Date:</w:t>
            </w:r>
            <w:r>
              <w:rPr>
                <w:sz w:val="17"/>
              </w:rPr>
              <w:t xml:space="preserve"> September 2026</w:t>
            </w:r>
          </w:p>
        </w:tc>
      </w:tr>
      <w:tr>
        <w:tc>
          <w:tcPr>
            <w:tcW w:type="dxa" w:w="33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Validation Status:</w:t>
            </w:r>
            <w:r>
              <w:rPr>
                <w:sz w:val="17"/>
              </w:rPr>
              <w:t xml:space="preserve"> Synthetic Self-Consistency Only</w:t>
            </w:r>
          </w:p>
        </w:tc>
        <w:tc>
          <w:tcPr>
            <w:tcW w:type="dxa" w:w="33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Holdout Split:</w:t>
            </w:r>
            <w:r>
              <w:rPr>
                <w:sz w:val="17"/>
              </w:rPr>
              <w:t xml:space="preserve"> Participant-Level 80/20</w:t>
            </w:r>
          </w:p>
        </w:tc>
        <w:tc>
          <w:tcPr>
            <w:tcW w:type="dxa" w:w="33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Dataset Scale:</w:t>
            </w:r>
            <w:r>
              <w:rPr>
                <w:sz w:val="17"/>
              </w:rPr>
              <w:t xml:space="preserve"> 24,765 Unified Records</w:t>
            </w:r>
          </w:p>
        </w:tc>
      </w:tr>
    </w:tbl>
    <w:p>
      <w:pPr>
        <w:spacing w:after="160"/>
      </w:pPr>
    </w:p>
    <w:p>
      <w:pPr>
        <w:spacing w:before="240" w:after="80"/>
      </w:pPr>
      <w:r>
        <w:rPr>
          <w:rFonts w:ascii="Arial" w:hAnsi="Arial"/>
          <w:b/>
          <w:color w:val="1E3A8A"/>
          <w:sz w:val="28"/>
        </w:rPr>
        <w:t>1. Executive Summary: Production Benchmark Comparison</w:t>
      </w:r>
    </w:p>
    <w:p>
      <w:pPr>
        <w:spacing w:after="160"/>
      </w:pPr>
      <w:r>
        <w:rPr>
          <w:rFonts w:ascii="Calibri" w:hAnsi="Calibri"/>
          <w:sz w:val="20"/>
        </w:rPr>
        <w:t>This project establishes an end-to-end, leak-free machine learning architecture for continuous, non-invasive blood glucose estimation. By fusing MAX30102 PPG pulse morphology, ECG heart rate variability (HRV), saliva pH, and skin temperature, standalone regression (Model A) delivers clinical-grade accuracy on synthetic benchmarks, while tabular screening (Model B) provides pre-diagnostic risk stratification.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E3A8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Architecture / Published Benchmark</w:t>
            </w:r>
          </w:p>
        </w:tc>
        <w:tc>
          <w:tcPr>
            <w:tcW w:type="dxa" w:w="1440"/>
            <w:shd w:fill="1E3A8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R²</w:t>
            </w:r>
          </w:p>
        </w:tc>
        <w:tc>
          <w:tcPr>
            <w:tcW w:type="dxa" w:w="1440"/>
            <w:shd w:fill="1E3A8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MAE (mg/dL)</w:t>
            </w:r>
          </w:p>
        </w:tc>
        <w:tc>
          <w:tcPr>
            <w:tcW w:type="dxa" w:w="1440"/>
            <w:shd w:fill="1E3A8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RMSE (mg/dL)</w:t>
            </w:r>
          </w:p>
        </w:tc>
        <w:tc>
          <w:tcPr>
            <w:tcW w:type="dxa" w:w="1440"/>
            <w:shd w:fill="1E3A8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MARD (%)</w:t>
            </w:r>
          </w:p>
        </w:tc>
        <w:tc>
          <w:tcPr>
            <w:tcW w:type="dxa" w:w="1440"/>
            <w:shd w:fill="1E3A8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Clarke Zone A</w:t>
            </w:r>
          </w:p>
        </w:tc>
        <w:tc>
          <w:tcPr>
            <w:tcW w:type="dxa" w:w="1440"/>
            <w:shd w:fill="1E3A8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Zone A+B</w:t>
            </w:r>
          </w:p>
        </w:tc>
      </w:tr>
      <w:tr>
        <w:tc>
          <w:tcPr>
            <w:tcW w:type="dxa" w:w="14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User Target Thresholds</w:t>
            </w:r>
          </w:p>
        </w:tc>
        <w:tc>
          <w:tcPr>
            <w:tcW w:type="dxa" w:w="14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—</w:t>
            </w:r>
          </w:p>
        </w:tc>
        <w:tc>
          <w:tcPr>
            <w:tcW w:type="dxa" w:w="14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&lt; 15.0</w:t>
            </w:r>
          </w:p>
        </w:tc>
        <w:tc>
          <w:tcPr>
            <w:tcW w:type="dxa" w:w="14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&lt; 20.0</w:t>
            </w:r>
          </w:p>
        </w:tc>
        <w:tc>
          <w:tcPr>
            <w:tcW w:type="dxa" w:w="14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&lt; 10.0%</w:t>
            </w:r>
          </w:p>
        </w:tc>
        <w:tc>
          <w:tcPr>
            <w:tcW w:type="dxa" w:w="14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&gt; 85.0%</w:t>
            </w:r>
          </w:p>
        </w:tc>
        <w:tc>
          <w:tcPr>
            <w:tcW w:type="dxa" w:w="14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100.0%</w:t>
            </w:r>
          </w:p>
        </w:tc>
      </w:tr>
      <w:tr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Frontiers Digital Health 2026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0.9200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4.80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—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—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—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—</w:t>
            </w:r>
          </w:p>
        </w:tc>
      </w:tr>
      <w:tr>
        <w:tc>
          <w:tcPr>
            <w:tcW w:type="dxa" w:w="14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Measurement 2025</w:t>
            </w:r>
          </w:p>
        </w:tc>
        <w:tc>
          <w:tcPr>
            <w:tcW w:type="dxa" w:w="14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0.8649</w:t>
            </w:r>
          </w:p>
        </w:tc>
        <w:tc>
          <w:tcPr>
            <w:tcW w:type="dxa" w:w="14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—</w:t>
            </w:r>
          </w:p>
        </w:tc>
        <w:tc>
          <w:tcPr>
            <w:tcW w:type="dxa" w:w="14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—</w:t>
            </w:r>
          </w:p>
        </w:tc>
        <w:tc>
          <w:tcPr>
            <w:tcW w:type="dxa" w:w="14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5.15%</w:t>
            </w:r>
          </w:p>
        </w:tc>
        <w:tc>
          <w:tcPr>
            <w:tcW w:type="dxa" w:w="14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—</w:t>
            </w:r>
          </w:p>
        </w:tc>
        <w:tc>
          <w:tcPr>
            <w:tcW w:type="dxa" w:w="14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—</w:t>
            </w:r>
          </w:p>
        </w:tc>
      </w:tr>
      <w:tr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Algorithms 2025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—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13.17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15.36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—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94.74%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—</w:t>
            </w:r>
          </w:p>
        </w:tc>
      </w:tr>
      <w:tr>
        <w:tc>
          <w:tcPr>
            <w:tcW w:type="dxa" w:w="1440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7"/>
              </w:rPr>
              <w:t>Model A: Full-Sensor Random Forest</w:t>
            </w:r>
          </w:p>
        </w:tc>
        <w:tc>
          <w:tcPr>
            <w:tcW w:type="dxa" w:w="1440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7"/>
              </w:rPr>
              <w:t>0.8557</w:t>
            </w:r>
          </w:p>
        </w:tc>
        <w:tc>
          <w:tcPr>
            <w:tcW w:type="dxa" w:w="1440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7"/>
              </w:rPr>
              <w:t>12.13</w:t>
            </w:r>
          </w:p>
        </w:tc>
        <w:tc>
          <w:tcPr>
            <w:tcW w:type="dxa" w:w="1440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7"/>
              </w:rPr>
              <w:t>16.60</w:t>
            </w:r>
          </w:p>
        </w:tc>
        <w:tc>
          <w:tcPr>
            <w:tcW w:type="dxa" w:w="1440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7"/>
              </w:rPr>
              <w:t>8.78%</w:t>
            </w:r>
          </w:p>
        </w:tc>
        <w:tc>
          <w:tcPr>
            <w:tcW w:type="dxa" w:w="1440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7"/>
              </w:rPr>
              <w:t>93.75%</w:t>
            </w:r>
          </w:p>
        </w:tc>
        <w:tc>
          <w:tcPr>
            <w:tcW w:type="dxa" w:w="1440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7"/>
              </w:rPr>
              <w:t>99.22%</w:t>
            </w:r>
          </w:p>
        </w:tc>
      </w:tr>
      <w:tr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7"/>
              </w:rPr>
              <w:t>Model A: Full-Sensor XGBoost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7"/>
              </w:rPr>
              <w:t>0.8686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7"/>
              </w:rPr>
              <w:t>11.95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7"/>
              </w:rPr>
              <w:t>15.84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7"/>
              </w:rPr>
              <w:t>8.71%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7"/>
              </w:rPr>
              <w:t>95.31%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7"/>
              </w:rPr>
              <w:t>99.22%</w:t>
            </w:r>
          </w:p>
        </w:tc>
      </w:tr>
      <w:tr>
        <w:tc>
          <w:tcPr>
            <w:tcW w:type="dxa" w:w="1440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7"/>
              </w:rPr>
              <w:t>Model A: Stacked Ensemble (Ridge Meta)</w:t>
            </w:r>
          </w:p>
        </w:tc>
        <w:tc>
          <w:tcPr>
            <w:tcW w:type="dxa" w:w="1440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7"/>
              </w:rPr>
              <w:t>0.8621</w:t>
            </w:r>
          </w:p>
        </w:tc>
        <w:tc>
          <w:tcPr>
            <w:tcW w:type="dxa" w:w="1440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7"/>
              </w:rPr>
              <w:t>12.41</w:t>
            </w:r>
          </w:p>
        </w:tc>
        <w:tc>
          <w:tcPr>
            <w:tcW w:type="dxa" w:w="1440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7"/>
              </w:rPr>
              <w:t>16.22</w:t>
            </w:r>
          </w:p>
        </w:tc>
        <w:tc>
          <w:tcPr>
            <w:tcW w:type="dxa" w:w="1440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7"/>
              </w:rPr>
              <w:t>9.11%</w:t>
            </w:r>
          </w:p>
        </w:tc>
        <w:tc>
          <w:tcPr>
            <w:tcW w:type="dxa" w:w="1440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7"/>
              </w:rPr>
              <w:t>92.19%</w:t>
            </w:r>
          </w:p>
        </w:tc>
        <w:tc>
          <w:tcPr>
            <w:tcW w:type="dxa" w:w="1440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7"/>
              </w:rPr>
              <w:t>99.22%</w:t>
            </w:r>
          </w:p>
        </w:tc>
      </w:tr>
    </w:tbl>
    <w:p>
      <w:pPr>
        <w:spacing w:after="240"/>
      </w:pPr>
    </w:p>
    <w:p>
      <w:pPr>
        <w:spacing w:before="240" w:after="80"/>
      </w:pPr>
      <w:r>
        <w:rPr>
          <w:rFonts w:ascii="Arial" w:hAnsi="Arial"/>
          <w:b/>
          <w:color w:val="1E3A8A"/>
          <w:sz w:val="28"/>
        </w:rPr>
        <w:t>2. Clinical Diagnosis Stratification &amp; Type 1 Safety Audit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260"/>
        <w:gridCol w:w="1260"/>
        <w:gridCol w:w="1260"/>
        <w:gridCol w:w="1260"/>
        <w:gridCol w:w="1260"/>
        <w:gridCol w:w="1260"/>
        <w:gridCol w:w="1260"/>
        <w:gridCol w:w="1260"/>
      </w:tblGrid>
      <w:tr>
        <w:tc>
          <w:tcPr>
            <w:tcW w:type="dxa" w:w="1260"/>
            <w:shd w:fill="0284C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Clinical Diagnosis</w:t>
            </w:r>
          </w:p>
        </w:tc>
        <w:tc>
          <w:tcPr>
            <w:tcW w:type="dxa" w:w="1260"/>
            <w:shd w:fill="0284C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Test N</w:t>
            </w:r>
          </w:p>
        </w:tc>
        <w:tc>
          <w:tcPr>
            <w:tcW w:type="dxa" w:w="1260"/>
            <w:shd w:fill="0284C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Confidence Status</w:t>
            </w:r>
          </w:p>
        </w:tc>
        <w:tc>
          <w:tcPr>
            <w:tcW w:type="dxa" w:w="1260"/>
            <w:shd w:fill="0284C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R²</w:t>
            </w:r>
          </w:p>
        </w:tc>
        <w:tc>
          <w:tcPr>
            <w:tcW w:type="dxa" w:w="1260"/>
            <w:shd w:fill="0284C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MAE (mg/dL)</w:t>
            </w:r>
          </w:p>
        </w:tc>
        <w:tc>
          <w:tcPr>
            <w:tcW w:type="dxa" w:w="1260"/>
            <w:shd w:fill="0284C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RMSE (mg/dL)</w:t>
            </w:r>
          </w:p>
        </w:tc>
        <w:tc>
          <w:tcPr>
            <w:tcW w:type="dxa" w:w="1260"/>
            <w:shd w:fill="0284C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Clarke Zone A (%)</w:t>
            </w:r>
          </w:p>
        </w:tc>
        <w:tc>
          <w:tcPr>
            <w:tcW w:type="dxa" w:w="1260"/>
            <w:shd w:fill="0284C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Clarke Zone A+B (%)</w:t>
            </w:r>
          </w:p>
        </w:tc>
      </w:tr>
      <w:tr>
        <w:tc>
          <w:tcPr>
            <w:tcW w:type="dxa" w:w="126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7"/>
              </w:rPr>
              <w:t>None (Healthy)</w:t>
            </w:r>
          </w:p>
        </w:tc>
        <w:tc>
          <w:tcPr>
            <w:tcW w:type="dxa" w:w="126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35</w:t>
            </w:r>
          </w:p>
        </w:tc>
        <w:tc>
          <w:tcPr>
            <w:tcW w:type="dxa" w:w="126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High Confidence (N ≥ 15)</w:t>
            </w:r>
          </w:p>
        </w:tc>
        <w:tc>
          <w:tcPr>
            <w:tcW w:type="dxa" w:w="126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0.6123</w:t>
            </w:r>
          </w:p>
        </w:tc>
        <w:tc>
          <w:tcPr>
            <w:tcW w:type="dxa" w:w="126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7"/>
              </w:rPr>
              <w:t>7.99</w:t>
            </w:r>
          </w:p>
        </w:tc>
        <w:tc>
          <w:tcPr>
            <w:tcW w:type="dxa" w:w="126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10.01</w:t>
            </w:r>
          </w:p>
        </w:tc>
        <w:tc>
          <w:tcPr>
            <w:tcW w:type="dxa" w:w="126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100.0%</w:t>
            </w:r>
          </w:p>
        </w:tc>
        <w:tc>
          <w:tcPr>
            <w:tcW w:type="dxa" w:w="126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100.0%</w:t>
            </w:r>
          </w:p>
        </w:tc>
      </w:tr>
      <w:tr>
        <w:tc>
          <w:tcPr>
            <w:tcW w:type="dxa" w:w="126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7"/>
              </w:rPr>
              <w:t>Prediabetes</w:t>
            </w:r>
          </w:p>
        </w:tc>
        <w:tc>
          <w:tcPr>
            <w:tcW w:type="dxa" w:w="126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27</w:t>
            </w:r>
          </w:p>
        </w:tc>
        <w:tc>
          <w:tcPr>
            <w:tcW w:type="dxa" w:w="126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High Confidence (N ≥ 15)</w:t>
            </w:r>
          </w:p>
        </w:tc>
        <w:tc>
          <w:tcPr>
            <w:tcW w:type="dxa" w:w="126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0.8436</w:t>
            </w:r>
          </w:p>
        </w:tc>
        <w:tc>
          <w:tcPr>
            <w:tcW w:type="dxa" w:w="126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7"/>
              </w:rPr>
              <w:t>7.39</w:t>
            </w:r>
          </w:p>
        </w:tc>
        <w:tc>
          <w:tcPr>
            <w:tcW w:type="dxa" w:w="126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9.16</w:t>
            </w:r>
          </w:p>
        </w:tc>
        <w:tc>
          <w:tcPr>
            <w:tcW w:type="dxa" w:w="126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100.0%</w:t>
            </w:r>
          </w:p>
        </w:tc>
        <w:tc>
          <w:tcPr>
            <w:tcW w:type="dxa" w:w="126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100.0%</w:t>
            </w:r>
          </w:p>
        </w:tc>
      </w:tr>
      <w:tr>
        <w:tc>
          <w:tcPr>
            <w:tcW w:type="dxa" w:w="126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7"/>
              </w:rPr>
              <w:t>Type 1 Diabetes</w:t>
            </w:r>
          </w:p>
        </w:tc>
        <w:tc>
          <w:tcPr>
            <w:tcW w:type="dxa" w:w="126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24</w:t>
            </w:r>
          </w:p>
        </w:tc>
        <w:tc>
          <w:tcPr>
            <w:tcW w:type="dxa" w:w="126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High Confidence (N ≥ 15)</w:t>
            </w:r>
          </w:p>
        </w:tc>
        <w:tc>
          <w:tcPr>
            <w:tcW w:type="dxa" w:w="126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0.7391</w:t>
            </w:r>
          </w:p>
        </w:tc>
        <w:tc>
          <w:tcPr>
            <w:tcW w:type="dxa" w:w="126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7"/>
              </w:rPr>
              <w:t>20.87</w:t>
            </w:r>
          </w:p>
        </w:tc>
        <w:tc>
          <w:tcPr>
            <w:tcW w:type="dxa" w:w="126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26.71</w:t>
            </w:r>
          </w:p>
        </w:tc>
        <w:tc>
          <w:tcPr>
            <w:tcW w:type="dxa" w:w="126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79.17%</w:t>
            </w:r>
          </w:p>
        </w:tc>
        <w:tc>
          <w:tcPr>
            <w:tcW w:type="dxa" w:w="126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95.83%</w:t>
            </w:r>
          </w:p>
        </w:tc>
      </w:tr>
      <w:tr>
        <w:tc>
          <w:tcPr>
            <w:tcW w:type="dxa" w:w="126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7"/>
              </w:rPr>
              <w:t>Type 2 Diabetes</w:t>
            </w:r>
          </w:p>
        </w:tc>
        <w:tc>
          <w:tcPr>
            <w:tcW w:type="dxa" w:w="126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42</w:t>
            </w:r>
          </w:p>
        </w:tc>
        <w:tc>
          <w:tcPr>
            <w:tcW w:type="dxa" w:w="126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High Confidence (N ≥ 15)</w:t>
            </w:r>
          </w:p>
        </w:tc>
        <w:tc>
          <w:tcPr>
            <w:tcW w:type="dxa" w:w="126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0.7934</w:t>
            </w:r>
          </w:p>
        </w:tc>
        <w:tc>
          <w:tcPr>
            <w:tcW w:type="dxa" w:w="126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7"/>
              </w:rPr>
              <w:t>13.64</w:t>
            </w:r>
          </w:p>
        </w:tc>
        <w:tc>
          <w:tcPr>
            <w:tcW w:type="dxa" w:w="126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17.16</w:t>
            </w:r>
          </w:p>
        </w:tc>
        <w:tc>
          <w:tcPr>
            <w:tcW w:type="dxa" w:w="126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92.86%</w:t>
            </w:r>
          </w:p>
        </w:tc>
        <w:tc>
          <w:tcPr>
            <w:tcW w:type="dxa" w:w="126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100.0%</w:t>
            </w:r>
          </w:p>
        </w:tc>
      </w:tr>
    </w:tbl>
    <w:p>
      <w:pPr>
        <w:spacing w:before="120" w:after="200"/>
      </w:pPr>
      <w:r>
        <w:rPr>
          <w:rFonts w:ascii="Calibri" w:hAnsi="Calibri"/>
          <w:i/>
          <w:color w:val="B91C1C"/>
          <w:sz w:val="18"/>
        </w:rPr>
        <w:t>CRITICAL CLINICAL SAFETY AUDIT (Type 1 Clarke Zone D Outlier):</w:t>
        <w:br/>
        <w:t>Audit of the single Type 1 test sample outside Zones A/B (SYNTH_093_R04): Reference BGL = 58.0 mg/dL (hypoglycemia), Estimated BGL = 101.2 mg/dL (normoglycemia) → Clarke Zone D (Failure to detect hypoglycemia). In clinical practice, this failure mode delays rescue carbohydrate ingestion. Asymmetric loss penalizing hypoglycemia under-estimation is required before human clinical trials.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46423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rke_error_gri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642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60" w:after="80"/>
      </w:pPr>
      <w:r>
        <w:rPr>
          <w:rFonts w:ascii="Arial" w:hAnsi="Arial"/>
          <w:b/>
          <w:color w:val="1E3A8A"/>
          <w:sz w:val="28"/>
        </w:rPr>
        <w:t>3. Hardware BOM Sensor Ablation &amp; PPG Redundancy Investigation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260"/>
        <w:gridCol w:w="1260"/>
        <w:gridCol w:w="1260"/>
        <w:gridCol w:w="1260"/>
        <w:gridCol w:w="1260"/>
        <w:gridCol w:w="1260"/>
        <w:gridCol w:w="1260"/>
        <w:gridCol w:w="1260"/>
      </w:tblGrid>
      <w:tr>
        <w:tc>
          <w:tcPr>
            <w:tcW w:type="dxa" w:w="1260"/>
            <w:shd w:fill="1E3A8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Sensor Modality Removed</w:t>
            </w:r>
          </w:p>
        </w:tc>
        <w:tc>
          <w:tcPr>
            <w:tcW w:type="dxa" w:w="1260"/>
            <w:shd w:fill="1E3A8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Features Left</w:t>
            </w:r>
          </w:p>
        </w:tc>
        <w:tc>
          <w:tcPr>
            <w:tcW w:type="dxa" w:w="1260"/>
            <w:shd w:fill="1E3A8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Test R²</w:t>
            </w:r>
          </w:p>
        </w:tc>
        <w:tc>
          <w:tcPr>
            <w:tcW w:type="dxa" w:w="1260"/>
            <w:shd w:fill="1E3A8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Δ R²</w:t>
            </w:r>
          </w:p>
        </w:tc>
        <w:tc>
          <w:tcPr>
            <w:tcW w:type="dxa" w:w="1260"/>
            <w:shd w:fill="1E3A8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Test MAE (mg/dL)</w:t>
            </w:r>
          </w:p>
        </w:tc>
        <w:tc>
          <w:tcPr>
            <w:tcW w:type="dxa" w:w="1260"/>
            <w:shd w:fill="1E3A8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Δ MAE</w:t>
            </w:r>
          </w:p>
        </w:tc>
        <w:tc>
          <w:tcPr>
            <w:tcW w:type="dxa" w:w="1260"/>
            <w:shd w:fill="1E3A8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Clarke Zone A</w:t>
            </w:r>
          </w:p>
        </w:tc>
        <w:tc>
          <w:tcPr>
            <w:tcW w:type="dxa" w:w="1260"/>
            <w:shd w:fill="1E3A8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Clarke Zone A+B</w:t>
            </w:r>
          </w:p>
        </w:tc>
      </w:tr>
      <w:tr>
        <w:tc>
          <w:tcPr>
            <w:tcW w:type="dxa" w:w="126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7"/>
              </w:rPr>
              <w:t>Full Sensor Baseline</w:t>
            </w:r>
          </w:p>
        </w:tc>
        <w:tc>
          <w:tcPr>
            <w:tcW w:type="dxa" w:w="126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50</w:t>
            </w:r>
          </w:p>
        </w:tc>
        <w:tc>
          <w:tcPr>
            <w:tcW w:type="dxa" w:w="126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7"/>
              </w:rPr>
              <w:t>0.8536</w:t>
            </w:r>
          </w:p>
        </w:tc>
        <w:tc>
          <w:tcPr>
            <w:tcW w:type="dxa" w:w="126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—</w:t>
            </w:r>
          </w:p>
        </w:tc>
        <w:tc>
          <w:tcPr>
            <w:tcW w:type="dxa" w:w="126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7"/>
              </w:rPr>
              <w:t>12.24</w:t>
            </w:r>
          </w:p>
        </w:tc>
        <w:tc>
          <w:tcPr>
            <w:tcW w:type="dxa" w:w="126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—</w:t>
            </w:r>
          </w:p>
        </w:tc>
        <w:tc>
          <w:tcPr>
            <w:tcW w:type="dxa" w:w="126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96.09%</w:t>
            </w:r>
          </w:p>
        </w:tc>
        <w:tc>
          <w:tcPr>
            <w:tcW w:type="dxa" w:w="126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99.22%</w:t>
            </w:r>
          </w:p>
        </w:tc>
      </w:tr>
      <w:tr>
        <w:tc>
          <w:tcPr>
            <w:tcW w:type="dxa" w:w="126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7"/>
              </w:rPr>
              <w:t>No PPG Morphology</w:t>
            </w:r>
          </w:p>
        </w:tc>
        <w:tc>
          <w:tcPr>
            <w:tcW w:type="dxa" w:w="126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29</w:t>
            </w:r>
          </w:p>
        </w:tc>
        <w:tc>
          <w:tcPr>
            <w:tcW w:type="dxa" w:w="126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7"/>
              </w:rPr>
              <w:t>0.8763</w:t>
            </w:r>
          </w:p>
        </w:tc>
        <w:tc>
          <w:tcPr>
            <w:tcW w:type="dxa" w:w="126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+0.0206</w:t>
            </w:r>
          </w:p>
        </w:tc>
        <w:tc>
          <w:tcPr>
            <w:tcW w:type="dxa" w:w="126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7"/>
              </w:rPr>
              <w:t>11.73</w:t>
            </w:r>
          </w:p>
        </w:tc>
        <w:tc>
          <w:tcPr>
            <w:tcW w:type="dxa" w:w="126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-0.40</w:t>
            </w:r>
          </w:p>
        </w:tc>
        <w:tc>
          <w:tcPr>
            <w:tcW w:type="dxa" w:w="126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93.75%</w:t>
            </w:r>
          </w:p>
        </w:tc>
        <w:tc>
          <w:tcPr>
            <w:tcW w:type="dxa" w:w="126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99.22%</w:t>
            </w:r>
          </w:p>
        </w:tc>
      </w:tr>
      <w:tr>
        <w:tc>
          <w:tcPr>
            <w:tcW w:type="dxa" w:w="126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7"/>
              </w:rPr>
              <w:t>No ECG-HRV Dynamics</w:t>
            </w:r>
          </w:p>
        </w:tc>
        <w:tc>
          <w:tcPr>
            <w:tcW w:type="dxa" w:w="126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44</w:t>
            </w:r>
          </w:p>
        </w:tc>
        <w:tc>
          <w:tcPr>
            <w:tcW w:type="dxa" w:w="126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7"/>
              </w:rPr>
              <w:t>0.8375</w:t>
            </w:r>
          </w:p>
        </w:tc>
        <w:tc>
          <w:tcPr>
            <w:tcW w:type="dxa" w:w="126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-0.0182</w:t>
            </w:r>
          </w:p>
        </w:tc>
        <w:tc>
          <w:tcPr>
            <w:tcW w:type="dxa" w:w="126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7"/>
              </w:rPr>
              <w:t>12.62</w:t>
            </w:r>
          </w:p>
        </w:tc>
        <w:tc>
          <w:tcPr>
            <w:tcW w:type="dxa" w:w="126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+0.49</w:t>
            </w:r>
          </w:p>
        </w:tc>
        <w:tc>
          <w:tcPr>
            <w:tcW w:type="dxa" w:w="126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94.53%</w:t>
            </w:r>
          </w:p>
        </w:tc>
        <w:tc>
          <w:tcPr>
            <w:tcW w:type="dxa" w:w="126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99.22%</w:t>
            </w:r>
          </w:p>
        </w:tc>
      </w:tr>
      <w:tr>
        <w:tc>
          <w:tcPr>
            <w:tcW w:type="dxa" w:w="126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7"/>
              </w:rPr>
              <w:t>No Saliva pH Sensor</w:t>
            </w:r>
          </w:p>
        </w:tc>
        <w:tc>
          <w:tcPr>
            <w:tcW w:type="dxa" w:w="126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48</w:t>
            </w:r>
          </w:p>
        </w:tc>
        <w:tc>
          <w:tcPr>
            <w:tcW w:type="dxa" w:w="126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7"/>
              </w:rPr>
              <w:t>0.8476</w:t>
            </w:r>
          </w:p>
        </w:tc>
        <w:tc>
          <w:tcPr>
            <w:tcW w:type="dxa" w:w="126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-0.0081</w:t>
            </w:r>
          </w:p>
        </w:tc>
        <w:tc>
          <w:tcPr>
            <w:tcW w:type="dxa" w:w="126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7"/>
              </w:rPr>
              <w:t>12.33</w:t>
            </w:r>
          </w:p>
        </w:tc>
        <w:tc>
          <w:tcPr>
            <w:tcW w:type="dxa" w:w="126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+0.20</w:t>
            </w:r>
          </w:p>
        </w:tc>
        <w:tc>
          <w:tcPr>
            <w:tcW w:type="dxa" w:w="126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94.53%</w:t>
            </w:r>
          </w:p>
        </w:tc>
        <w:tc>
          <w:tcPr>
            <w:tcW w:type="dxa" w:w="126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99.22%</w:t>
            </w:r>
          </w:p>
        </w:tc>
      </w:tr>
      <w:tr>
        <w:tc>
          <w:tcPr>
            <w:tcW w:type="dxa" w:w="126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7"/>
              </w:rPr>
              <w:t>No Skin Temperature</w:t>
            </w:r>
          </w:p>
        </w:tc>
        <w:tc>
          <w:tcPr>
            <w:tcW w:type="dxa" w:w="126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49</w:t>
            </w:r>
          </w:p>
        </w:tc>
        <w:tc>
          <w:tcPr>
            <w:tcW w:type="dxa" w:w="126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7"/>
              </w:rPr>
              <w:t>0.8484</w:t>
            </w:r>
          </w:p>
        </w:tc>
        <w:tc>
          <w:tcPr>
            <w:tcW w:type="dxa" w:w="126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-0.0073</w:t>
            </w:r>
          </w:p>
        </w:tc>
        <w:tc>
          <w:tcPr>
            <w:tcW w:type="dxa" w:w="126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7"/>
              </w:rPr>
              <w:t>12.27</w:t>
            </w:r>
          </w:p>
        </w:tc>
        <w:tc>
          <w:tcPr>
            <w:tcW w:type="dxa" w:w="126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+0.14</w:t>
            </w:r>
          </w:p>
        </w:tc>
        <w:tc>
          <w:tcPr>
            <w:tcW w:type="dxa" w:w="126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94.53%</w:t>
            </w:r>
          </w:p>
        </w:tc>
        <w:tc>
          <w:tcPr>
            <w:tcW w:type="dxa" w:w="126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99.22%</w:t>
            </w:r>
          </w:p>
        </w:tc>
      </w:tr>
      <w:tr>
        <w:tc>
          <w:tcPr>
            <w:tcW w:type="dxa" w:w="126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7"/>
              </w:rPr>
              <w:t>PPG-Only Isolated Baseline</w:t>
            </w:r>
          </w:p>
        </w:tc>
        <w:tc>
          <w:tcPr>
            <w:tcW w:type="dxa" w:w="126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21</w:t>
            </w:r>
          </w:p>
        </w:tc>
        <w:tc>
          <w:tcPr>
            <w:tcW w:type="dxa" w:w="126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7"/>
              </w:rPr>
              <w:t>0.2348</w:t>
            </w:r>
          </w:p>
        </w:tc>
        <w:tc>
          <w:tcPr>
            <w:tcW w:type="dxa" w:w="126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-0.6209</w:t>
            </w:r>
          </w:p>
        </w:tc>
        <w:tc>
          <w:tcPr>
            <w:tcW w:type="dxa" w:w="126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7"/>
              </w:rPr>
              <w:t>29.58</w:t>
            </w:r>
          </w:p>
        </w:tc>
        <w:tc>
          <w:tcPr>
            <w:tcW w:type="dxa" w:w="126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+17.45</w:t>
            </w:r>
          </w:p>
        </w:tc>
        <w:tc>
          <w:tcPr>
            <w:tcW w:type="dxa" w:w="126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52.34%</w:t>
            </w:r>
          </w:p>
        </w:tc>
        <w:tc>
          <w:tcPr>
            <w:tcW w:type="dxa" w:w="126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96.88%</w:t>
            </w:r>
          </w:p>
        </w:tc>
      </w:tr>
    </w:tbl>
    <w:p>
      <w:pPr>
        <w:spacing w:before="80" w:after="120"/>
      </w:pPr>
      <w:r>
        <w:rPr>
          <w:rFonts w:ascii="Calibri" w:hAnsi="Calibri"/>
          <w:i/>
          <w:sz w:val="17"/>
        </w:rPr>
        <w:t>NOTE ON PPG STANDALONE PERFORMANCE:</w:t>
        <w:br/>
        <w:t>Synthetic PPG features were deliberately designed with bounded individual correlations (r = 0.35–0.55 per feature, by design). Therefore, a PPG-only R² = 0.2348 on this synthetic set reflects that generator design choice, not an empirical physiological ceiling for real-world optical transducers. The true standalone predictive capacity of non-invasive PPG remains an open scientific question pending real paired PPG+glucose data collection.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5196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lation_study_cha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19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80"/>
      </w:pPr>
      <w:r>
        <w:rPr>
          <w:rFonts w:ascii="Arial" w:hAnsi="Arial"/>
          <w:b/>
          <w:color w:val="1E3A8A"/>
          <w:sz w:val="28"/>
        </w:rPr>
        <w:t>4. Model B Tabular Risk Screening &amp; Cross-Source Generalization Audit</w:t>
      </w:r>
    </w:p>
    <w:p>
      <w:pPr>
        <w:spacing w:after="120"/>
      </w:pPr>
      <w:r>
        <w:rPr>
          <w:rFonts w:ascii="Calibri" w:hAnsi="Calibri"/>
          <w:sz w:val="20"/>
        </w:rPr>
        <w:t>Model B operates strictly on independent demographic and metabolic risk factors (age, BMI, gender, smoking, family history) excluding all diagnosis and medication proxies. The label is cleanly defined: elevated_risk strictly for diagnosed Prediabetes, and healthy_risk for diagnosis None (completely eliminating feature-defines-label overlap via BMI / family history):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0F766E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Clinical Risk Tier</w:t>
            </w:r>
          </w:p>
        </w:tc>
        <w:tc>
          <w:tcPr>
            <w:tcW w:type="dxa" w:w="1440"/>
            <w:shd w:fill="0F766E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Test N</w:t>
            </w:r>
          </w:p>
        </w:tc>
        <w:tc>
          <w:tcPr>
            <w:tcW w:type="dxa" w:w="1440"/>
            <w:shd w:fill="0F766E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AUROC (OvR)</w:t>
            </w:r>
          </w:p>
        </w:tc>
        <w:tc>
          <w:tcPr>
            <w:tcW w:type="dxa" w:w="1440"/>
            <w:shd w:fill="0F766E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Precision</w:t>
            </w:r>
          </w:p>
        </w:tc>
        <w:tc>
          <w:tcPr>
            <w:tcW w:type="dxa" w:w="1440"/>
            <w:shd w:fill="0F766E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Recall</w:t>
            </w:r>
          </w:p>
        </w:tc>
        <w:tc>
          <w:tcPr>
            <w:tcW w:type="dxa" w:w="1440"/>
            <w:shd w:fill="0F766E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F1-Score</w:t>
            </w:r>
          </w:p>
        </w:tc>
        <w:tc>
          <w:tcPr>
            <w:tcW w:type="dxa" w:w="1440"/>
            <w:shd w:fill="0F766E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Brier Score</w:t>
            </w:r>
          </w:p>
        </w:tc>
      </w:tr>
      <w:tr>
        <w:tc>
          <w:tcPr>
            <w:tcW w:type="dxa" w:w="1440"/>
            <w:shd w:fill="F8FAFC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7"/>
              </w:rPr>
              <w:t>healthy_risk</w:t>
            </w:r>
          </w:p>
        </w:tc>
        <w:tc>
          <w:tcPr>
            <w:tcW w:type="dxa" w:w="1440"/>
            <w:shd w:fill="F8FAFC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403</w:t>
            </w:r>
          </w:p>
        </w:tc>
        <w:tc>
          <w:tcPr>
            <w:tcW w:type="dxa" w:w="1440"/>
            <w:shd w:fill="F8FAFC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7"/>
              </w:rPr>
              <w:t>0.9921</w:t>
            </w:r>
          </w:p>
        </w:tc>
        <w:tc>
          <w:tcPr>
            <w:tcW w:type="dxa" w:w="1440"/>
            <w:shd w:fill="F8FAFC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0.8084</w:t>
            </w:r>
          </w:p>
        </w:tc>
        <w:tc>
          <w:tcPr>
            <w:tcW w:type="dxa" w:w="1440"/>
            <w:shd w:fill="F8FAFC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0.8164</w:t>
            </w:r>
          </w:p>
        </w:tc>
        <w:tc>
          <w:tcPr>
            <w:tcW w:type="dxa" w:w="1440"/>
            <w:shd w:fill="F8FAFC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0.8123</w:t>
            </w:r>
          </w:p>
        </w:tc>
        <w:tc>
          <w:tcPr>
            <w:tcW w:type="dxa" w:w="1440"/>
            <w:shd w:fill="F8FAFC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0.0195</w:t>
            </w:r>
          </w:p>
        </w:tc>
      </w:tr>
      <w:tr>
        <w:tc>
          <w:tcPr>
            <w:tcW w:type="dxa" w:w="1440"/>
            <w:shd w:fill="FFFFF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7"/>
              </w:rPr>
              <w:t>elevated_risk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11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7"/>
              </w:rPr>
              <w:t>0.9597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0.0297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0.2727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0.0536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0.0145</w:t>
            </w:r>
          </w:p>
        </w:tc>
      </w:tr>
      <w:tr>
        <w:tc>
          <w:tcPr>
            <w:tcW w:type="dxa" w:w="1440"/>
            <w:shd w:fill="F8FAFC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7"/>
              </w:rPr>
              <w:t>diabetic_risk</w:t>
            </w:r>
          </w:p>
        </w:tc>
        <w:tc>
          <w:tcPr>
            <w:tcW w:type="dxa" w:w="1440"/>
            <w:shd w:fill="F8FAFC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4,418</w:t>
            </w:r>
          </w:p>
        </w:tc>
        <w:tc>
          <w:tcPr>
            <w:tcW w:type="dxa" w:w="1440"/>
            <w:shd w:fill="F8FAFC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7"/>
              </w:rPr>
              <w:t>0.9959</w:t>
            </w:r>
          </w:p>
        </w:tc>
        <w:tc>
          <w:tcPr>
            <w:tcW w:type="dxa" w:w="1440"/>
            <w:shd w:fill="F8FAFC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1.0000</w:t>
            </w:r>
          </w:p>
        </w:tc>
        <w:tc>
          <w:tcPr>
            <w:tcW w:type="dxa" w:w="1440"/>
            <w:shd w:fill="F8FAFC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0.9787</w:t>
            </w:r>
          </w:p>
        </w:tc>
        <w:tc>
          <w:tcPr>
            <w:tcW w:type="dxa" w:w="1440"/>
            <w:shd w:fill="F8FAFC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0.9892</w:t>
            </w:r>
          </w:p>
        </w:tc>
        <w:tc>
          <w:tcPr>
            <w:tcW w:type="dxa" w:w="1440"/>
            <w:shd w:fill="F8FAFC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0.0179</w:t>
            </w:r>
          </w:p>
        </w:tc>
      </w:tr>
    </w:tbl>
    <w:p>
      <w:pPr>
        <w:spacing w:before="120" w:after="160"/>
      </w:pPr>
      <w:r>
        <w:rPr>
          <w:rFonts w:ascii="Calibri" w:hAnsi="Calibri"/>
          <w:color w:val="1E3A8A"/>
          <w:sz w:val="18"/>
        </w:rPr>
        <w:t>DATASET FINGERPRINT &amp; CROSS-SOURCE GENERALIZATION AUDIT:</w:t>
        <w:br/>
        <w:t>• Pooled vs. Real Single-Source Gap: While the pooled dataset yields Macro AUROC = 0.9825, evaluating on real CDC NHANES outpatients alone yields Macro AUROC = 0.6935 (and 0.7201 when trained on NHANES alone).</w:t>
        <w:br/>
        <w:t>• Dataset Shortcut Discovery: Demographic features (specifically fasting and missing BMI patterns) predict dataset origin (UCI 130 inpatient vs. NHANES outpatient) with AUROC = 1.0000.</w:t>
        <w:br/>
        <w:t>• Clinical Interpretation: The genuine, unconfounded demographic screening baseline is Macro AUROC = 0.7201 (Diabetic AUROC = 0.8172, Healthy AUROC = 0.7950), consistent with established epidemiological risk scores (ADA / FINDRISC).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783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certainty_cover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78331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