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60"/>
      </w:pPr>
      <w:r>
        <w:rPr>
          <w:b/>
          <w:color w:val="1F4E78"/>
        </w:rPr>
        <w:t xml:space="preserve">Twitter/X Enrichment on Spark</w:t>
      </w:r>
    </w:p>
    <w:p>
      <w:pPr>
        <w:pStyle w:val="Subtitle"/>
        <w:spacing w:after="240"/>
      </w:pPr>
      <w:r>
        <w:rPr>
          <w:color w:val="5B6573"/>
        </w:rPr>
        <w:t xml:space="preserve">AWS handoff guide for Irwin and Chetan</w:t>
      </w:r>
    </w:p>
    <w:p>
      <w:pPr>
        <w:pStyle w:val="Heading1"/>
        <w:spacing w:after="120"/>
      </w:pPr>
      <w:r>
        <w:rPr>
          <w:b/>
          <w:color w:val="1F4E78"/>
        </w:rPr>
        <w:t xml:space="preserve">Purpose</w:t>
      </w:r>
    </w:p>
    <w:p>
      <w:pPr>
        <w:spacing w:after="120"/>
      </w:pPr>
      <w:r>
        <w:t xml:space="preserve">Run the existing Twitter/X contact-enrichment logic in AWS using Spark, while preserving the current scoring quality and the strict limit of exactly two search queries per contact.</w:t>
      </w:r>
    </w:p>
    <w:p>
      <w:pPr>
        <w:spacing w:after="120"/>
      </w:pPr>
      <w:r>
        <w:t xml:space="preserve">The first objective is a controlled 10,000-contact test. The production-scale design can follow after the test proves throughput, resumability, error handling, and output quality.</w:t>
      </w:r>
    </w:p>
    <w:p>
      <w:pPr>
        <w:pStyle w:val="Heading1"/>
        <w:spacing w:after="120"/>
      </w:pPr>
      <w:r>
        <w:rPr>
          <w:b/>
          <w:color w:val="1F4E78"/>
        </w:rPr>
        <w:t xml:space="preserve">Non-Negotiable Rules</w:t>
      </w:r>
    </w:p>
    <w:tbl>
      <w:tblPr>
        <w:tblBorders>
          <w:top w:val="single" w:sz="6" w:color="B7C4D6"/>
          <w:left w:val="single" w:sz="6" w:color="B7C4D6"/>
          <w:bottom w:val="single" w:sz="6" w:color="B7C4D6"/>
          <w:right w:val="single" w:sz="6" w:color="B7C4D6"/>
          <w:insideH w:val="single" w:sz="4" w:color="D9E2F0"/>
          <w:insideV w:val="single" w:sz="4" w:color="D9E2F0"/>
        </w:tblBorders>
      </w:tblPr>
      <w:tblGrid>
        <w:gridCol w:w="1900"/>
        <w:gridCol w:w="7400"/>
      </w:tblGrid>
      <w:tr>
        <w:tc>
          <w:tcPr>
            <w:shd w:fill="1F4E78"/>
          </w:tcPr>
          <w:p>
            <w:r>
              <w:rPr>
                <w:b/>
                <w:color w:val="FFFFFF"/>
              </w:rPr>
              <w:t xml:space="preserve">Rule</w:t>
            </w:r>
          </w:p>
        </w:tc>
        <w:tc>
          <w:tcPr>
            <w:shd w:fill="1F4E78"/>
          </w:tcPr>
          <w:p>
            <w:r>
              <w:rPr>
                <w:b/>
                <w:color w:val="FFFFFF"/>
              </w:rPr>
              <w:t xml:space="preserve">Requirement</w:t>
            </w:r>
          </w:p>
        </w:tc>
      </w:tr>
      <w:tr>
        <w:tc>
          <w:tcPr/>
          <w:p>
            <w:r>
              <w:t xml:space="preserve">Query budget</w:t>
            </w:r>
          </w:p>
        </w:tc>
        <w:tc>
          <w:tcPr/>
          <w:p>
            <w:r>
              <w:t xml:space="preserve">Exactly 2 Twitter/X search queries per contact</w:t>
            </w:r>
          </w:p>
        </w:tc>
      </w:tr>
      <w:tr>
        <w:tc>
          <w:tcPr/>
          <w:p>
            <w:r>
              <w:t xml:space="preserve">Rate limit</w:t>
            </w:r>
          </w:p>
        </w:tc>
        <w:tc>
          <w:tcPr/>
          <w:p>
            <w:r>
              <w:t xml:space="preserve">One global cluster-wide Zyte limit, targeted at 200 QPS only after Zyte/account approval</w:t>
            </w:r>
          </w:p>
        </w:tc>
      </w:tr>
      <w:tr>
        <w:tc>
          <w:tcPr/>
          <w:p>
            <w:r>
              <w:t xml:space="preserve">Quality</w:t>
            </w:r>
          </w:p>
        </w:tc>
        <w:tc>
          <w:tcPr/>
          <w:p>
            <w:r>
              <w:t xml:space="preserve">Do not change query wording, candidate scoring, confidence logic, or trusted-handle filtering for the Spark test</w:t>
            </w:r>
          </w:p>
        </w:tc>
      </w:tr>
      <w:tr>
        <w:tc>
          <w:tcPr/>
          <w:p>
            <w:r>
              <w:t xml:space="preserve">Security</w:t>
            </w:r>
          </w:p>
        </w:tc>
        <w:tc>
          <w:tcPr/>
          <w:p>
            <w:r>
              <w:t xml:space="preserve">Never place the Zyte key in source code, ZIP files, logs, or S3 input files</w:t>
            </w:r>
          </w:p>
        </w:tc>
      </w:tr>
      <w:tr>
        <w:tc>
          <w:tcPr/>
          <w:p>
            <w:r>
              <w:t xml:space="preserve">Recovery</w:t>
            </w:r>
          </w:p>
        </w:tc>
        <w:tc>
          <w:tcPr/>
          <w:p>
            <w:r>
              <w:t xml:space="preserve">Every successful response and processing checkpoint must be resumable</w:t>
            </w:r>
          </w:p>
        </w:tc>
      </w:tr>
    </w:tbl>
    <w:p>
      <w:pPr>
        <w:pStyle w:val="Heading1"/>
        <w:spacing w:after="120"/>
      </w:pPr>
      <w:r>
        <w:rPr>
          <w:b/>
          <w:color w:val="1F4E78"/>
        </w:rPr>
        <w:t xml:space="preserve">What Chetan Provides</w:t>
      </w:r>
    </w:p>
    <w:p>
      <w:pPr>
        <w:pStyle w:val="ListBullet"/>
      </w:pPr>
      <w:r>
        <w:t xml:space="preserve">Current Twitter/X scraper folder and Python scripts.</w:t>
      </w:r>
    </w:p>
    <w:p>
      <w:pPr>
        <w:pStyle w:val="ListBullet"/>
      </w:pPr>
      <w:r>
        <w:t xml:space="preserve">10,000-contact test file in CSV format, or the agreed RDS input query.</w:t>
      </w:r>
    </w:p>
    <w:p>
      <w:pPr>
        <w:pStyle w:val="ListBullet"/>
      </w:pPr>
      <w:r>
        <w:t xml:space="preserve">Existing query-generation, scoring, verification, and final-output rules.</w:t>
      </w:r>
    </w:p>
    <w:p>
      <w:pPr>
        <w:pStyle w:val="ListBullet"/>
      </w:pPr>
      <w:r>
        <w:t xml:space="preserve">Expected output fields: twitter_username_final, twitter_handle_final, twitter_profile_url_final.</w:t>
      </w:r>
    </w:p>
    <w:p>
      <w:pPr>
        <w:pStyle w:val="ListBullet"/>
      </w:pPr>
      <w:r>
        <w:t xml:space="preserve">QA fields and the local 5k/10k comparison results.</w:t>
      </w:r>
    </w:p>
    <w:p>
      <w:pPr>
        <w:pStyle w:val="ListBullet"/>
      </w:pPr>
      <w:r>
        <w:t xml:space="preserve">A secure request to store the Zyte key in AWS Secrets Manager; the key should not be emailed or embedded in the code.</w:t>
      </w:r>
    </w:p>
    <w:p>
      <w:pPr>
        <w:pStyle w:val="ListBullet"/>
      </w:pPr>
      <w:r>
        <w:t xml:space="preserve">Acceptance review of coverage, confidence, failures, runtime, and credit usage.</w:t>
      </w:r>
    </w:p>
    <w:p>
      <w:pPr>
        <w:pStyle w:val="Heading1"/>
        <w:spacing w:after="120"/>
      </w:pPr>
      <w:r>
        <w:rPr>
          <w:b/>
          <w:color w:val="1F4E78"/>
        </w:rPr>
        <w:t xml:space="preserve">What Irwin Needs to Provision</w:t>
      </w:r>
    </w:p>
    <w:tbl>
      <w:tblPr>
        <w:tblBorders>
          <w:top w:val="single" w:sz="6" w:color="B7C4D6"/>
          <w:left w:val="single" w:sz="6" w:color="B7C4D6"/>
          <w:bottom w:val="single" w:sz="6" w:color="B7C4D6"/>
          <w:right w:val="single" w:sz="6" w:color="B7C4D6"/>
          <w:insideH w:val="single" w:sz="4" w:color="D9E2F0"/>
          <w:insideV w:val="single" w:sz="4" w:color="D9E2F0"/>
        </w:tblBorders>
      </w:tblPr>
      <w:tblGrid>
        <w:gridCol w:w="2500"/>
        <w:gridCol w:w="6800"/>
      </w:tblGrid>
      <w:tr>
        <w:tc>
          <w:tcPr>
            <w:shd w:fill="1F4E78"/>
          </w:tcPr>
          <w:p>
            <w:r>
              <w:rPr>
                <w:b/>
                <w:color w:val="FFFFFF"/>
              </w:rPr>
              <w:t xml:space="preserve">AWS item</w:t>
            </w:r>
          </w:p>
        </w:tc>
        <w:tc>
          <w:tcPr>
            <w:shd w:fill="1F4E78"/>
          </w:tcPr>
          <w:p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r>
              <w:t xml:space="preserve">EMR or EMR Serverless</w:t>
            </w:r>
          </w:p>
        </w:tc>
        <w:tc>
          <w:tcPr/>
          <w:p>
            <w:r>
              <w:t xml:space="preserve">Run the Spark query-generation and scoring jobs</w:t>
            </w:r>
          </w:p>
        </w:tc>
      </w:tr>
      <w:tr>
        <w:tc>
          <w:tcPr/>
          <w:p>
            <w:r>
              <w:t xml:space="preserve">S3 bucket</w:t>
            </w:r>
          </w:p>
        </w:tc>
        <w:tc>
          <w:tcPr/>
          <w:p>
            <w:r>
              <w:t xml:space="preserve">Store input, query queue, response cache, checkpoints, reports, and final output</w:t>
            </w:r>
          </w:p>
        </w:tc>
      </w:tr>
      <w:tr>
        <w:tc>
          <w:tcPr/>
          <w:p>
            <w:r>
              <w:t xml:space="preserve">IAM role</w:t>
            </w:r>
          </w:p>
        </w:tc>
        <w:tc>
          <w:tcPr/>
          <w:p>
            <w:r>
              <w:t xml:space="preserve">Allow the job to read/write the required S3 prefixes and read the secret</w:t>
            </w:r>
          </w:p>
        </w:tc>
      </w:tr>
      <w:tr>
        <w:tc>
          <w:tcPr/>
          <w:p>
            <w:r>
              <w:t xml:space="preserve">Secrets Manager</w:t>
            </w:r>
          </w:p>
        </w:tc>
        <w:tc>
          <w:tcPr/>
          <w:p>
            <w:r>
              <w:t xml:space="preserve">Store ZYTE_API_KEY securely</w:t>
            </w:r>
          </w:p>
        </w:tc>
      </w:tr>
      <w:tr>
        <w:tc>
          <w:tcPr/>
          <w:p>
            <w:r>
              <w:t xml:space="preserve">RDS network/read access</w:t>
            </w:r>
          </w:p>
        </w:tc>
        <w:tc>
          <w:tcPr/>
          <w:p>
            <w:r>
              <w:t xml:space="preserve">Only if Spark reads contacts directly from RDS instead of S3</w:t>
            </w:r>
          </w:p>
        </w:tc>
      </w:tr>
      <w:tr>
        <w:tc>
          <w:tcPr/>
          <w:p>
            <w:r>
              <w:t xml:space="preserve">CloudWatch</w:t>
            </w:r>
          </w:p>
        </w:tc>
        <w:tc>
          <w:tcPr/>
          <w:p>
            <w:r>
              <w:t xml:space="preserve">Capture job logs, QPS, latency, retries, failures, and progress</w:t>
            </w:r>
          </w:p>
        </w:tc>
      </w:tr>
      <w:tr>
        <w:tc>
          <w:tcPr/>
          <w:p>
            <w:r>
              <w:t xml:space="preserve">Global limiter</w:t>
            </w:r>
          </w:p>
        </w:tc>
        <w:tc>
          <w:tcPr/>
          <w:p>
            <w:r>
              <w:t xml:space="preserve">Enforce one 200-QPS cap across the entire cluster, not per executor</w:t>
            </w:r>
          </w:p>
        </w:tc>
      </w:tr>
      <w:tr>
        <w:tc>
          <w:tcPr/>
          <w:p>
            <w:r>
              <w:t xml:space="preserve">Optional queue/state store</w:t>
            </w:r>
          </w:p>
        </w:tc>
        <w:tc>
          <w:tcPr/>
          <w:p>
            <w:r>
              <w:t xml:space="preserve">SQS or DynamoDB for distributed query leasing and recovery if required</w:t>
            </w:r>
          </w:p>
        </w:tc>
      </w:tr>
    </w:tbl>
    <w:p>
      <w:pPr>
        <w:pStyle w:val="Heading1"/>
        <w:spacing w:after="120"/>
      </w:pPr>
      <w:r>
        <w:rPr>
          <w:b/>
          <w:color w:val="1F4E78"/>
        </w:rPr>
        <w:t xml:space="preserve">Target AWS Workflow</w:t>
      </w:r>
    </w:p>
    <w:p>
      <w:pPr>
        <w:pStyle w:val="ListNumber"/>
      </w:pPr>
      <w:r>
        <w:t xml:space="preserve">Spark reads the 10,000 contacts from S3 or RDS.</w:t>
      </w:r>
    </w:p>
    <w:p>
      <w:pPr>
        <w:pStyle w:val="ListNumber"/>
      </w:pPr>
      <w:r>
        <w:t xml:space="preserve">Spark generates exactly two query records for each contact and assigns a stable contact/query ID.</w:t>
      </w:r>
    </w:p>
    <w:p>
      <w:pPr>
        <w:pStyle w:val="ListNumber"/>
      </w:pPr>
      <w:r>
        <w:t xml:space="preserve">Duplicate queries are removed where safe, without reducing the two-query budget for contacts that need both queries.</w:t>
      </w:r>
    </w:p>
    <w:p>
      <w:pPr>
        <w:pStyle w:val="ListNumber"/>
      </w:pPr>
      <w:r>
        <w:t xml:space="preserve">The controlled Zyte worker sends requests through one global rate limiter and writes each successful response to S3.</w:t>
      </w:r>
    </w:p>
    <w:p>
      <w:pPr>
        <w:pStyle w:val="ListNumber"/>
      </w:pPr>
      <w:r>
        <w:t xml:space="preserve">Failed or timed-out requests are recorded separately and can be retried without repeating successful requests.</w:t>
      </w:r>
    </w:p>
    <w:p>
      <w:pPr>
        <w:pStyle w:val="ListNumber"/>
      </w:pPr>
      <w:r>
        <w:t xml:space="preserve">Spark reads the cached responses, applies the existing candidate scoring and confidence rules, and writes the final CSV/Parquet output.</w:t>
      </w:r>
    </w:p>
    <w:p>
      <w:pPr>
        <w:pStyle w:val="ListNumber"/>
      </w:pPr>
      <w:r>
        <w:t xml:space="preserve">A report records contacts, queries, successes, failures, retries, dropped requests, runtime, QPS, raw handles, trusted handles, and coverage.</w:t>
      </w:r>
    </w:p>
    <w:p>
      <w:pPr>
        <w:pStyle w:val="Heading1"/>
        <w:spacing w:after="120"/>
      </w:pPr>
      <w:r>
        <w:rPr>
          <w:b/>
          <w:color w:val="1F4E78"/>
        </w:rPr>
        <w:t xml:space="preserve">First Test Configuration</w:t>
      </w:r>
    </w:p>
    <w:tbl>
      <w:tblPr>
        <w:tblBorders>
          <w:top w:val="single" w:sz="6" w:color="B7C4D6"/>
          <w:left w:val="single" w:sz="6" w:color="B7C4D6"/>
          <w:bottom w:val="single" w:sz="6" w:color="B7C4D6"/>
          <w:right w:val="single" w:sz="6" w:color="B7C4D6"/>
          <w:insideH w:val="single" w:sz="4" w:color="D9E2F0"/>
          <w:insideV w:val="single" w:sz="4" w:color="D9E2F0"/>
        </w:tblBorders>
      </w:tblPr>
      <w:tblGrid>
        <w:gridCol w:w="3000"/>
        <w:gridCol w:w="6300"/>
      </w:tblGrid>
      <w:tr>
        <w:tc>
          <w:tcPr>
            <w:shd w:fill="1F4E78"/>
          </w:tcPr>
          <w:p>
            <w:r>
              <w:rPr>
                <w:b/>
                <w:color w:val="FFFFFF"/>
              </w:rPr>
              <w:t xml:space="preserve">Parameter</w:t>
            </w:r>
          </w:p>
        </w:tc>
        <w:tc>
          <w:tcPr>
            <w:shd w:fill="1F4E78"/>
          </w:tcPr>
          <w:p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/>
          <w:p>
            <w:r>
              <w:t xml:space="preserve">Contacts</w:t>
            </w:r>
          </w:p>
        </w:tc>
        <w:tc>
          <w:tcPr/>
          <w:p>
            <w:r>
              <w:t xml:space="preserve">10,000</w:t>
            </w:r>
          </w:p>
        </w:tc>
      </w:tr>
      <w:tr>
        <w:tc>
          <w:tcPr/>
          <w:p>
            <w:r>
              <w:t xml:space="preserve">Candidate queries</w:t>
            </w:r>
          </w:p>
        </w:tc>
        <w:tc>
          <w:tcPr/>
          <w:p>
            <w:r>
              <w:t xml:space="preserve">20,000 maximum</w:t>
            </w:r>
          </w:p>
        </w:tc>
      </w:tr>
      <w:tr>
        <w:tc>
          <w:tcPr/>
          <w:p>
            <w:r>
              <w:t xml:space="preserve">Queries/contact</w:t>
            </w:r>
          </w:p>
        </w:tc>
        <w:tc>
          <w:tcPr/>
          <w:p>
            <w:r>
              <w:t xml:space="preserve">Exactly 2</w:t>
            </w:r>
          </w:p>
        </w:tc>
      </w:tr>
      <w:tr>
        <w:tc>
          <w:tcPr/>
          <w:p>
            <w:r>
              <w:t xml:space="preserve">Global Zyte rate</w:t>
            </w:r>
          </w:p>
        </w:tc>
        <w:tc>
          <w:tcPr/>
          <w:p>
            <w:r>
              <w:t xml:space="preserve">200 QPS target, subject to account approval</w:t>
            </w:r>
          </w:p>
        </w:tc>
      </w:tr>
      <w:tr>
        <w:tc>
          <w:tcPr/>
          <w:p>
            <w:r>
              <w:t xml:space="preserve">Verification</w:t>
            </w:r>
          </w:p>
        </w:tc>
        <w:tc>
          <w:tcPr/>
          <w:p>
            <w:r>
              <w:t xml:space="preserve">Off for the first throughput test; add after candidate search is stable</w:t>
            </w:r>
          </w:p>
        </w:tc>
      </w:tr>
      <w:tr>
        <w:tc>
          <w:tcPr/>
          <w:p>
            <w:r>
              <w:t xml:space="preserve">Output</w:t>
            </w:r>
          </w:p>
        </w:tc>
        <w:tc>
          <w:tcPr/>
          <w:p>
            <w:r>
              <w:t xml:space="preserve">S3 Parquet plus CSV summary/report</w:t>
            </w:r>
          </w:p>
        </w:tc>
      </w:tr>
      <w:tr>
        <w:tc>
          <w:tcPr/>
          <w:p>
            <w:r>
              <w:t xml:space="preserve">Resume</w:t>
            </w:r>
          </w:p>
        </w:tc>
        <w:tc>
          <w:tcPr/>
          <w:p>
            <w:r>
              <w:t xml:space="preserve">Enabled through S3 response cache and checkpoints</w:t>
            </w:r>
          </w:p>
        </w:tc>
      </w:tr>
    </w:tbl>
    <w:p>
      <w:pPr>
        <w:pStyle w:val="Heading1"/>
        <w:spacing w:after="120"/>
      </w:pPr>
      <w:r>
        <w:rPr>
          <w:b/>
          <w:color w:val="1F4E78"/>
        </w:rPr>
        <w:t xml:space="preserve">Acceptance Criteria</w:t>
      </w:r>
    </w:p>
    <w:p>
      <w:pPr>
        <w:pStyle w:val="ListBullet"/>
      </w:pPr>
      <w:r>
        <w:t xml:space="preserve">All 10,000 contacts are processed or explicitly marked with a final status.</w:t>
      </w:r>
    </w:p>
    <w:p>
      <w:pPr>
        <w:pStyle w:val="ListBullet"/>
      </w:pPr>
      <w:r>
        <w:t xml:space="preserve">No contact exceeds the strict two-query candidate-search rule.</w:t>
      </w:r>
    </w:p>
    <w:p>
      <w:pPr>
        <w:pStyle w:val="ListBullet"/>
      </w:pPr>
      <w:r>
        <w:t xml:space="preserve">The total request rate never exceeds the configured global cap.</w:t>
      </w:r>
    </w:p>
    <w:p>
      <w:pPr>
        <w:pStyle w:val="ListBullet"/>
      </w:pPr>
      <w:r>
        <w:t xml:space="preserve">A restart does not repeat successful cached requests.</w:t>
      </w:r>
    </w:p>
    <w:p>
      <w:pPr>
        <w:pStyle w:val="ListBullet"/>
      </w:pPr>
      <w:r>
        <w:t xml:space="preserve">The Spark output contains the required final and QA fields.</w:t>
      </w:r>
    </w:p>
    <w:p>
      <w:pPr>
        <w:pStyle w:val="ListBullet"/>
      </w:pPr>
      <w:r>
        <w:t xml:space="preserve">Coverage and confidence are comparable to the local baseline; any difference is explained before scaling.</w:t>
      </w:r>
    </w:p>
    <w:p>
      <w:pPr>
        <w:pStyle w:val="ListBullet"/>
      </w:pPr>
      <w:r>
        <w:t xml:space="preserve">Zyte request errors, credits, and runtime are reported clearly.</w:t>
      </w:r>
    </w:p>
    <w:p>
      <w:pPr>
        <w:pStyle w:val="Heading1"/>
        <w:spacing w:after="120"/>
      </w:pPr>
      <w:r>
        <w:rPr>
          <w:b/>
          <w:color w:val="1F4E78"/>
        </w:rPr>
        <w:t xml:space="preserve">Information Irwin Should Return</w:t>
      </w:r>
    </w:p>
    <w:p>
      <w:pPr>
        <w:pStyle w:val="ListBullet"/>
      </w:pPr>
      <w:r>
        <w:t xml:space="preserve">AWS account and role/permission details for submitting the test job.</w:t>
      </w:r>
    </w:p>
    <w:p>
      <w:pPr>
        <w:pStyle w:val="ListBullet"/>
      </w:pPr>
      <w:r>
        <w:t xml:space="preserve">S3 bucket name and prefixes for input, cache, checkpoints, and output.</w:t>
      </w:r>
    </w:p>
    <w:p>
      <w:pPr>
        <w:pStyle w:val="ListBullet"/>
      </w:pPr>
      <w:r>
        <w:t xml:space="preserve">EMR/EMR Serverless job submission method and cluster configuration.</w:t>
      </w:r>
    </w:p>
    <w:p>
      <w:pPr>
        <w:pStyle w:val="ListBullet"/>
      </w:pPr>
      <w:r>
        <w:t xml:space="preserve">Secrets Manager secret name for the Zyte key.</w:t>
      </w:r>
    </w:p>
    <w:p>
      <w:pPr>
        <w:pStyle w:val="ListBullet"/>
      </w:pPr>
      <w:r>
        <w:t xml:space="preserve">RDS endpoint, database/schema/table, and network requirements if RDS is used.</w:t>
      </w:r>
    </w:p>
    <w:p>
      <w:pPr>
        <w:pStyle w:val="ListBullet"/>
      </w:pPr>
      <w:r>
        <w:t xml:space="preserve">Confirmation that the Zyte account permits 200 QPS and any applicable account limits.</w:t>
      </w:r>
    </w:p>
    <w:p>
      <w:pPr>
        <w:pStyle w:val="ListBullet"/>
      </w:pPr>
      <w:r>
        <w:t xml:space="preserve">CloudWatch log group and the location of the test results.</w:t>
      </w:r>
    </w:p>
    <w:p>
      <w:pPr>
        <w:pStyle w:val="Heading1"/>
        <w:spacing w:after="120"/>
      </w:pPr>
      <w:r>
        <w:rPr>
          <w:b/>
          <w:color w:val="1F4E78"/>
        </w:rPr>
        <w:t xml:space="preserve">Simple Ownership Checklist</w:t>
      </w:r>
    </w:p>
    <w:tbl>
      <w:tblPr>
        <w:tblBorders>
          <w:top w:val="single" w:sz="6" w:color="B7C4D6"/>
          <w:left w:val="single" w:sz="6" w:color="B7C4D6"/>
          <w:bottom w:val="single" w:sz="6" w:color="B7C4D6"/>
          <w:right w:val="single" w:sz="6" w:color="B7C4D6"/>
          <w:insideH w:val="single" w:sz="4" w:color="D9E2F0"/>
          <w:insideV w:val="single" w:sz="4" w:color="D9E2F0"/>
        </w:tblBorders>
      </w:tblPr>
      <w:tblGrid>
        <w:gridCol w:w="1800"/>
        <w:gridCol w:w="7500"/>
      </w:tblGrid>
      <w:tr>
        <w:tc>
          <w:tcPr>
            <w:shd w:fill="1F4E78"/>
          </w:tcPr>
          <w:p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fill="1F4E78"/>
          </w:tcPr>
          <w:p>
            <w:r>
              <w:rPr>
                <w:b/>
                <w:color w:val="FFFFFF"/>
              </w:rPr>
              <w:t xml:space="preserve">Before the test</w:t>
            </w:r>
          </w:p>
        </w:tc>
      </w:tr>
      <w:tr>
        <w:tc>
          <w:tcPr/>
          <w:p>
            <w:r>
              <w:t xml:space="preserve">Chetan</w:t>
            </w:r>
          </w:p>
        </w:tc>
        <w:tc>
          <w:tcPr/>
          <w:p>
            <w:r>
              <w:t xml:space="preserve">Upload scripts and the 10k contact file; confirm input columns and output fields</w:t>
            </w:r>
          </w:p>
        </w:tc>
      </w:tr>
      <w:tr>
        <w:tc>
          <w:tcPr/>
          <w:p>
            <w:r>
              <w:t xml:space="preserve">Chetan</w:t>
            </w:r>
          </w:p>
        </w:tc>
        <w:tc>
          <w:tcPr/>
          <w:p>
            <w:r>
              <w:t xml:space="preserve">Provide the Zyte key securely for Secrets Manager</w:t>
            </w:r>
          </w:p>
        </w:tc>
      </w:tr>
      <w:tr>
        <w:tc>
          <w:tcPr/>
          <w:p>
            <w:r>
              <w:t xml:space="preserve">Irwin</w:t>
            </w:r>
          </w:p>
        </w:tc>
        <w:tc>
          <w:tcPr/>
          <w:p>
            <w:r>
              <w:t xml:space="preserve">Create AWS resources, IAM permissions, S3 paths, and secret</w:t>
            </w:r>
          </w:p>
        </w:tc>
      </w:tr>
      <w:tr>
        <w:tc>
          <w:tcPr/>
          <w:p>
            <w:r>
              <w:t xml:space="preserve">Irwin</w:t>
            </w:r>
          </w:p>
        </w:tc>
        <w:tc>
          <w:tcPr/>
          <w:p>
            <w:r>
              <w:t xml:space="preserve">Deploy the Spark/worker test and configure the global limiter</w:t>
            </w:r>
          </w:p>
        </w:tc>
      </w:tr>
      <w:tr>
        <w:tc>
          <w:tcPr/>
          <w:p>
            <w:r>
              <w:t xml:space="preserve">Both</w:t>
            </w:r>
          </w:p>
        </w:tc>
        <w:tc>
          <w:tcPr/>
          <w:p>
            <w:r>
              <w:t xml:space="preserve">Review runtime, QPS, failures, coverage, confidence, and credit usage</w:t>
            </w:r>
          </w:p>
        </w:tc>
      </w:tr>
    </w:tbl>
    <w:p>
      <w:pPr>
        <w:pStyle w:val="Heading1"/>
        <w:spacing w:after="120"/>
      </w:pPr>
      <w:r>
        <w:rPr>
          <w:b/>
          <w:color w:val="1F4E78"/>
        </w:rPr>
        <w:t xml:space="preserve">Decision Gate</w:t>
      </w:r>
    </w:p>
    <w:p>
      <w:pPr>
        <w:spacing w:after="120"/>
      </w:pPr>
      <w:r>
        <w:t xml:space="preserve">Do not scale to the full dataset until the 10,000-contact test passes the acceptance criteria. The Spark layer changes execution and storage; it must not change the two-query rule or the existing handle-quality logic.</w:t>
      </w:r>
    </w:p>
    <w:sectPr>
      <w:pgSz w:w="12240" w:h="15840"/>
      <w:pgMar w:top="720" w:right="900" w:bottom="720" w:left="90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numFmt w:val="bullet"/>
      <w:lvlText w:val="•"/>
      <w:pPr>
        <w:ind w:left="420" w:hanging="220"/>
      </w:pPr>
    </w:lvl>
  </w:abstractNum>
  <w:num w:numId="1">
    <w:abstractNumId w:val="0"/>
  </w:num>
  <w:abstractNum w:abstractNumId="1">
    <w:multiLevelType w:val="singleLevel"/>
    <w:lvl w:ilvl="0">
      <w:numFmt w:val="decimal"/>
      <w:lvlText w:val="%1."/>
      <w:pPr>
        <w:ind w:left="420" w:hanging="220"/>
      </w:pPr>
    </w:lvl>
  </w:abstract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fonts w:ascii="Aptos" w:hAnsi="Aptos"/>
      <w:sz w:val="21"/>
      <w:color w:val="243447"/>
    </w:rPr>
    <w:pPr>
      <w:spacing w:after="120"/>
    </w:pPr>
  </w:style>
  <w:style w:type="paragraph" w:styleId="Title">
    <w:name w:val="Title"/>
    <w:rPr>
      <w:fonts w:ascii="Aptos Display" w:hAnsi="Aptos Display"/>
      <w:sz w:val="36"/>
      <w:b/>
    </w:rPr>
  </w:style>
  <w:style w:type="paragraph" w:styleId="Subtitle">
    <w:name w:val="Subtitle"/>
    <w:rPr>
      <w:fonts w:ascii="Aptos" w:hAnsi="Aptos"/>
      <w:sz w:val="22"/>
      <w:i/>
    </w:rPr>
  </w:style>
  <w:style w:type="paragraph" w:styleId="Heading1">
    <w:name w:val="Heading 1"/>
    <w:rPr>
      <w:fonts w:ascii="Aptos Display" w:hAnsi="Aptos Display"/>
      <w:sz w:val="27"/>
      <w:b/>
    </w:rPr>
    <w:pPr>
      <w:keepNext/>
      <w:spacing w:before="260" w:after="120"/>
    </w:pPr>
  </w:style>
  <w:style w:type="paragraph" w:styleId="ListBullet">
    <w:name w:val="List Bullet"/>
    <w:basedOn w:val="Normal"/>
    <w:pPr>
      <w:numPr>
        <w:ilvl w:val="0"/>
        <w:numId w:val="1"/>
      </w:numPr>
      <w:ind w:left="420" w:hanging="220"/>
    </w:pPr>
  </w:style>
  <w:style w:type="paragraph" w:styleId="ListNumber">
    <w:name w:val="List Number"/>
    <w:basedOn w:val="Normal"/>
    <w:pPr>
      <w:numPr>
        <w:ilvl w:val="0"/>
        <w:numId w:val="2"/>
      </w:numPr>
      <w:ind w:left="420" w:hanging="2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