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B57"/>
          <w:sz w:val="68"/>
        </w:rPr>
        <w:t>FAULTLINE</w:t>
      </w:r>
    </w:p>
    <w:p>
      <w:pPr>
        <w:jc w:val="center"/>
      </w:pPr>
      <w:r>
        <w:t>MVP-FIRST, PHASE-BY-PHASE</w:t>
        <w:br/>
        <w:t>PS07-CONFORMANT, SCALABLE ENGINEERING PLAN</w:t>
      </w:r>
    </w:p>
    <w:p>
      <w:pPr>
        <w:jc w:val="center"/>
      </w:pPr>
      <w:r>
        <w:t>Cross-Repository Dependency Drift Detector</w:t>
        <w:br/>
        <w:t>Hacktopia 2026 — PS07</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DCE7EE"/>
          </w:tcPr>
          <w:p>
            <w:r>
              <w:rPr>
                <w:b/>
                <w:sz w:val="16"/>
              </w:rPr>
              <w:t>Document control</w:t>
            </w:r>
          </w:p>
        </w:tc>
        <w:tc>
          <w:tcPr>
            <w:tcW w:type="dxa" w:w="7992"/>
            <w:shd w:fill="DCE7EE"/>
          </w:tcPr>
          <w:p>
            <w:r>
              <w:rPr>
                <w:b/>
                <w:sz w:val="16"/>
              </w:rPr>
              <w:t>Value</w:t>
            </w:r>
          </w:p>
        </w:tc>
      </w:tr>
      <w:tr>
        <w:tc>
          <w:tcPr>
            <w:tcW w:type="dxa" w:w="2376"/>
            <w:vAlign w:val="center"/>
          </w:tcPr>
          <w:p>
            <w:pPr>
              <w:spacing w:after="20"/>
            </w:pPr>
            <w:r>
              <w:rPr>
                <w:sz w:val="15"/>
              </w:rPr>
              <w:t>Version</w:t>
            </w:r>
          </w:p>
        </w:tc>
        <w:tc>
          <w:tcPr>
            <w:tcW w:type="dxa" w:w="7992"/>
            <w:vAlign w:val="center"/>
          </w:tcPr>
          <w:p>
            <w:r>
              <w:t>3.1</w:t>
            </w:r>
          </w:p>
        </w:tc>
      </w:tr>
      <w:tr>
        <w:tc>
          <w:tcPr>
            <w:tcW w:type="dxa" w:w="2376"/>
            <w:vAlign w:val="center"/>
          </w:tcPr>
          <w:p>
            <w:pPr>
              <w:spacing w:after="20"/>
            </w:pPr>
            <w:r>
              <w:rPr>
                <w:sz w:val="15"/>
              </w:rPr>
              <w:t>Prepared</w:t>
            </w:r>
          </w:p>
        </w:tc>
        <w:tc>
          <w:tcPr>
            <w:tcW w:type="dxa" w:w="7992"/>
            <w:vAlign w:val="center"/>
          </w:tcPr>
          <w:p>
            <w:pPr>
              <w:spacing w:after="20"/>
            </w:pPr>
            <w:r>
              <w:rPr>
                <w:sz w:val="15"/>
              </w:rPr>
              <w:t>12 October 2026</w:t>
            </w:r>
          </w:p>
        </w:tc>
      </w:tr>
      <w:tr>
        <w:tc>
          <w:tcPr>
            <w:tcW w:type="dxa" w:w="2376"/>
            <w:vAlign w:val="center"/>
          </w:tcPr>
          <w:p>
            <w:pPr>
              <w:spacing w:after="20"/>
            </w:pPr>
            <w:r>
              <w:rPr>
                <w:sz w:val="15"/>
              </w:rPr>
              <w:t>Canonical specification</w:t>
            </w:r>
          </w:p>
        </w:tc>
        <w:tc>
          <w:tcPr>
            <w:tcW w:type="dxa" w:w="7992"/>
            <w:vAlign w:val="center"/>
          </w:tcPr>
          <w:p>
            <w:pPr>
              <w:spacing w:after="20"/>
            </w:pPr>
            <w:r>
              <w:rPr>
                <w:sz w:val="15"/>
              </w:rPr>
              <w:t>FAULTLINE_Master_Document.docx v1.0</w:t>
            </w:r>
          </w:p>
        </w:tc>
      </w:tr>
      <w:tr>
        <w:tc>
          <w:tcPr>
            <w:tcW w:type="dxa" w:w="2376"/>
            <w:vAlign w:val="center"/>
          </w:tcPr>
          <w:p>
            <w:pPr>
              <w:spacing w:after="20"/>
            </w:pPr>
            <w:r>
              <w:rPr>
                <w:sz w:val="15"/>
              </w:rPr>
              <w:t>Supersedes</w:t>
            </w:r>
          </w:p>
        </w:tc>
        <w:tc>
          <w:tcPr>
            <w:tcW w:type="dxa" w:w="7992"/>
            <w:vAlign w:val="center"/>
          </w:tcPr>
          <w:p>
            <w:pPr>
              <w:spacing w:after="20"/>
            </w:pPr>
            <w:r>
              <w:rPr>
                <w:sz w:val="15"/>
              </w:rPr>
              <w:t>v2.0 as the implementation sequencing plan; master document remains canonical for algorithms, schemas, verdict rules and scenario definitions.</w:t>
            </w:r>
          </w:p>
        </w:tc>
      </w:tr>
      <w:tr>
        <w:tc>
          <w:tcPr>
            <w:tcW w:type="dxa" w:w="2376"/>
            <w:vAlign w:val="center"/>
          </w:tcPr>
          <w:p>
            <w:pPr>
              <w:spacing w:after="20"/>
            </w:pPr>
            <w:r>
              <w:rPr>
                <w:sz w:val="15"/>
              </w:rPr>
              <w:t>Document contains</w:t>
            </w:r>
          </w:p>
        </w:tc>
        <w:tc>
          <w:tcPr>
            <w:tcW w:type="dxa" w:w="7992"/>
            <w:vAlign w:val="center"/>
          </w:tcPr>
          <w:p>
            <w:pPr>
              <w:spacing w:after="20"/>
            </w:pPr>
            <w:r>
              <w:rPr>
                <w:sz w:val="15"/>
              </w:rPr>
              <w:t>Phases, sub-phases, implementation resources, acceptance gates, architecture evolution and edge cases only.</w:t>
            </w:r>
          </w:p>
        </w:tc>
      </w:tr>
      <w:tr>
        <w:tc>
          <w:tcPr>
            <w:tcW w:type="dxa" w:w="2376"/>
            <w:vAlign w:val="center"/>
          </w:tcPr>
          <w:p>
            <w:pPr>
              <w:spacing w:after="20"/>
            </w:pPr>
            <w:r>
              <w:rPr>
                <w:sz w:val="15"/>
              </w:rPr>
              <w:t>Explicit exclusions</w:t>
            </w:r>
          </w:p>
        </w:tc>
        <w:tc>
          <w:tcPr>
            <w:tcW w:type="dxa" w:w="7992"/>
            <w:vAlign w:val="center"/>
          </w:tcPr>
          <w:p>
            <w:pPr>
              <w:spacing w:after="20"/>
            </w:pPr>
            <w:r>
              <w:rPr>
                <w:sz w:val="15"/>
              </w:rPr>
              <w:t>No people/role allocation, no day-by-day schedule, no pitching script.</w:t>
            </w:r>
          </w:p>
        </w:tc>
      </w:tr>
    </w:tbl>
    <w:p/>
    <w:p>
      <w:pPr>
        <w:jc w:val="center"/>
      </w:pPr>
      <w:r>
        <w:rPr>
          <w:b/>
          <w:color w:val="173B57"/>
          <w:sz w:val="32"/>
        </w:rPr>
        <w:t>WITNESSES, NOT WARNINGS.</w:t>
      </w:r>
    </w:p>
    <w:p>
      <w:r>
        <w:t>Core delivery rule: keep every phase demonstrable, but distinguish an early live vertical slice from the complete PS07-compliant MVP. Gate D is not complete until every canonical MUST in FAULTLINE_Master_Document.docx has passing acceptance evidence.</w:t>
      </w:r>
    </w:p>
    <w:p>
      <w:r>
        <w:br w:type="page"/>
      </w:r>
    </w:p>
    <w:p>
      <w:pPr>
        <w:pStyle w:val="Heading1"/>
      </w:pPr>
      <w:r>
        <w:t>1. Engineering strategy: ship a thin, real product early</w:t>
      </w:r>
    </w:p>
    <w:p>
      <w:r>
        <w:t>The v2.0 plan had strong correctness and security principles but placed too many advanced capabilities on one long path. This version preserves those principles and changes the sequence: make the end-to-end path work with one controlled, pinned Python producer/consumer scenario as early as possible; then harden and broaden it phase by phase.</w:t>
      </w:r>
    </w:p>
    <w:p>
      <w:r>
        <w:t>Gate C is not the full MVP. It demonstrates one narrow live finding. Gate D is the PS07-compliant MVP and must include every canonical MUST in FAULTLINE_Master_Document.docx: immutable repository inputs; Python resolution; npm manifest/lockfile inventory and importer-specific worlds; Maven POM inventory; relationship and consumer-world inventory; O-import, O-tests and minimal targeted O-bind; repeatable witness; two-sided ddmin; deterministic verdict; versioned portable evidence; and the complete MUST dashboard. Gate E separately verifies security and reliability of the actual deployment. Runtime execution for npm and full Maven verification remain expansion capabilities unless the master explicitly requires them.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DCE7EE"/>
          </w:tcPr>
          <w:p>
            <w:r>
              <w:rPr>
                <w:b/>
              </w:rPr>
              <w:t>Gate</w:t>
            </w:r>
          </w:p>
        </w:tc>
        <w:tc>
          <w:tcPr>
            <w:tcW w:type="dxa" w:w="3960"/>
            <w:shd w:fill="DCE7EE"/>
          </w:tcPr>
          <w:p>
            <w:r>
              <w:rPr>
                <w:b/>
              </w:rPr>
              <w:t>What exists at this point</w:t>
            </w:r>
          </w:p>
        </w:tc>
        <w:tc>
          <w:tcPr>
            <w:tcW w:type="dxa" w:w="2160"/>
            <w:shd w:fill="DCE7EE"/>
          </w:tcPr>
          <w:p>
            <w:r>
              <w:rPr>
                <w:b/>
              </w:rPr>
              <w:t>Can be shown?</w:t>
            </w:r>
          </w:p>
        </w:tc>
        <w:tc>
          <w:tcPr>
            <w:tcW w:type="dxa" w:w="2448"/>
            <w:shd w:fill="DCE7EE"/>
          </w:tcPr>
          <w:p>
            <w:r>
              <w:rPr>
                <w:b/>
              </w:rPr>
              <w:t>What it must not claim</w:t>
            </w:r>
          </w:p>
        </w:tc>
      </w:tr>
      <w:tr>
        <w:tc>
          <w:tcPr>
            <w:tcW w:type="dxa" w:w="1944"/>
            <w:vAlign w:val="center"/>
          </w:tcPr>
          <w:p>
            <w:r>
              <w:t>Gate A — Runnable skeleton</w:t>
            </w:r>
          </w:p>
        </w:tc>
        <w:tc>
          <w:tcPr>
            <w:tcW w:type="dxa" w:w="3960"/>
            <w:vAlign w:val="center"/>
          </w:tcPr>
          <w:p>
            <w:r>
              <w:t>Bootable API/worker/UI shell, frozen canonical contracts, migrations, capability reporting; sandbox stub is explicitly distinct from verified isolation.</w:t>
            </w:r>
          </w:p>
        </w:tc>
        <w:tc>
          <w:tcPr>
            <w:tcW w:type="dxa" w:w="2160"/>
            <w:vAlign w:val="center"/>
          </w:tcPr>
          <w:p>
            <w:r>
              <w:t>Yes: boot, health, contracts and capability states.</w:t>
            </w:r>
          </w:p>
        </w:tc>
        <w:tc>
          <w:tcPr>
            <w:tcW w:type="dxa" w:w="2448"/>
            <w:vAlign w:val="center"/>
          </w:tcPr>
          <w:p>
            <w:r>
              <w:t>No compatibility finding and no security claim based on a stub.</w:t>
            </w:r>
          </w:p>
        </w:tc>
      </w:tr>
      <w:tr>
        <w:tc>
          <w:tcPr>
            <w:tcW w:type="dxa" w:w="1944"/>
            <w:vAlign w:val="center"/>
          </w:tcPr>
          <w:p>
            <w:r>
              <w:t>Gate B — Fixture-backed proof</w:t>
            </w:r>
          </w:p>
        </w:tc>
        <w:tc>
          <w:tcPr>
            <w:tcW w:type="dxa" w:w="3960"/>
            <w:vAlign w:val="center"/>
          </w:tcPr>
          <w:p>
            <w:r>
              <w:t>Controlled fixture pair, canonical evidence-bundle schema, reference/consumer worlds, supported oracle run records, 3/3 + 3/3 witness predicate and a negative control.</w:t>
            </w:r>
          </w:p>
        </w:tc>
        <w:tc>
          <w:tcPr>
            <w:tcW w:type="dxa" w:w="2160"/>
            <w:vAlign w:val="center"/>
          </w:tcPr>
          <w:p>
            <w:r>
              <w:t>Yes: complete reproducible FIXTURE result.</w:t>
            </w:r>
          </w:p>
        </w:tc>
        <w:tc>
          <w:tcPr>
            <w:tcW w:type="dxa" w:w="2448"/>
            <w:vAlign w:val="center"/>
          </w:tcPr>
          <w:p>
            <w:r>
              <w:t>Not live repository analysis; unavailable oracles are not implied to have run.</w:t>
            </w:r>
          </w:p>
        </w:tc>
      </w:tr>
      <w:tr>
        <w:tc>
          <w:tcPr>
            <w:tcW w:type="dxa" w:w="1944"/>
            <w:vAlign w:val="center"/>
          </w:tcPr>
          <w:p>
            <w:r>
              <w:t>Gate C — First Live Vertical Slice</w:t>
            </w:r>
          </w:p>
        </w:tc>
        <w:tc>
          <w:tcPr>
            <w:tcW w:type="dxa" w:w="3960"/>
            <w:vAlign w:val="center"/>
          </w:tcPr>
          <w:p>
            <w:r>
              <w:t>One pinned public producer/consumer pair; evidence-backed relationship; reproducible reference and consumer worlds; applicable oracle witness; scoped verdict and evidence UI.</w:t>
            </w:r>
          </w:p>
        </w:tc>
        <w:tc>
          <w:tcPr>
            <w:tcW w:type="dxa" w:w="2160"/>
            <w:vAlign w:val="center"/>
          </w:tcPr>
          <w:p>
            <w:r>
              <w:t>Yes: first real LIVE finding.</w:t>
            </w:r>
          </w:p>
        </w:tc>
        <w:tc>
          <w:tcPr>
            <w:tcW w:type="dxa" w:w="2448"/>
            <w:vAlign w:val="center"/>
          </w:tcPr>
          <w:p>
            <w:r>
              <w:t>Not the full canonical MVP; MUST capabilities still outstanding are explicitly shown as unavailable.</w:t>
            </w:r>
          </w:p>
        </w:tc>
      </w:tr>
      <w:tr>
        <w:tc>
          <w:tcPr>
            <w:tcW w:type="dxa" w:w="1944"/>
            <w:vAlign w:val="center"/>
          </w:tcPr>
          <w:p>
            <w:r>
              <w:t>Gate D — PS07-compliant MVP</w:t>
            </w:r>
          </w:p>
        </w:tc>
        <w:tc>
          <w:tcPr>
            <w:tcW w:type="dxa" w:w="3960"/>
            <w:vAlign w:val="center"/>
          </w:tcPr>
          <w:p>
            <w:r>
              <w:t>Every canonical MUST from the master document passes its acceptance test: Python resolve; npm manifest/lockfile worlds and importer visibility; Maven POM inventory; L2/L3 relationship inventory; O-import, O-tests and minimal O-bind; repeatable witness; two-sided ddmin; deterministic verdict; versioned portable evidence; complete MUST dashboard and truthful modes/capabilities.</w:t>
            </w:r>
          </w:p>
        </w:tc>
        <w:tc>
          <w:tcPr>
            <w:tcW w:type="dxa" w:w="2160"/>
            <w:vAlign w:val="center"/>
          </w:tcPr>
          <w:p>
            <w:r>
              <w:t>Yes: complete required PS07 product with traceable conformance evidence.</w:t>
            </w:r>
          </w:p>
        </w:tc>
        <w:tc>
          <w:tcPr>
            <w:tcW w:type="dxa" w:w="2448"/>
            <w:vAlign w:val="center"/>
          </w:tcPr>
          <w:p>
            <w:r>
              <w:t>No claim of SHOULD/NICE completion, universal compatibility, or unverified runtime support for npm/Maven.</w:t>
            </w:r>
          </w:p>
        </w:tc>
      </w:tr>
      <w:tr>
        <w:tc>
          <w:tcPr>
            <w:tcW w:type="dxa" w:w="1944"/>
            <w:vAlign w:val="center"/>
          </w:tcPr>
          <w:p>
            <w:r>
              <w:t>Gate E — Release-hardened MVP</w:t>
            </w:r>
          </w:p>
        </w:tc>
        <w:tc>
          <w:tcPr>
            <w:tcW w:type="dxa" w:w="3960"/>
            <w:vAlign w:val="center"/>
          </w:tcPr>
          <w:p>
            <w:r>
              <w:t>Gate D plus deployment-specific security boundary verification, adversarial tests, operational reliability, regression, clean-machine replay and measured resource limits.</w:t>
            </w:r>
          </w:p>
        </w:tc>
        <w:tc>
          <w:tcPr>
            <w:tcW w:type="dxa" w:w="2160"/>
            <w:vAlign w:val="center"/>
          </w:tcPr>
          <w:p>
            <w:r>
              <w:t>Yes: MVP conformant and release-qualified for the declared deployment.</w:t>
            </w:r>
          </w:p>
        </w:tc>
        <w:tc>
          <w:tcPr>
            <w:tcW w:type="dxa" w:w="2448"/>
            <w:vAlign w:val="center"/>
          </w:tcPr>
          <w:p>
            <w:r>
              <w:t>No security guarantee beyond the tested disposable-VM/Docker configuration.</w:t>
            </w:r>
          </w:p>
        </w:tc>
      </w:tr>
      <w:tr>
        <w:tc>
          <w:tcPr>
            <w:tcW w:type="dxa" w:w="2520"/>
          </w:tcPr>
          <w:p>
            <w:r>
              <w:t>Expansion gates — independent</w:t>
            </w:r>
          </w:p>
        </w:tc>
        <w:tc>
          <w:tcPr>
            <w:tcW w:type="dxa" w:w="2520"/>
          </w:tcPr>
          <w:p>
            <w:r>
              <w:t>Each SHOULD/NICE capability is implemented behind a capability declaration and passes its own fixtures, tests and evidence gate.</w:t>
            </w:r>
          </w:p>
        </w:tc>
        <w:tc>
          <w:tcPr>
            <w:tcW w:type="dxa" w:w="2520"/>
          </w:tcPr>
          <w:p>
            <w:r>
              <w:t>Yes: only for capabilities marked enabled.</w:t>
            </w:r>
          </w:p>
        </w:tc>
        <w:tc>
          <w:tcPr>
            <w:tcW w:type="dxa" w:w="2520"/>
          </w:tcPr>
          <w:p>
            <w:r>
              <w:t>Expansion work cannot substitute for a missing MUST or silently change a verdict.</w:t>
            </w:r>
          </w:p>
        </w:tc>
      </w:tr>
    </w:tbl>
    <w:p/>
    <w:p>
      <w:pPr>
        <w:pStyle w:val="Heading1"/>
      </w:pPr>
      <w:r>
        <w:t>2. Scope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DCE7EE"/>
          </w:tcPr>
          <w:p>
            <w:r>
              <w:rPr>
                <w:b/>
              </w:rPr>
              <w:t>Priority</w:t>
            </w:r>
          </w:p>
        </w:tc>
        <w:tc>
          <w:tcPr>
            <w:tcW w:type="dxa" w:w="5904"/>
            <w:shd w:fill="DCE7EE"/>
          </w:tcPr>
          <w:p>
            <w:r>
              <w:rPr>
                <w:b/>
              </w:rPr>
              <w:t>Included scope</w:t>
            </w:r>
          </w:p>
        </w:tc>
        <w:tc>
          <w:tcPr>
            <w:tcW w:type="dxa" w:w="2520"/>
            <w:shd w:fill="DCE7EE"/>
          </w:tcPr>
          <w:p>
            <w:r>
              <w:rPr>
                <w:b/>
              </w:rPr>
              <w:t>Release rule</w:t>
            </w:r>
          </w:p>
        </w:tc>
      </w:tr>
      <w:tr>
        <w:tc>
          <w:tcPr>
            <w:tcW w:type="dxa" w:w="2088"/>
            <w:vAlign w:val="center"/>
          </w:tcPr>
          <w:p>
            <w:r>
              <w:t>MUST — PS07-compliant MVP (Gate D)</w:t>
            </w:r>
          </w:p>
        </w:tc>
        <w:tc>
          <w:tcPr>
            <w:tcW w:type="dxa" w:w="5904"/>
            <w:vAlign w:val="center"/>
          </w:tcPr>
          <w:p>
            <w:r>
              <w:t>Pinned public GitHub snapshots and full manifest/lockfile inventory; Python parsing/native resolution; npm manifest + lockfile worlds with importer-specific visibility and required inventory signals (no npm runtime execution required); Maven POM dependency inventory and supported in-repo parent/property semantics (no full Maven runtime verification); evidence-backed L2/L3 relationships; reference/consumer worlds and coverage; O-import, O-tests and minimal targeted O-bind call-site extraction; 3/3 reference-pass + 3/3 consumer-fail witness; two-sided ddmin with honest partial attribution; deterministic ordered verdict; versioned portable evidence bundles with integrity and reproducibility checks; full MUST dashboard; LIVE/FIXTURE/REPLAY and capability truthfulness.</w:t>
            </w:r>
          </w:p>
        </w:tc>
        <w:tc>
          <w:tcPr>
            <w:tcW w:type="dxa" w:w="2520"/>
            <w:vAlign w:val="center"/>
          </w:tcPr>
          <w:p>
            <w:r>
              <w:t>Every canonical MUST must have a passing automated acceptance test and linked evidence before Gate D.</w:t>
            </w:r>
          </w:p>
        </w:tc>
      </w:tr>
      <w:tr>
        <w:tc>
          <w:tcPr>
            <w:tcW w:type="dxa" w:w="2088"/>
            <w:vAlign w:val="center"/>
          </w:tcPr>
          <w:p>
            <w:r>
              <w:t>Release hardening (Gate E)</w:t>
            </w:r>
          </w:p>
        </w:tc>
        <w:tc>
          <w:tcPr>
            <w:tcW w:type="dxa" w:w="5904"/>
            <w:vAlign w:val="center"/>
          </w:tcPr>
          <w:p>
            <w:r>
              <w:t>Verified deployment execution boundary; disposable VM, actual Docker daemon, pinned images, network policy, resource limits, non-root profile, no secrets in execution zone, orphan cleanup; crash/cancellation/retry tests; security and regression suite; clean-machine bundle replay; measurable capacity limits.</w:t>
            </w:r>
          </w:p>
        </w:tc>
        <w:tc>
          <w:tcPr>
            <w:tcW w:type="dxa" w:w="2520"/>
            <w:vAlign w:val="center"/>
          </w:tcPr>
          <w:p>
            <w:r>
              <w:t>Required before declaring the build release-hardened; does not redefine MVP conformance.</w:t>
            </w:r>
          </w:p>
        </w:tc>
      </w:tr>
      <w:tr>
        <w:tc>
          <w:tcPr>
            <w:tcW w:type="dxa" w:w="2088"/>
            <w:vAlign w:val="center"/>
          </w:tcPr>
          <w:p>
            <w:r>
              <w:t>SHOULD — expansion</w:t>
            </w:r>
          </w:p>
        </w:tc>
        <w:tc>
          <w:tcPr>
            <w:tcW w:type="dxa" w:w="5904"/>
            <w:vAlign w:val="center"/>
          </w:tcPr>
          <w:p>
            <w:r>
              <w:t>Full usage index, broader API delta/exposure analysis, differential type checking, contract replay, expanded matrix and diagnostics, broader ecosystem depth, bounded what-if/remediation improvements.</w:t>
            </w:r>
          </w:p>
        </w:tc>
        <w:tc>
          <w:tcPr>
            <w:tcW w:type="dxa" w:w="2520"/>
            <w:vAlign w:val="center"/>
          </w:tcPr>
          <w:p>
            <w:r>
              <w:t>Independent expansion gates; cannot delay honest Gate C, but do not mark complete MVP until all MUSTs pass.</w:t>
            </w:r>
          </w:p>
        </w:tc>
      </w:tr>
      <w:tr>
        <w:tc>
          <w:tcPr>
            <w:tcW w:type="dxa" w:w="3360"/>
          </w:tcPr>
          <w:p>
            <w:r>
              <w:t>NICE — optional expansion</w:t>
            </w:r>
          </w:p>
        </w:tc>
        <w:tc>
          <w:tcPr>
            <w:tcW w:type="dxa" w:w="3360"/>
          </w:tcPr>
          <w:p>
            <w:r>
              <w:t>npm runtime execution and lifecycle-script support; full Maven resolution/runtime verification; extra package managers; gVisor; OSV/typosquat annotations; LLM-assisted evidence summaries outside the verdict path.</w:t>
            </w:r>
          </w:p>
        </w:tc>
        <w:tc>
          <w:tcPr>
            <w:tcW w:type="dxa" w:w="3360"/>
          </w:tcPr>
          <w:p>
            <w:r>
              <w:t>Only enable after feature-specific tests; never claim unsupported capability.</w:t>
            </w:r>
          </w:p>
        </w:tc>
      </w:tr>
    </w:tbl>
    <w:p/>
    <w:p>
      <w:r>
        <w:t>These are delivery priorities for sequencing, not a silent replacement of the master document’s canonical MUST/SHOULD/NICE classifications. Where they differ, retain the master requirement taxonomy and explicitly mark the proposed release sequencing as an implementation decision.</w:t>
      </w:r>
    </w:p>
    <w:p>
      <w:pPr>
        <w:pStyle w:val="Heading1"/>
      </w:pPr>
      <w:r>
        <w:t>3. Architecture that allows incremental growth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CE7EE"/>
          </w:tcPr>
          <w:p>
            <w:r>
              <w:rPr>
                <w:b/>
                <w:sz w:val="16"/>
              </w:rPr>
              <w:t>Boundary</w:t>
            </w:r>
          </w:p>
        </w:tc>
        <w:tc>
          <w:tcPr>
            <w:tcW w:type="dxa" w:w="3816"/>
            <w:shd w:fill="DCE7EE"/>
          </w:tcPr>
          <w:p>
            <w:r>
              <w:rPr>
                <w:b/>
                <w:sz w:val="16"/>
              </w:rPr>
              <w:t>MVP responsibility</w:t>
            </w:r>
          </w:p>
        </w:tc>
        <w:tc>
          <w:tcPr>
            <w:tcW w:type="dxa" w:w="4752"/>
            <w:shd w:fill="DCE7EE"/>
          </w:tcPr>
          <w:p>
            <w:r>
              <w:rPr>
                <w:b/>
                <w:sz w:val="16"/>
              </w:rPr>
              <w:t>Scale path without rewrite</w:t>
            </w:r>
          </w:p>
        </w:tc>
      </w:tr>
      <w:tr>
        <w:tc>
          <w:tcPr>
            <w:tcW w:type="dxa" w:w="1944"/>
            <w:vAlign w:val="center"/>
          </w:tcPr>
          <w:p>
            <w:pPr>
              <w:spacing w:after="20"/>
            </w:pPr>
            <w:r>
              <w:rPr>
                <w:sz w:val="15"/>
              </w:rPr>
              <w:t>API/control plane</w:t>
            </w:r>
          </w:p>
        </w:tc>
        <w:tc>
          <w:tcPr>
            <w:tcW w:type="dxa" w:w="3816"/>
            <w:vAlign w:val="center"/>
          </w:tcPr>
          <w:p>
            <w:pPr>
              <w:spacing w:after="20"/>
            </w:pPr>
            <w:r>
              <w:rPr>
                <w:sz w:val="15"/>
              </w:rPr>
              <w:t>FastAPI routes, Pydantic contracts, auth/config, job submission and read APIs.</w:t>
            </w:r>
          </w:p>
        </w:tc>
        <w:tc>
          <w:tcPr>
            <w:tcW w:type="dxa" w:w="4752"/>
            <w:vAlign w:val="center"/>
          </w:tcPr>
          <w:p>
            <w:pPr>
              <w:spacing w:after="20"/>
            </w:pPr>
            <w:r>
              <w:rPr>
                <w:sz w:val="15"/>
              </w:rPr>
              <w:t>Keep API stateless; add API replicas once persistence is moved to a multi-writer database.</w:t>
            </w:r>
          </w:p>
        </w:tc>
      </w:tr>
      <w:tr>
        <w:tc>
          <w:tcPr>
            <w:tcW w:type="dxa" w:w="1944"/>
            <w:vAlign w:val="center"/>
          </w:tcPr>
          <w:p>
            <w:pPr>
              <w:spacing w:after="20"/>
            </w:pPr>
            <w:r>
              <w:rPr>
                <w:sz w:val="15"/>
              </w:rPr>
              <w:t>Durable orchestration</w:t>
            </w:r>
          </w:p>
        </w:tc>
        <w:tc>
          <w:tcPr>
            <w:tcW w:type="dxa" w:w="3816"/>
            <w:vAlign w:val="center"/>
          </w:tcPr>
          <w:p>
            <w:pPr>
              <w:spacing w:after="20"/>
            </w:pPr>
            <w:r>
              <w:rPr>
                <w:sz w:val="15"/>
              </w:rPr>
              <w:t>DB-backed jobs with status, lease, heartbeat, retry and idempotency; separate worker process.</w:t>
            </w:r>
          </w:p>
        </w:tc>
        <w:tc>
          <w:tcPr>
            <w:tcW w:type="dxa" w:w="4752"/>
            <w:vAlign w:val="center"/>
          </w:tcPr>
          <w:p>
            <w:pPr>
              <w:spacing w:after="20"/>
            </w:pPr>
            <w:r>
              <w:rPr>
                <w:sz w:val="15"/>
              </w:rPr>
              <w:t>Worker concurrency scales horizontally; use PostgreSQL and a dedicated queue only when measured write/throughput needs justify it.</w:t>
            </w:r>
          </w:p>
        </w:tc>
      </w:tr>
      <w:tr>
        <w:tc>
          <w:tcPr>
            <w:tcW w:type="dxa" w:w="1944"/>
            <w:vAlign w:val="center"/>
          </w:tcPr>
          <w:p>
            <w:pPr>
              <w:spacing w:after="20"/>
            </w:pPr>
            <w:r>
              <w:rPr>
                <w:sz w:val="15"/>
              </w:rPr>
              <w:t>Ingestion/fetch</w:t>
            </w:r>
          </w:p>
        </w:tc>
        <w:tc>
          <w:tcPr>
            <w:tcW w:type="dxa" w:w="3816"/>
            <w:vAlign w:val="center"/>
          </w:tcPr>
          <w:p>
            <w:pPr>
              <w:spacing w:after="20"/>
            </w:pPr>
            <w:r>
              <w:rPr>
                <w:sz w:val="15"/>
              </w:rPr>
              <w:t>Validate URL/ref, pin SHA, fetch repository in a restricted fetch zone, create immutable inventory.</w:t>
            </w:r>
          </w:p>
        </w:tc>
        <w:tc>
          <w:tcPr>
            <w:tcW w:type="dxa" w:w="4752"/>
            <w:vAlign w:val="center"/>
          </w:tcPr>
          <w:p>
            <w:pPr>
              <w:spacing w:after="20"/>
            </w:pPr>
            <w:r>
              <w:rPr>
                <w:sz w:val="15"/>
              </w:rPr>
              <w:t>Provider clients and source types are adapters; snapshot schema remains provider-neutral.</w:t>
            </w:r>
          </w:p>
        </w:tc>
      </w:tr>
      <w:tr>
        <w:tc>
          <w:tcPr>
            <w:tcW w:type="dxa" w:w="1944"/>
            <w:vAlign w:val="center"/>
          </w:tcPr>
          <w:p>
            <w:pPr>
              <w:spacing w:after="20"/>
            </w:pPr>
            <w:r>
              <w:rPr>
                <w:sz w:val="15"/>
              </w:rPr>
              <w:t>Ecosystem adapters</w:t>
            </w:r>
          </w:p>
        </w:tc>
        <w:tc>
          <w:tcPr>
            <w:tcW w:type="dxa" w:w="3816"/>
            <w:vAlign w:val="center"/>
          </w:tcPr>
          <w:p>
            <w:pPr>
              <w:spacing w:after="20"/>
            </w:pPr>
            <w:r>
              <w:rPr>
                <w:sz w:val="15"/>
              </w:rPr>
              <w:t>Python first; common interface for parse, resolve, visibility and artifact identity.</w:t>
            </w:r>
          </w:p>
        </w:tc>
        <w:tc>
          <w:tcPr>
            <w:tcW w:type="dxa" w:w="4752"/>
            <w:vAlign w:val="center"/>
          </w:tcPr>
          <w:p>
            <w:pPr>
              <w:spacing w:after="20"/>
            </w:pPr>
            <w:r>
              <w:rPr>
                <w:sz w:val="15"/>
              </w:rPr>
              <w:t>Add npm/Maven/Rust/etc. as adapters without changing world, oracle, witness or verdict contracts.</w:t>
            </w:r>
          </w:p>
        </w:tc>
      </w:tr>
      <w:tr>
        <w:tc>
          <w:tcPr>
            <w:tcW w:type="dxa" w:w="1944"/>
            <w:vAlign w:val="center"/>
          </w:tcPr>
          <w:p>
            <w:pPr>
              <w:spacing w:after="20"/>
            </w:pPr>
            <w:r>
              <w:rPr>
                <w:sz w:val="15"/>
              </w:rPr>
              <w:t>World engine</w:t>
            </w:r>
          </w:p>
        </w:tc>
        <w:tc>
          <w:tcPr>
            <w:tcW w:type="dxa" w:w="3816"/>
            <w:vAlign w:val="center"/>
          </w:tcPr>
          <w:p>
            <w:pPr>
              <w:spacing w:after="20"/>
            </w:pPr>
            <w:r>
              <w:rPr>
                <w:sz w:val="15"/>
              </w:rPr>
              <w:t>Reference selection, projected dependency worlds, overlays, canonical hashes and cells.</w:t>
            </w:r>
          </w:p>
        </w:tc>
        <w:tc>
          <w:tcPr>
            <w:tcW w:type="dxa" w:w="4752"/>
            <w:vAlign w:val="center"/>
          </w:tcPr>
          <w:p>
            <w:pPr>
              <w:spacing w:after="20"/>
            </w:pPr>
            <w:r>
              <w:rPr>
                <w:sz w:val="15"/>
              </w:rPr>
              <w:t>Content-addressed cache and deduplication; keep ecosystem-specific visibility inside adapters.</w:t>
            </w:r>
          </w:p>
        </w:tc>
      </w:tr>
      <w:tr>
        <w:tc>
          <w:tcPr>
            <w:tcW w:type="dxa" w:w="1944"/>
            <w:vAlign w:val="center"/>
          </w:tcPr>
          <w:p>
            <w:pPr>
              <w:spacing w:after="20"/>
            </w:pPr>
            <w:r>
              <w:rPr>
                <w:sz w:val="15"/>
              </w:rPr>
              <w:t>Sandbox/oracles</w:t>
            </w:r>
          </w:p>
        </w:tc>
        <w:tc>
          <w:tcPr>
            <w:tcW w:type="dxa" w:w="3816"/>
            <w:vAlign w:val="center"/>
          </w:tcPr>
          <w:p>
            <w:pPr>
              <w:spacing w:after="20"/>
            </w:pPr>
            <w:r>
              <w:rPr>
                <w:sz w:val="15"/>
              </w:rPr>
              <w:t>SandboxClient → sandboxd → allowlisted image; typed OracleRunResult; O-import/O-tests first.</w:t>
            </w:r>
          </w:p>
        </w:tc>
        <w:tc>
          <w:tcPr>
            <w:tcW w:type="dxa" w:w="4752"/>
            <w:vAlign w:val="center"/>
          </w:tcPr>
          <w:p>
            <w:pPr>
              <w:spacing w:after="20"/>
            </w:pPr>
            <w:r>
              <w:rPr>
                <w:sz w:val="15"/>
              </w:rPr>
              <w:t>Each oracle is a plugin behind one job/result contract; each ecosystem has a separately tested image/profile.</w:t>
            </w:r>
          </w:p>
        </w:tc>
      </w:tr>
      <w:tr>
        <w:tc>
          <w:tcPr>
            <w:tcW w:type="dxa" w:w="1944"/>
            <w:vAlign w:val="center"/>
          </w:tcPr>
          <w:p>
            <w:pPr>
              <w:spacing w:after="20"/>
            </w:pPr>
            <w:r>
              <w:rPr>
                <w:sz w:val="15"/>
              </w:rPr>
              <w:t>Evidence store</w:t>
            </w:r>
          </w:p>
        </w:tc>
        <w:tc>
          <w:tcPr>
            <w:tcW w:type="dxa" w:w="3816"/>
            <w:vAlign w:val="center"/>
          </w:tcPr>
          <w:p>
            <w:pPr>
              <w:spacing w:after="20"/>
            </w:pPr>
            <w:r>
              <w:rPr>
                <w:sz w:val="15"/>
              </w:rPr>
              <w:t>Immutable source blobs, run outputs, world descriptors and bundles by content hash.</w:t>
            </w:r>
          </w:p>
        </w:tc>
        <w:tc>
          <w:tcPr>
            <w:tcW w:type="dxa" w:w="4752"/>
            <w:vAlign w:val="center"/>
          </w:tcPr>
          <w:p>
            <w:pPr>
              <w:spacing w:after="20"/>
            </w:pPr>
            <w:r>
              <w:rPr>
                <w:sz w:val="15"/>
              </w:rPr>
              <w:t>Move blobs to object storage later while retaining hash-addressed IDs and metadata references.</w:t>
            </w:r>
          </w:p>
        </w:tc>
      </w:tr>
      <w:tr>
        <w:tc>
          <w:tcPr>
            <w:tcW w:type="dxa" w:w="1944"/>
            <w:vAlign w:val="center"/>
          </w:tcPr>
          <w:p>
            <w:pPr>
              <w:spacing w:after="20"/>
            </w:pPr>
            <w:r>
              <w:rPr>
                <w:sz w:val="15"/>
              </w:rPr>
              <w:t>Verdict engine</w:t>
            </w:r>
          </w:p>
        </w:tc>
        <w:tc>
          <w:tcPr>
            <w:tcW w:type="dxa" w:w="3816"/>
            <w:vAlign w:val="center"/>
          </w:tcPr>
          <w:p>
            <w:pPr>
              <w:spacing w:after="20"/>
            </w:pPr>
            <w:r>
              <w:rPr>
                <w:sz w:val="15"/>
              </w:rPr>
              <w:t>Pure deterministic function over persisted evidence and versioned rules.</w:t>
            </w:r>
          </w:p>
        </w:tc>
        <w:tc>
          <w:tcPr>
            <w:tcW w:type="dxa" w:w="4752"/>
            <w:vAlign w:val="center"/>
          </w:tcPr>
          <w:p>
            <w:pPr>
              <w:spacing w:after="20"/>
            </w:pPr>
            <w:r>
              <w:rPr>
                <w:sz w:val="15"/>
              </w:rPr>
              <w:t>Can be recomputed/audited independently; adding new signals does not mutate old evidence.</w:t>
            </w:r>
          </w:p>
        </w:tc>
      </w:tr>
      <w:tr>
        <w:tc>
          <w:tcPr>
            <w:tcW w:type="dxa" w:w="1944"/>
            <w:vAlign w:val="center"/>
          </w:tcPr>
          <w:p>
            <w:pPr>
              <w:spacing w:after="20"/>
            </w:pPr>
            <w:r>
              <w:rPr>
                <w:sz w:val="15"/>
              </w:rPr>
              <w:t>Frontend</w:t>
            </w:r>
          </w:p>
        </w:tc>
        <w:tc>
          <w:tcPr>
            <w:tcW w:type="dxa" w:w="3816"/>
            <w:vAlign w:val="center"/>
          </w:tcPr>
          <w:p>
            <w:pPr>
              <w:spacing w:after="20"/>
            </w:pPr>
            <w:r>
              <w:rPr>
                <w:sz w:val="15"/>
              </w:rPr>
              <w:t>React + TypeScript + Vite; typed API client; mode/capability banner.</w:t>
            </w:r>
          </w:p>
        </w:tc>
        <w:tc>
          <w:tcPr>
            <w:tcW w:type="dxa" w:w="4752"/>
            <w:vAlign w:val="center"/>
          </w:tcPr>
          <w:p>
            <w:pPr>
              <w:spacing w:after="20"/>
            </w:pPr>
            <w:r>
              <w:rPr>
                <w:sz w:val="15"/>
              </w:rPr>
              <w:t>Add views and filters without changing verdict semantics; generate types from OpenAPI.</w:t>
            </w:r>
          </w:p>
        </w:tc>
      </w:tr>
    </w:tbl>
    <w:p/>
    <w:p>
      <w:pPr>
        <w:pStyle w:val="Heading2"/>
      </w:pPr>
      <w:r>
        <w:t>Architectural rules</w:t>
      </w:r>
    </w:p>
    <w:p>
      <w:pPr>
        <w:pStyle w:val="ListBullet"/>
        <w:spacing w:after="30"/>
      </w:pPr>
      <w:r>
        <w:t>Use one canonical model/schema per concept. No phase creates a parallel version of ResolvedWorld, Cell, OracleRunResult, Witness or Finding.</w:t>
      </w:r>
    </w:p>
    <w:p>
      <w:pPr>
        <w:pStyle w:val="ListBullet"/>
        <w:spacing w:after="30"/>
      </w:pPr>
      <w:r>
        <w:t>Use interfaces at ecosystem, resolver, oracle, evidence-store and job-runner boundaries. Do not create microservices for every module in the MVP.</w:t>
      </w:r>
    </w:p>
    <w:p>
      <w:pPr>
        <w:pStyle w:val="ListBullet"/>
        <w:spacing w:after="30"/>
      </w:pPr>
      <w:r>
        <w:t>Keep analysis jobs asynchronous and persisted. API requests enqueue/inspect jobs; they do not clone, resolve or execute arbitrary repository code in request handlers.</w:t>
      </w:r>
    </w:p>
    <w:p>
      <w:pPr>
        <w:pStyle w:val="ListBullet"/>
        <w:spacing w:after="30"/>
      </w:pPr>
      <w:r>
        <w:t>Start with SQLite WAL only for a single-host MVP; use transactions and a repository/storage abstraction. Move to PostgreSQL before multi-host execution or sustained write contention. Never put SQLite WAL on a network filesystem.</w:t>
      </w:r>
    </w:p>
    <w:p>
      <w:pPr>
        <w:pStyle w:val="ListBullet"/>
        <w:spacing w:after="30"/>
      </w:pPr>
      <w:r>
        <w:t>Separate world reuse from oracle execution reuse. A world may be reused by canonical world hash when all semantic inputs match; that does not create a new oracle run. Every oracle execution record must include world hash, oracle/harness version, image digest, artifact/input identity, runtime/platform, relevant options, unique run ID, timestamp and execution provenance (FRESH_EXECUTION or REUSED_RESULT). Only independently executed runs count toward the 3/3 + 3/3 witness; cached oracle results may be displayed as reused evidence but never count as fresh repeats. Cache keys include every semantic input and cache invalidation is a correctness property.</w:t>
      </w:r>
    </w:p>
    <w:p>
      <w:pPr>
        <w:pStyle w:val="ListBullet"/>
        <w:spacing w:after="30"/>
      </w:pPr>
      <w:r>
        <w:t>Every result includes `mode` (LIVE/FIXTURE/REPLAY), capability version and evidence provenance. UI must not conflate fixture results with fresh live analysis.</w:t>
      </w:r>
    </w:p>
    <w:p>
      <w:pPr>
        <w:pStyle w:val="ListBullet"/>
        <w:spacing w:after="30"/>
      </w:pPr>
      <w:r>
        <w:t>Feature flags control optional capabilities, not correctness checks. Do not add a flag that bypasses witness repeatability or sandbox isolation.</w:t>
      </w:r>
    </w:p>
    <w:p>
      <w:pPr>
        <w:pStyle w:val="ListBullet"/>
        <w:spacing w:after="30"/>
      </w:pPr>
      <w:r>
        <w:t>Only `core/hashing.py` computes canonical hashes. World identity excludes local absolute paths and incidental timestamps but includes semantic runtime/platform/visibility dimensions.</w:t>
      </w:r>
    </w:p>
    <w:p>
      <w:pPr>
        <w:pStyle w:val="ListBullet"/>
        <w:spacing w:after="30"/>
      </w:pPr>
      <w:r>
        <w:t>Native package manager/lockfile semantics are authoritative. Never implement a home-grown version solver as a shortcut.</w:t>
      </w:r>
    </w:p>
    <w:p>
      <w:pPr>
        <w:pStyle w:val="Heading1"/>
      </w:pPr>
      <w:r>
        <w:t>4. Stack baseline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CE7EE"/>
          </w:tcPr>
          <w:p>
            <w:r>
              <w:rPr>
                <w:b/>
                <w:sz w:val="16"/>
              </w:rPr>
              <w:t>Concern</w:t>
            </w:r>
          </w:p>
        </w:tc>
        <w:tc>
          <w:tcPr>
            <w:tcW w:type="dxa" w:w="3312"/>
            <w:shd w:fill="DCE7EE"/>
          </w:tcPr>
          <w:p>
            <w:r>
              <w:rPr>
                <w:b/>
                <w:sz w:val="16"/>
              </w:rPr>
              <w:t>Baseline</w:t>
            </w:r>
          </w:p>
        </w:tc>
        <w:tc>
          <w:tcPr>
            <w:tcW w:type="dxa" w:w="5184"/>
            <w:shd w:fill="DCE7EE"/>
          </w:tcPr>
          <w:p>
            <w:r>
              <w:rPr>
                <w:b/>
                <w:sz w:val="16"/>
              </w:rPr>
              <w:t>Important constraints</w:t>
            </w:r>
          </w:p>
        </w:tc>
      </w:tr>
      <w:tr>
        <w:tc>
          <w:tcPr>
            <w:tcW w:type="dxa" w:w="2016"/>
            <w:vAlign w:val="center"/>
          </w:tcPr>
          <w:p>
            <w:pPr>
              <w:spacing w:after="20"/>
            </w:pPr>
            <w:r>
              <w:rPr>
                <w:sz w:val="15"/>
              </w:rPr>
              <w:t>Language/runtime</w:t>
            </w:r>
          </w:p>
        </w:tc>
        <w:tc>
          <w:tcPr>
            <w:tcW w:type="dxa" w:w="3312"/>
            <w:vAlign w:val="center"/>
          </w:tcPr>
          <w:p>
            <w:pPr>
              <w:spacing w:after="20"/>
            </w:pPr>
            <w:r>
              <w:rPr>
                <w:sz w:val="15"/>
              </w:rPr>
              <w:t>Python 3.12, exact patch pinned in image</w:t>
            </w:r>
          </w:p>
        </w:tc>
        <w:tc>
          <w:tcPr>
            <w:tcW w:type="dxa" w:w="5184"/>
            <w:vAlign w:val="center"/>
          </w:tcPr>
          <w:p>
            <w:pPr>
              <w:spacing w:after="20"/>
            </w:pPr>
            <w:r>
              <w:rPr>
                <w:sz w:val="15"/>
              </w:rPr>
              <w:t>No target package imports in control plane.</w:t>
            </w:r>
          </w:p>
        </w:tc>
      </w:tr>
      <w:tr>
        <w:tc>
          <w:tcPr>
            <w:tcW w:type="dxa" w:w="2016"/>
            <w:vAlign w:val="center"/>
          </w:tcPr>
          <w:p>
            <w:pPr>
              <w:spacing w:after="20"/>
            </w:pPr>
            <w:r>
              <w:rPr>
                <w:sz w:val="15"/>
              </w:rPr>
              <w:t>API/schema</w:t>
            </w:r>
          </w:p>
        </w:tc>
        <w:tc>
          <w:tcPr>
            <w:tcW w:type="dxa" w:w="3312"/>
            <w:vAlign w:val="center"/>
          </w:tcPr>
          <w:p>
            <w:pPr>
              <w:spacing w:after="20"/>
            </w:pPr>
            <w:r>
              <w:rPr>
                <w:sz w:val="15"/>
              </w:rPr>
              <w:t>FastAPI + Pydantic</w:t>
            </w:r>
          </w:p>
        </w:tc>
        <w:tc>
          <w:tcPr>
            <w:tcW w:type="dxa" w:w="5184"/>
            <w:vAlign w:val="center"/>
          </w:tcPr>
          <w:p>
            <w:pPr>
              <w:spacing w:after="20"/>
            </w:pPr>
            <w:r>
              <w:rPr>
                <w:sz w:val="15"/>
              </w:rPr>
              <w:t>OpenAPI-generated/checked TS types; explicit error/status enums.</w:t>
            </w:r>
          </w:p>
        </w:tc>
      </w:tr>
      <w:tr>
        <w:tc>
          <w:tcPr>
            <w:tcW w:type="dxa" w:w="2016"/>
            <w:vAlign w:val="center"/>
          </w:tcPr>
          <w:p>
            <w:pPr>
              <w:spacing w:after="20"/>
            </w:pPr>
            <w:r>
              <w:rPr>
                <w:sz w:val="15"/>
              </w:rPr>
              <w:t>Storage</w:t>
            </w:r>
          </w:p>
        </w:tc>
        <w:tc>
          <w:tcPr>
            <w:tcW w:type="dxa" w:w="3312"/>
            <w:vAlign w:val="center"/>
          </w:tcPr>
          <w:p>
            <w:pPr>
              <w:spacing w:after="20"/>
            </w:pPr>
            <w:r>
              <w:rPr>
                <w:sz w:val="15"/>
              </w:rPr>
              <w:t>SQLite WAL + explicit SQL migrations for single host</w:t>
            </w:r>
          </w:p>
        </w:tc>
        <w:tc>
          <w:tcPr>
            <w:tcW w:type="dxa" w:w="5184"/>
            <w:vAlign w:val="center"/>
          </w:tcPr>
          <w:p>
            <w:pPr>
              <w:spacing w:after="20"/>
            </w:pPr>
            <w:r>
              <w:rPr>
                <w:sz w:val="15"/>
              </w:rPr>
              <w:t>One writer at a time; no network filesystem; migration trigger documented.</w:t>
            </w:r>
          </w:p>
        </w:tc>
      </w:tr>
      <w:tr>
        <w:tc>
          <w:tcPr>
            <w:tcW w:type="dxa" w:w="2016"/>
            <w:vAlign w:val="center"/>
          </w:tcPr>
          <w:p>
            <w:pPr>
              <w:spacing w:after="20"/>
            </w:pPr>
            <w:r>
              <w:rPr>
                <w:sz w:val="15"/>
              </w:rPr>
              <w:t>Worker</w:t>
            </w:r>
          </w:p>
        </w:tc>
        <w:tc>
          <w:tcPr>
            <w:tcW w:type="dxa" w:w="3312"/>
            <w:vAlign w:val="center"/>
          </w:tcPr>
          <w:p>
            <w:pPr>
              <w:spacing w:after="20"/>
            </w:pPr>
            <w:r>
              <w:rPr>
                <w:sz w:val="15"/>
              </w:rPr>
              <w:t>Separate DB-backed worker loop</w:t>
            </w:r>
          </w:p>
        </w:tc>
        <w:tc>
          <w:tcPr>
            <w:tcW w:type="dxa" w:w="5184"/>
            <w:vAlign w:val="center"/>
          </w:tcPr>
          <w:p>
            <w:pPr>
              <w:spacing w:after="20"/>
            </w:pPr>
            <w:r>
              <w:rPr>
                <w:sz w:val="15"/>
              </w:rPr>
              <w:t>Lease expiry, heartbeat, retries, cancellation, idempotency and deduplicated submission.</w:t>
            </w:r>
          </w:p>
        </w:tc>
      </w:tr>
      <w:tr>
        <w:tc>
          <w:tcPr>
            <w:tcW w:type="dxa" w:w="2016"/>
            <w:vAlign w:val="center"/>
          </w:tcPr>
          <w:p>
            <w:pPr>
              <w:spacing w:after="20"/>
            </w:pPr>
            <w:r>
              <w:rPr>
                <w:sz w:val="15"/>
              </w:rPr>
              <w:t>Python resolver</w:t>
            </w:r>
          </w:p>
        </w:tc>
        <w:tc>
          <w:tcPr>
            <w:tcW w:type="dxa" w:w="3312"/>
            <w:vAlign w:val="center"/>
          </w:tcPr>
          <w:p>
            <w:pPr>
              <w:spacing w:after="20"/>
            </w:pPr>
            <w:r>
              <w:rPr>
                <w:sz w:val="15"/>
              </w:rPr>
              <w:t>Pinned uv + native lockfiles; `packaging`</w:t>
            </w:r>
          </w:p>
        </w:tc>
        <w:tc>
          <w:tcPr>
            <w:tcW w:type="dxa" w:w="5184"/>
            <w:vAlign w:val="center"/>
          </w:tcPr>
          <w:p>
            <w:pPr>
              <w:spacing w:after="20"/>
            </w:pPr>
            <w:r>
              <w:rPr>
                <w:sz w:val="15"/>
              </w:rPr>
              <w:t>Record interpreter, platform, resolver version, flags, cutoff and artifact hashes.</w:t>
            </w:r>
          </w:p>
        </w:tc>
      </w:tr>
      <w:tr>
        <w:tc>
          <w:tcPr>
            <w:tcW w:type="dxa" w:w="2016"/>
            <w:vAlign w:val="center"/>
          </w:tcPr>
          <w:p>
            <w:pPr>
              <w:spacing w:after="20"/>
            </w:pPr>
            <w:r>
              <w:rPr>
                <w:sz w:val="15"/>
              </w:rPr>
              <w:t>Python parsing</w:t>
            </w:r>
          </w:p>
        </w:tc>
        <w:tc>
          <w:tcPr>
            <w:tcW w:type="dxa" w:w="3312"/>
            <w:vAlign w:val="center"/>
          </w:tcPr>
          <w:p>
            <w:pPr>
              <w:spacing w:after="20"/>
            </w:pPr>
            <w:r>
              <w:rPr>
                <w:sz w:val="15"/>
              </w:rPr>
              <w:t>`tomllib`, packaging utilities, bounded requirements/lock parsers</w:t>
            </w:r>
          </w:p>
        </w:tc>
        <w:tc>
          <w:tcPr>
            <w:tcW w:type="dxa" w:w="5184"/>
            <w:vAlign w:val="center"/>
          </w:tcPr>
          <w:p>
            <w:pPr>
              <w:spacing w:after="20"/>
            </w:pPr>
            <w:r>
              <w:rPr>
                <w:sz w:val="15"/>
              </w:rPr>
              <w:t>Never execute setup.py to inspect metadata.</w:t>
            </w:r>
          </w:p>
        </w:tc>
      </w:tr>
      <w:tr>
        <w:tc>
          <w:tcPr>
            <w:tcW w:type="dxa" w:w="2016"/>
            <w:vAlign w:val="center"/>
          </w:tcPr>
          <w:p>
            <w:pPr>
              <w:spacing w:after="20"/>
            </w:pPr>
            <w:r>
              <w:rPr>
                <w:sz w:val="15"/>
              </w:rPr>
              <w:t>Git fetch</w:t>
            </w:r>
          </w:p>
        </w:tc>
        <w:tc>
          <w:tcPr>
            <w:tcW w:type="dxa" w:w="3312"/>
            <w:vAlign w:val="center"/>
          </w:tcPr>
          <w:p>
            <w:pPr>
              <w:spacing w:after="20"/>
            </w:pPr>
            <w:r>
              <w:rPr>
                <w:sz w:val="15"/>
              </w:rPr>
              <w:t>Pinned Git client/image and GitHub API/transport adapter</w:t>
            </w:r>
          </w:p>
        </w:tc>
        <w:tc>
          <w:tcPr>
            <w:tcW w:type="dxa" w:w="5184"/>
            <w:vAlign w:val="center"/>
          </w:tcPr>
          <w:p>
            <w:pPr>
              <w:spacing w:after="20"/>
            </w:pPr>
            <w:r>
              <w:rPr>
                <w:sz w:val="15"/>
              </w:rPr>
              <w:t>Resolve ref once; fetch exact SHA; bounded repository size/time/file count.</w:t>
            </w:r>
          </w:p>
        </w:tc>
      </w:tr>
      <w:tr>
        <w:tc>
          <w:tcPr>
            <w:tcW w:type="dxa" w:w="2016"/>
            <w:vAlign w:val="center"/>
          </w:tcPr>
          <w:p>
            <w:pPr>
              <w:spacing w:after="20"/>
            </w:pPr>
            <w:r>
              <w:rPr>
                <w:sz w:val="15"/>
              </w:rPr>
              <w:t>Sandbox</w:t>
            </w:r>
          </w:p>
        </w:tc>
        <w:tc>
          <w:tcPr>
            <w:tcW w:type="dxa" w:w="3312"/>
            <w:vAlign w:val="center"/>
          </w:tcPr>
          <w:p>
            <w:pPr>
              <w:spacing w:after="20"/>
            </w:pPr>
            <w:r>
              <w:rPr>
                <w:sz w:val="15"/>
              </w:rPr>
              <w:t>Docker Engine + dedicated sandboxd, fetch/exec images pinned by digest</w:t>
            </w:r>
          </w:p>
        </w:tc>
        <w:tc>
          <w:tcPr>
            <w:tcW w:type="dxa" w:w="5184"/>
            <w:vAlign w:val="center"/>
          </w:tcPr>
          <w:p>
            <w:pPr>
              <w:spacing w:after="20"/>
            </w:pPr>
            <w:r>
              <w:rPr>
                <w:sz w:val="15"/>
              </w:rPr>
              <w:t>No execution network, no secrets, no Docker socket, no privileged mode, capped CPU/RAM/PIDs/disk/time/output.</w:t>
            </w:r>
          </w:p>
        </w:tc>
      </w:tr>
      <w:tr>
        <w:tc>
          <w:tcPr>
            <w:tcW w:type="dxa" w:w="2016"/>
            <w:vAlign w:val="center"/>
          </w:tcPr>
          <w:p>
            <w:pPr>
              <w:spacing w:after="20"/>
            </w:pPr>
            <w:r>
              <w:rPr>
                <w:sz w:val="15"/>
              </w:rPr>
              <w:t>Frontend</w:t>
            </w:r>
          </w:p>
        </w:tc>
        <w:tc>
          <w:tcPr>
            <w:tcW w:type="dxa" w:w="3312"/>
            <w:vAlign w:val="center"/>
          </w:tcPr>
          <w:p>
            <w:pPr>
              <w:spacing w:after="20"/>
            </w:pPr>
            <w:r>
              <w:rPr>
                <w:sz w:val="15"/>
              </w:rPr>
              <w:t>React + TypeScript + Vite</w:t>
            </w:r>
          </w:p>
        </w:tc>
        <w:tc>
          <w:tcPr>
            <w:tcW w:type="dxa" w:w="5184"/>
            <w:vAlign w:val="center"/>
          </w:tcPr>
          <w:p>
            <w:pPr>
              <w:spacing w:after="20"/>
            </w:pPr>
            <w:r>
              <w:rPr>
                <w:sz w:val="15"/>
              </w:rPr>
              <w:t>Typecheck separately; safe rendering of all repository-sourced text.</w:t>
            </w:r>
          </w:p>
        </w:tc>
      </w:tr>
      <w:tr>
        <w:tc>
          <w:tcPr>
            <w:tcW w:type="dxa" w:w="2016"/>
            <w:vAlign w:val="center"/>
          </w:tcPr>
          <w:p>
            <w:pPr>
              <w:spacing w:after="20"/>
            </w:pPr>
            <w:r>
              <w:rPr>
                <w:sz w:val="15"/>
              </w:rPr>
              <w:t>Tests</w:t>
            </w:r>
          </w:p>
        </w:tc>
        <w:tc>
          <w:tcPr>
            <w:tcW w:type="dxa" w:w="3312"/>
            <w:vAlign w:val="center"/>
          </w:tcPr>
          <w:p>
            <w:pPr>
              <w:spacing w:after="20"/>
            </w:pPr>
            <w:r>
              <w:rPr>
                <w:sz w:val="15"/>
              </w:rPr>
              <w:t>pytest, fixture YAML, JUnit XML parser, API integration, browser E2E and sandbox security tests</w:t>
            </w:r>
          </w:p>
        </w:tc>
        <w:tc>
          <w:tcPr>
            <w:tcW w:type="dxa" w:w="5184"/>
            <w:vAlign w:val="center"/>
          </w:tcPr>
          <w:p>
            <w:pPr>
              <w:spacing w:after="20"/>
            </w:pPr>
            <w:r>
              <w:rPr>
                <w:sz w:val="15"/>
              </w:rPr>
              <w:t>Fixture expectations are versioned executable specs.</w:t>
            </w:r>
          </w:p>
        </w:tc>
      </w:tr>
      <w:tr>
        <w:tc>
          <w:tcPr>
            <w:tcW w:type="dxa" w:w="2016"/>
            <w:vAlign w:val="center"/>
          </w:tcPr>
          <w:p>
            <w:pPr>
              <w:spacing w:after="20"/>
            </w:pPr>
            <w:r>
              <w:rPr>
                <w:sz w:val="15"/>
              </w:rPr>
              <w:t>Later static analysis</w:t>
            </w:r>
          </w:p>
        </w:tc>
        <w:tc>
          <w:tcPr>
            <w:tcW w:type="dxa" w:w="3312"/>
            <w:vAlign w:val="center"/>
          </w:tcPr>
          <w:p>
            <w:pPr>
              <w:spacing w:after="20"/>
            </w:pPr>
            <w:r>
              <w:rPr>
                <w:sz w:val="15"/>
              </w:rPr>
              <w:t>griffe; Python AST; Pyright only after pinned behavior verified</w:t>
            </w:r>
          </w:p>
        </w:tc>
        <w:tc>
          <w:tcPr>
            <w:tcW w:type="dxa" w:w="5184"/>
            <w:vAlign w:val="center"/>
          </w:tcPr>
          <w:p>
            <w:pPr>
              <w:spacing w:after="20"/>
            </w:pPr>
            <w:r>
              <w:rPr>
                <w:sz w:val="15"/>
              </w:rPr>
              <w:t>Static signals never independently prove runtime breakage.</w:t>
            </w:r>
          </w:p>
        </w:tc>
      </w:tr>
      <w:tr>
        <w:tc>
          <w:tcPr>
            <w:tcW w:type="dxa" w:w="2016"/>
            <w:vAlign w:val="center"/>
          </w:tcPr>
          <w:p>
            <w:pPr>
              <w:spacing w:after="20"/>
            </w:pPr>
            <w:r>
              <w:rPr>
                <w:sz w:val="15"/>
              </w:rPr>
              <w:t>Graph</w:t>
            </w:r>
          </w:p>
        </w:tc>
        <w:tc>
          <w:tcPr>
            <w:tcW w:type="dxa" w:w="3312"/>
            <w:vAlign w:val="center"/>
          </w:tcPr>
          <w:p>
            <w:pPr>
              <w:spacing w:after="20"/>
            </w:pPr>
            <w:r>
              <w:rPr>
                <w:sz w:val="15"/>
              </w:rPr>
              <w:t>NetworkX or deterministic adjacency lists</w:t>
            </w:r>
          </w:p>
        </w:tc>
        <w:tc>
          <w:tcPr>
            <w:tcW w:type="dxa" w:w="5184"/>
            <w:vAlign w:val="center"/>
          </w:tcPr>
          <w:p>
            <w:pPr>
              <w:spacing w:after="20"/>
            </w:pPr>
            <w:r>
              <w:rPr>
                <w:sz w:val="15"/>
              </w:rPr>
              <w:t>No graph DB in MVP.</w:t>
            </w:r>
          </w:p>
        </w:tc>
      </w:tr>
    </w:tbl>
    <w:p/>
    <w:p>
      <w:r>
        <w:t>Do not introduce Kubernetes, Kafka, Redis, Celery, a graph database or an LLM decision component before a measured bottleneck justifies it. Keep the first deployment operationally simple while preserving replaceable boundaries.</w:t>
      </w:r>
    </w:p>
    <w:p>
      <w:r>
        <w:br w:type="page"/>
      </w:r>
    </w:p>
    <w:p>
      <w:pPr>
        <w:pStyle w:val="Heading1"/>
      </w:pPr>
      <w:r>
        <w:t>Gate summary and conformance contract</w:t>
      </w:r>
    </w:p>
    <w:p>
      <w:pPr/>
      <w:r>
        <w:t>Gate A: runnable skeleton; Gate B: reproducible FIXTURE proof; Gate C: First Live Vertical Slice; Gate D: PS07-compliant MVP with every canonical master MUST passing; Gate E: release-hardened deployment. A gate is complete only when its machine-checkable tests and evidence artifacts are retained. Gate D and Gate E are separate decisions.</w:t>
      </w:r>
    </w:p>
    <w:p>
      <w:pPr/>
      <w:r>
        <w:t>Gate D scope additions that cannot be deferred: npm manifest/lockfile inventory and importer-specific worlds; Maven POM inventory; PC-1 minimal targeted O-bind call-site extraction; PC-4 consumer-import scan; PC-5 test-only overlay semantics; PC-10 offline world build/reuse; two-sided ddmin; versioned portable evidence bundles; and the complete API-backed MUST dashboard. npm runtime execution and full Maven runtime verification remain deferred.</w:t>
      </w:r>
    </w:p>
    <w:p>
      <w:pPr>
        <w:pStyle w:val="Heading1"/>
      </w:pPr>
      <w:r>
        <w:t>Phase 0 — Bootstrap, contracts and runnable shell</w:t>
      </w:r>
    </w:p>
    <w:p>
      <w:r>
        <w:rPr>
          <w:b/>
        </w:rPr>
        <w:t>Release point:</w:t>
      </w:r>
      <w:r>
        <w:t xml:space="preserve"> Skeleton / Gate A</w:t>
      </w:r>
    </w:p>
    <w:p>
      <w:r>
        <w:rPr>
          <w:b/>
        </w:rPr>
        <w:t>Goal:</w:t>
      </w:r>
      <w:r>
        <w:t xml:space="preserve"> Establish a stable base that every later phase extends without contract drift.</w:t>
      </w:r>
    </w:p>
    <w:p>
      <w:r>
        <w:rPr>
          <w:b/>
        </w:rPr>
        <w:t>Entry conditions:</w:t>
      </w:r>
      <w:r>
        <w:t xml:space="preserve"> Fresh checkout; no prior analysis capability required.</w:t>
      </w:r>
    </w:p>
    <w:p>
      <w:pPr>
        <w:pStyle w:val="Heading2"/>
      </w:pPr>
      <w:r>
        <w:t>Sub-phases</w:t>
      </w:r>
    </w:p>
    <w:p>
      <w:pPr>
        <w:pStyle w:val="Heading3"/>
      </w:pPr>
      <w:r>
        <w:t>0.1 Repo and runtime</w:t>
      </w:r>
    </w:p>
    <w:p>
      <w:pPr>
        <w:pStyle w:val="ListBullet"/>
        <w:spacing w:after="30"/>
      </w:pPr>
      <w:r>
        <w:t>Create backend/faultline, frontend, sandbox, fixtures, tests, scripts, migrations and docs/adr.</w:t>
      </w:r>
    </w:p>
    <w:p>
      <w:pPr>
        <w:pStyle w:val="ListBullet"/>
        <w:spacing w:after="30"/>
      </w:pPr>
      <w:r>
        <w:t>Pin Python, Node, uv, npm, Docker image digests and CI tool versions.</w:t>
      </w:r>
    </w:p>
    <w:p>
      <w:pPr>
        <w:pStyle w:val="ListBullet"/>
        <w:spacing w:after="30"/>
      </w:pPr>
      <w:r>
        <w:t>Provide `make up`, `make test`, `make fixtures`, `make e2e` entry points; each has a clear failure exit code.</w:t>
      </w:r>
    </w:p>
    <w:p>
      <w:pPr>
        <w:pStyle w:val="Heading3"/>
      </w:pPr>
      <w:r>
        <w:t>0.2 Shared model and schema</w:t>
      </w:r>
    </w:p>
    <w:p>
      <w:pPr>
        <w:pStyle w:val="ListBullet"/>
        <w:spacing w:after="30"/>
      </w:pPr>
      <w:r>
        <w:t>Implement the master-defined core models and initial schema; do not invent alternate shapes for convenience.</w:t>
      </w:r>
    </w:p>
    <w:p>
      <w:pPr>
        <w:pStyle w:val="ListBullet"/>
        <w:spacing w:after="30"/>
      </w:pPr>
      <w:r>
        <w:t>Version API and persisted evidence schema; make enums explicit and reject invalid status transitions.</w:t>
      </w:r>
    </w:p>
    <w:p>
      <w:pPr>
        <w:pStyle w:val="ListBullet"/>
        <w:spacing w:after="30"/>
      </w:pPr>
      <w:r>
        <w:t>Define stable IDs and foreign-key relationships from project → repository → snapshot → manifest → world → cell → oracle run → witness → finding.</w:t>
      </w:r>
    </w:p>
    <w:p>
      <w:pPr>
        <w:pStyle w:val="Heading3"/>
      </w:pPr>
      <w:r>
        <w:t>0.3 Job contract</w:t>
      </w:r>
    </w:p>
    <w:p>
      <w:pPr>
        <w:pStyle w:val="ListBullet"/>
        <w:spacing w:after="30"/>
      </w:pPr>
      <w:r>
        <w:t>Persist job status, idempotency key, attempts, created/updated timestamps, lease owner/expiry, heartbeat and cancellation request.</w:t>
      </w:r>
    </w:p>
    <w:p>
      <w:pPr>
        <w:pStyle w:val="ListBullet"/>
        <w:spacing w:after="30"/>
      </w:pPr>
      <w:r>
        <w:t>Make worker claim atomic; stale lease can be reclaimed; retries distinguish transient and permanent failures.</w:t>
      </w:r>
    </w:p>
    <w:p>
      <w:pPr>
        <w:pStyle w:val="ListBullet"/>
        <w:spacing w:after="30"/>
      </w:pPr>
      <w:r>
        <w:t>API returns job ID promptly and exposes progress without holding request open.</w:t>
      </w:r>
    </w:p>
    <w:p>
      <w:pPr>
        <w:pStyle w:val="Heading3"/>
      </w:pPr>
      <w:r>
        <w:t>0.4 Hashing and capability surface</w:t>
      </w:r>
    </w:p>
    <w:p>
      <w:pPr>
        <w:pStyle w:val="ListBullet"/>
        <w:spacing w:after="30"/>
      </w:pPr>
      <w:r>
        <w:t>Implement canonical serialization/hash once; add `/api/health` and `/api/capabilities`.</w:t>
      </w:r>
    </w:p>
    <w:p>
      <w:pPr>
        <w:pStyle w:val="ListBullet"/>
        <w:spacing w:after="30"/>
      </w:pPr>
      <w:r>
        <w:t>Expose active mode, enabled ecosystems/oracles, sandbox availability and disabled capability reasons.</w:t>
      </w:r>
    </w:p>
    <w:p>
      <w:pPr>
        <w:pStyle w:val="ListBullet"/>
        <w:spacing w:after="30"/>
      </w:pPr>
      <w:r>
        <w:t>Frontend renders the capability banner before any analysis exists.</w:t>
      </w:r>
    </w:p>
    <w:p>
      <w:pPr>
        <w:pStyle w:val="Heading3"/>
      </w:pPr>
      <w:r>
        <w:t>0.5 CI gate</w:t>
      </w:r>
    </w:p>
    <w:p>
      <w:pPr>
        <w:pStyle w:val="ListBullet"/>
        <w:spacing w:after="30"/>
      </w:pPr>
      <w:r>
        <w:t>Clean DB migration, API schema check, Python lint/unit tests, frontend typecheck/build and service boot.</w:t>
      </w:r>
    </w:p>
    <w:p>
      <w:pPr>
        <w:pStyle w:val="ListBullet"/>
        <w:spacing w:after="30"/>
      </w:pPr>
      <w:r>
        <w:t>Run schema migration twice safely where supported; verify failed migration does not leave half-created schema.</w:t>
      </w:r>
    </w:p>
    <w:p>
      <w:pPr>
        <w:pStyle w:val="Heading2"/>
      </w:pPr>
      <w:r>
        <w:t>Resources and implementation choices</w:t>
      </w:r>
    </w:p>
    <w:p>
      <w:pPr>
        <w:pStyle w:val="ListBullet"/>
        <w:spacing w:after="30"/>
      </w:pPr>
      <w:r>
        <w:t>Python 3.12; FastAPI; Pydantic; SQLite WAL; React/TypeScript/Vite; pytest; uv/npm lockfiles; Docker Compose; CI.</w:t>
      </w:r>
    </w:p>
    <w:p>
      <w:pPr>
        <w:pStyle w:val="Heading2"/>
      </w:pPr>
      <w:r>
        <w:t>Data contracts and persisted outputs</w:t>
      </w:r>
    </w:p>
    <w:p>
      <w:pPr>
        <w:pStyle w:val="ListBullet"/>
        <w:spacing w:after="30"/>
      </w:pPr>
      <w:r>
        <w:t>Canonical models; migrations; API schema; capability DTO; durable job record.</w:t>
      </w:r>
    </w:p>
    <w:p>
      <w:pPr>
        <w:pStyle w:val="Heading2"/>
      </w:pPr>
      <w:r>
        <w:t>Required verification</w:t>
      </w:r>
    </w:p>
    <w:p>
      <w:pPr>
        <w:pStyle w:val="ListBullet"/>
        <w:spacing w:after="30"/>
      </w:pPr>
      <w:r>
        <w:t>Clean checkout starts API, worker stub, sandbox stub and UI; stable hash test; job claim/lease test; CI green.</w:t>
      </w:r>
    </w:p>
    <w:p>
      <w:pPr>
        <w:pStyle w:val="Heading2"/>
      </w:pPr>
      <w:r>
        <w:t>Edge cases that must not be hidden</w:t>
      </w:r>
    </w:p>
    <w:p>
      <w:pPr>
        <w:pStyle w:val="ListBullet"/>
        <w:spacing w:after="30"/>
      </w:pPr>
      <w:r>
        <w:t>Concurrent duplicate submission; worker crash; expired lease; schema upgrade; unknown enum; canonical JSON float/NaN; SQLite lock contention.</w:t>
      </w:r>
    </w:p>
    <w:p>
      <w:pPr>
        <w:pStyle w:val="Heading2"/>
      </w:pPr>
      <w:r>
        <w:t>Exit gate</w:t>
      </w:r>
    </w:p>
    <w:p>
      <w:r>
        <w:t>Gate A is met: the product boots and visibly states its mode/capabilities; core contracts are stable; no compatibility claim is displayed.</w:t>
      </w:r>
    </w:p>
    <w:p>
      <w:pPr>
        <w:pStyle w:val="Heading2"/>
      </w:pPr>
      <w:r>
        <w:t>Artifacts carried forward</w:t>
      </w:r>
    </w:p>
    <w:p>
      <w:pPr>
        <w:pStyle w:val="ListBullet"/>
        <w:spacing w:after="30"/>
      </w:pPr>
      <w:r>
        <w:t>API schema, model package, database migrations, runnable shell and CI.</w:t>
      </w:r>
    </w:p>
    <w:p>
      <w:pPr>
        <w:pStyle w:val="Heading1"/>
      </w:pPr>
      <w:r>
        <w:t>Phase 1 — Fixture-backed end-to-end differential proof</w:t>
      </w:r>
    </w:p>
    <w:p>
      <w:r>
        <w:rPr>
          <w:b/>
        </w:rPr>
        <w:t>Release point:</w:t>
      </w:r>
      <w:r>
        <w:t xml:space="preserve"> First demonstrable finding / Gate B</w:t>
      </w:r>
    </w:p>
    <w:p>
      <w:r>
        <w:rPr>
          <w:b/>
        </w:rPr>
        <w:t>Goal:</w:t>
      </w:r>
      <w:r>
        <w:t xml:space="preserve"> Make a complete honest finding visible before broad live ingestion and advanced analysis are built.</w:t>
      </w:r>
    </w:p>
    <w:p>
      <w:r>
        <w:rPr>
          <w:b/>
        </w:rPr>
        <w:t>Entry conditions:</w:t>
      </w:r>
      <w:r>
        <w:t xml:space="preserve"> Phase 0 contracts; verified fixture scenario with expected behavior.</w:t>
      </w:r>
    </w:p>
    <w:p>
      <w:pPr>
        <w:pStyle w:val="Heading2"/>
      </w:pPr>
      <w:r>
        <w:t>Sub-phases</w:t>
      </w:r>
    </w:p>
    <w:p>
      <w:pPr>
        <w:pStyle w:val="Heading3"/>
      </w:pPr>
      <w:r>
        <w:t>1.1 Select the smallest real failure</w:t>
      </w:r>
    </w:p>
    <w:p>
      <w:pPr>
        <w:pStyle w:val="ListBullet"/>
        <w:spacing w:after="30"/>
      </w:pPr>
      <w:r>
        <w:t>Use one master-defined verified scenario, preferably one of B/C/D/H/J that reproduces with pinned packages and has a clean negative control.</w:t>
      </w:r>
    </w:p>
    <w:p>
      <w:pPr>
        <w:pStyle w:val="ListBullet"/>
        <w:spacing w:after="30"/>
      </w:pPr>
      <w:r>
        <w:t>Pin fixture source commits, package versions/lockfiles, Python runtime, expected oracle and normalized failure signature.</w:t>
      </w:r>
    </w:p>
    <w:p>
      <w:pPr>
        <w:pStyle w:val="ListBullet"/>
        <w:spacing w:after="30"/>
      </w:pPr>
      <w:r>
        <w:t>Do not manufacture a failure by making the consumer fixture itself malformed unless that is the exact scenario being tested.</w:t>
      </w:r>
    </w:p>
    <w:p>
      <w:pPr>
        <w:pStyle w:val="Heading3"/>
      </w:pPr>
      <w:r>
        <w:t>1.2 Thin world builder</w:t>
      </w:r>
    </w:p>
    <w:p>
      <w:pPr>
        <w:pStyle w:val="ListBullet"/>
        <w:spacing w:after="30"/>
      </w:pPr>
      <w:r>
        <w:t>For the first integration, define explicit reference and consumer world descriptors from committed fixture lockfiles; no general repository inference yet.</w:t>
      </w:r>
    </w:p>
    <w:p>
      <w:pPr>
        <w:pStyle w:val="ListBullet"/>
        <w:spacing w:after="30"/>
      </w:pPr>
      <w:r>
        <w:t>Resolve/build the two worlds using native uv semantics and verified artifacts; include runtime/platform in identity.</w:t>
      </w:r>
    </w:p>
    <w:p>
      <w:pPr>
        <w:pStyle w:val="ListBullet"/>
        <w:spacing w:after="30"/>
      </w:pPr>
      <w:r>
        <w:t>Persist every input and hash even if the initial UI shows only the important fields.</w:t>
      </w:r>
    </w:p>
    <w:p>
      <w:pPr>
        <w:pStyle w:val="Heading3"/>
      </w:pPr>
      <w:r>
        <w:t>1.3 First sandboxed oracle</w:t>
      </w:r>
    </w:p>
    <w:p>
      <w:pPr>
        <w:pStyle w:val="ListBullet"/>
        <w:spacing w:after="30"/>
      </w:pPr>
      <w:r>
        <w:t>Route all fixture code through SandboxClient → sandboxd; execute O-import first, then O-tests if the selected scenario requires it.</w:t>
      </w:r>
    </w:p>
    <w:p>
      <w:pPr>
        <w:pStyle w:val="ListBullet"/>
        <w:spacing w:after="30"/>
      </w:pPr>
      <w:r>
        <w:t>Classify oracle failure separately from timeout, environment build failure, harness error and sandbox error.</w:t>
      </w:r>
    </w:p>
    <w:p>
      <w:pPr>
        <w:pStyle w:val="ListBullet"/>
        <w:spacing w:after="30"/>
      </w:pPr>
      <w:r>
        <w:t>Run the same artifact revision and controlled inputs in both worlds.</w:t>
      </w:r>
    </w:p>
    <w:p>
      <w:pPr>
        <w:pStyle w:val="Heading3"/>
      </w:pPr>
      <w:r>
        <w:t>1.4 Witness verification</w:t>
      </w:r>
    </w:p>
    <w:p>
      <w:pPr>
        <w:pStyle w:val="ListBullet"/>
        <w:spacing w:after="30"/>
      </w:pPr>
      <w:r>
        <w:t>Run three independent reference executions and three consumer executions; reference must pass 3/3 and consumer fail 3/3 with identical normalized signature.</w:t>
      </w:r>
    </w:p>
    <w:p>
      <w:pPr>
        <w:pStyle w:val="ListBullet"/>
        <w:spacing w:after="30"/>
      </w:pPr>
      <w:r>
        <w:t>Preserve raw logs separately from normalized signature; show both-worlds-fail and flaky cases as non-witness outcomes.</w:t>
      </w:r>
    </w:p>
    <w:p>
      <w:pPr>
        <w:pStyle w:val="ListBullet"/>
        <w:spacing w:after="30"/>
      </w:pPr>
      <w:r>
        <w:t>No cached result may count as a new repeat run unless the policy explicitly says the execution was forced and actually happened.</w:t>
      </w:r>
    </w:p>
    <w:p>
      <w:pPr>
        <w:pStyle w:val="Heading3"/>
      </w:pPr>
      <w:r>
        <w:t>1.5 Thin UI and export</w:t>
      </w:r>
    </w:p>
    <w:p>
      <w:pPr>
        <w:pStyle w:val="ListBullet"/>
        <w:spacing w:after="30"/>
      </w:pPr>
      <w:r>
        <w:t>Show source fixture mode, both world hashes, oracle results, repeatability counts, normalized failure and raw traceback link.</w:t>
      </w:r>
    </w:p>
    <w:p>
      <w:pPr>
        <w:pStyle w:val="ListBullet"/>
        <w:spacing w:after="30"/>
      </w:pPr>
      <w:r>
        <w:t>Export a first machine-readable evidence JSON/ZIP with hashes; bundle can initially be fixture-only but schema must be versioned.</w:t>
      </w:r>
    </w:p>
    <w:p>
      <w:pPr>
        <w:pStyle w:val="Heading2"/>
      </w:pPr>
      <w:r>
        <w:t>Resources and implementation choices</w:t>
      </w:r>
    </w:p>
    <w:p>
      <w:pPr>
        <w:pStyle w:val="ListBullet"/>
        <w:spacing w:after="30"/>
      </w:pPr>
      <w:r>
        <w:t>uv; pytest; sandboxd; Docker execution image; SQLite evidence records; React/TypeScript UI; safe JSON bundle.</w:t>
      </w:r>
    </w:p>
    <w:p>
      <w:pPr>
        <w:pStyle w:val="Heading2"/>
      </w:pPr>
      <w:r>
        <w:t>Data contracts and persisted outputs</w:t>
      </w:r>
    </w:p>
    <w:p>
      <w:pPr>
        <w:pStyle w:val="ListBullet"/>
        <w:spacing w:after="30"/>
      </w:pPr>
      <w:r>
        <w:t>Fixture YAML; world descriptor; oracle plan/result; 6 run records; witness; initial finding; evidence manifest.</w:t>
      </w:r>
    </w:p>
    <w:p>
      <w:pPr>
        <w:pStyle w:val="Heading2"/>
      </w:pPr>
      <w:r>
        <w:t>Required verification</w:t>
      </w:r>
    </w:p>
    <w:p>
      <w:pPr>
        <w:pStyle w:val="ListBullet"/>
        <w:spacing w:after="30"/>
      </w:pPr>
      <w:r>
        <w:t>End-to-end test starts from scenario ID and ends at displayed finding; fixture expected verdict passes; replayed bundle integrity verifies; negative control does not create witness.</w:t>
      </w:r>
    </w:p>
    <w:p>
      <w:pPr>
        <w:pStyle w:val="Heading2"/>
      </w:pPr>
      <w:r>
        <w:t>Edge cases that must not be hidden</w:t>
      </w:r>
    </w:p>
    <w:p>
      <w:pPr>
        <w:pStyle w:val="ListBullet"/>
        <w:spacing w:after="30"/>
      </w:pPr>
      <w:r>
        <w:t>Flaky test; reference itself fails; different failure signatures; infrastructure failure; missing artifact; mismatched source revision; fixture cache hides real repeated runs.</w:t>
      </w:r>
    </w:p>
    <w:p>
      <w:pPr>
        <w:pStyle w:val="Heading2"/>
      </w:pPr>
      <w:r>
        <w:t>Exit gate</w:t>
      </w:r>
    </w:p>
    <w:p>
      <w:r>
        <w:t>Gate B is met: a judge can inspect one complete fixture-backed differential witness. UI visibly says FIXTURE; it does not claim live repository analysis.</w:t>
      </w:r>
    </w:p>
    <w:p>
      <w:pPr>
        <w:pStyle w:val="Heading2"/>
      </w:pPr>
      <w:r>
        <w:t>Artifacts carried forward</w:t>
      </w:r>
    </w:p>
    <w:p>
      <w:pPr>
        <w:pStyle w:val="ListBullet"/>
        <w:spacing w:after="30"/>
      </w:pPr>
      <w:r>
        <w:t>First end-to-end pipeline and an evidence-backed, repeatable finding.</w:t>
      </w:r>
    </w:p>
    <w:p>
      <w:pPr>
        <w:pStyle w:val="Heading1"/>
      </w:pPr>
      <w:r>
        <w:t>Phase 2 — Pinned public repository ingestion</w:t>
      </w:r>
    </w:p>
    <w:p>
      <w:r>
        <w:rPr>
          <w:b/>
        </w:rPr>
        <w:t>Release point:</w:t>
      </w:r>
      <w:r>
        <w:t xml:space="preserve"> Live input / first real-world path</w:t>
      </w:r>
    </w:p>
    <w:p>
      <w:r>
        <w:rPr>
          <w:b/>
        </w:rPr>
        <w:t>Goal:</w:t>
      </w:r>
      <w:r>
        <w:t xml:space="preserve"> Replace fixture-only source inputs with actual public GitHub snapshots while keeping the downstream pipeline unchanged.</w:t>
      </w:r>
    </w:p>
    <w:p>
      <w:r>
        <w:rPr>
          <w:b/>
        </w:rPr>
        <w:t>Entry conditions:</w:t>
      </w:r>
      <w:r>
        <w:t xml:space="preserve"> Phase 1 works from fixed fixture IDs; sandbox contract is mandatory.</w:t>
      </w:r>
    </w:p>
    <w:p>
      <w:pPr>
        <w:pStyle w:val="Heading2"/>
      </w:pPr>
      <w:r>
        <w:t>Sub-phases</w:t>
      </w:r>
    </w:p>
    <w:p>
      <w:pPr>
        <w:pStyle w:val="Heading3"/>
      </w:pPr>
      <w:r>
        <w:t>2.1 Input and ref resolution</w:t>
      </w:r>
    </w:p>
    <w:p>
      <w:pPr>
        <w:pStyle w:val="ListBullet"/>
        <w:spacing w:after="30"/>
      </w:pPr>
      <w:r>
        <w:t>Validate supported GitHub URL forms; reject local paths, credentials in URL, unexpected schemes and malformed refs.</w:t>
      </w:r>
    </w:p>
    <w:p>
      <w:pPr>
        <w:pStyle w:val="ListBullet"/>
        <w:spacing w:after="30"/>
      </w:pPr>
      <w:r>
        <w:t>Resolve requested branch/tag/default ref to a commit SHA once; persist requested ref and pinned SHA separately.</w:t>
      </w:r>
    </w:p>
    <w:p>
      <w:pPr>
        <w:pStyle w:val="ListBullet"/>
        <w:spacing w:after="30"/>
      </w:pPr>
      <w:r>
        <w:t>Every subsequent operation fetches the pinned SHA, never the moving branch/tag.</w:t>
      </w:r>
    </w:p>
    <w:p>
      <w:pPr>
        <w:pStyle w:val="Heading3"/>
      </w:pPr>
      <w:r>
        <w:t>2.2 Restricted fetch</w:t>
      </w:r>
    </w:p>
    <w:p>
      <w:pPr>
        <w:pStyle w:val="ListBullet"/>
        <w:spacing w:after="30"/>
      </w:pPr>
      <w:r>
        <w:t>Fetch in isolated fetch zone with controlled HOME, disabled system/global Git config, bounded size/time and no hooks.</w:t>
      </w:r>
    </w:p>
    <w:p>
      <w:pPr>
        <w:pStyle w:val="ListBullet"/>
        <w:spacing w:after="30"/>
      </w:pPr>
      <w:r>
        <w:t>Do not execute build steps during ingestion; do not recursively fetch submodules by default.</w:t>
      </w:r>
    </w:p>
    <w:p>
      <w:pPr>
        <w:pStyle w:val="ListBullet"/>
        <w:spacing w:after="30"/>
      </w:pPr>
      <w:r>
        <w:t>Apply repository size, file-count, path-length and symlink policies.</w:t>
      </w:r>
    </w:p>
    <w:p>
      <w:pPr>
        <w:pStyle w:val="Heading3"/>
      </w:pPr>
      <w:r>
        <w:t>2.3 Immutable snapshot</w:t>
      </w:r>
    </w:p>
    <w:p>
      <w:pPr>
        <w:pStyle w:val="ListBullet"/>
        <w:spacing w:after="30"/>
      </w:pPr>
      <w:r>
        <w:t>Persist snapshot metadata and file inventory with content hashes; symlinks remain metadata and are not followed.</w:t>
      </w:r>
    </w:p>
    <w:p>
      <w:pPr>
        <w:pStyle w:val="ListBullet"/>
        <w:spacing w:after="30"/>
      </w:pPr>
      <w:r>
        <w:t>Represent Git LFS pointer, submodule, unavailable file and unsupported path explicitly.</w:t>
      </w:r>
    </w:p>
    <w:p>
      <w:pPr>
        <w:pStyle w:val="ListBullet"/>
        <w:spacing w:after="30"/>
      </w:pPr>
      <w:r>
        <w:t>Cache by canonical repository + SHA; new SHA creates new snapshot rather than overwriting historical evidence.</w:t>
      </w:r>
    </w:p>
    <w:p>
      <w:pPr>
        <w:pStyle w:val="Heading3"/>
      </w:pPr>
      <w:r>
        <w:t>2.4 API/UI integration</w:t>
      </w:r>
    </w:p>
    <w:p>
      <w:pPr>
        <w:pStyle w:val="ListBullet"/>
        <w:spacing w:after="30"/>
      </w:pPr>
      <w:r>
        <w:t>Add repository submission and snapshot status to existing UI; job progress is persisted.</w:t>
      </w:r>
    </w:p>
    <w:p>
      <w:pPr>
        <w:pStyle w:val="ListBullet"/>
        <w:spacing w:after="30"/>
      </w:pPr>
      <w:r>
        <w:t>Show pinned SHA and file inventory before resolving dependencies.</w:t>
      </w:r>
    </w:p>
    <w:p>
      <w:pPr>
        <w:pStyle w:val="ListBullet"/>
        <w:spacing w:after="30"/>
      </w:pPr>
      <w:r>
        <w:t>Retry rate-limit/network failures without changing the selected SHA.</w:t>
      </w:r>
    </w:p>
    <w:p>
      <w:pPr>
        <w:pStyle w:val="Heading2"/>
      </w:pPr>
      <w:r>
        <w:t>Resources and implementation choices</w:t>
      </w:r>
    </w:p>
    <w:p>
      <w:pPr>
        <w:pStyle w:val="ListBullet"/>
        <w:spacing w:after="30"/>
      </w:pPr>
      <w:r>
        <w:t>Git CLI/API in fetch image; hardened path utilities; content hashing; repository/snapshot/snapshot_file schema.</w:t>
      </w:r>
    </w:p>
    <w:p>
      <w:pPr>
        <w:pStyle w:val="Heading2"/>
      </w:pPr>
      <w:r>
        <w:t>Data contracts and persisted outputs</w:t>
      </w:r>
    </w:p>
    <w:p>
      <w:pPr>
        <w:pStyle w:val="ListBullet"/>
        <w:spacing w:after="30"/>
      </w:pPr>
      <w:r>
        <w:t>Repository URL/ref; pinned SHA; immutable snapshot; inventory diagnostics; ingestion job status.</w:t>
      </w:r>
    </w:p>
    <w:p>
      <w:pPr>
        <w:pStyle w:val="Heading2"/>
      </w:pPr>
      <w:r>
        <w:t>Required verification</w:t>
      </w:r>
    </w:p>
    <w:p>
      <w:pPr>
        <w:pStyle w:val="ListBullet"/>
        <w:spacing w:after="30"/>
      </w:pPr>
      <w:r>
        <w:t>Moving-tag test creates a new snapshot; path traversal/symlink/LFS/submodule tests; rate-limit status is retryable; UI shows exact SHA.</w:t>
      </w:r>
    </w:p>
    <w:p>
      <w:pPr>
        <w:pStyle w:val="Heading2"/>
      </w:pPr>
      <w:r>
        <w:t>Edge cases that must not be hidden</w:t>
      </w:r>
    </w:p>
    <w:p>
      <w:pPr>
        <w:pStyle w:val="ListBullet"/>
        <w:spacing w:after="30"/>
      </w:pPr>
      <w:r>
        <w:t>Deleted/private repo; rate limits; tag moved; huge repo; invalid UTF-8 path; symlink escape; nested submodule; Git config injection.</w:t>
      </w:r>
    </w:p>
    <w:p>
      <w:pPr>
        <w:pStyle w:val="Heading2"/>
      </w:pPr>
      <w:r>
        <w:t>Exit gate</w:t>
      </w:r>
    </w:p>
    <w:p>
      <w:r>
        <w:t>A real public repository can be submitted and inspected at a pinned SHA; fixture pipeline still works unchanged.</w:t>
      </w:r>
    </w:p>
    <w:p>
      <w:pPr>
        <w:pStyle w:val="Heading2"/>
      </w:pPr>
      <w:r>
        <w:t>Artifacts carried forward</w:t>
      </w:r>
    </w:p>
    <w:p>
      <w:pPr>
        <w:pStyle w:val="ListBullet"/>
        <w:spacing w:after="30"/>
      </w:pPr>
      <w:r>
        <w:t>Pinned repository snapshots and bounded inventory.</w:t>
      </w:r>
    </w:p>
    <w:p>
      <w:pPr>
        <w:pStyle w:val="Heading1"/>
      </w:pPr>
      <w:r>
        <w:t>Phase 3 — Python manifest parsing and native resolution</w:t>
      </w:r>
    </w:p>
    <w:p>
      <w:r>
        <w:rPr>
          <w:b/>
        </w:rPr>
        <w:t>Release point:</w:t>
      </w:r>
      <w:r>
        <w:t xml:space="preserve"> Real worlds / preparation for MVP</w:t>
      </w:r>
    </w:p>
    <w:p>
      <w:r>
        <w:rPr>
          <w:b/>
        </w:rPr>
        <w:t>Goal:</w:t>
      </w:r>
      <w:r>
        <w:t xml:space="preserve"> Create correct, provenance-rich dependency worlds from real repositories rather than manually supplied world descriptors.</w:t>
      </w:r>
    </w:p>
    <w:p>
      <w:r>
        <w:rPr>
          <w:b/>
        </w:rPr>
        <w:t>Entry conditions:</w:t>
      </w:r>
      <w:r>
        <w:t xml:space="preserve"> Phase 2; supported Python project with parseable manifest/lockfile.</w:t>
      </w:r>
    </w:p>
    <w:p>
      <w:pPr>
        <w:pStyle w:val="Heading2"/>
      </w:pPr>
      <w:r>
        <w:t>Sub-phases</w:t>
      </w:r>
    </w:p>
    <w:p>
      <w:pPr>
        <w:pStyle w:val="Heading3"/>
      </w:pPr>
      <w:r>
        <w:t>3.1 Project discovery</w:t>
      </w:r>
    </w:p>
    <w:p>
      <w:pPr>
        <w:pStyle w:val="ListBullet"/>
        <w:spacing w:after="30"/>
      </w:pPr>
      <w:r>
        <w:t>Discover one or more Python projects in a repository; distinguish repository, project/distribution name, import package and source root.</w:t>
      </w:r>
    </w:p>
    <w:p>
      <w:pPr>
        <w:pStyle w:val="ListBullet"/>
        <w:spacing w:after="30"/>
      </w:pPr>
      <w:r>
        <w:t>Recognize pyproject.toml, uv.lock, poetry.lock and supported requirements/constraints files; document exact supported formats.</w:t>
      </w:r>
    </w:p>
    <w:p>
      <w:pPr>
        <w:pStyle w:val="ListBullet"/>
        <w:spacing w:after="30"/>
      </w:pPr>
      <w:r>
        <w:t>Do not import project code or execute setup.py to discover metadata.</w:t>
      </w:r>
    </w:p>
    <w:p>
      <w:pPr>
        <w:pStyle w:val="Heading3"/>
      </w:pPr>
      <w:r>
        <w:t>3.2 Parser diagnostics</w:t>
      </w:r>
    </w:p>
    <w:p>
      <w:pPr>
        <w:pStyle w:val="ListBullet"/>
        <w:spacing w:after="30"/>
      </w:pPr>
      <w:r>
        <w:t>Parse direct dependencies, extras, environment markers, Python constraints, VCS/direct URL/local dependencies and nested `-r`/`-c` includes within snapshot root.</w:t>
      </w:r>
    </w:p>
    <w:p>
      <w:pPr>
        <w:pStyle w:val="ListBullet"/>
        <w:spacing w:after="30"/>
      </w:pPr>
      <w:r>
        <w:t>Normalize package names with PEP 503-compatible canonicalization but preserve original display name.</w:t>
      </w:r>
    </w:p>
    <w:p>
      <w:pPr>
        <w:pStyle w:val="ListBullet"/>
        <w:spacing w:after="30"/>
      </w:pPr>
      <w:r>
        <w:t>Unknown syntax, path escape, malformed lockfile and unsupported build dependency are explicit statuses.</w:t>
      </w:r>
    </w:p>
    <w:p>
      <w:pPr>
        <w:pStyle w:val="Heading3"/>
      </w:pPr>
      <w:r>
        <w:t>3.3 Native resolution</w:t>
      </w:r>
    </w:p>
    <w:p>
      <w:pPr>
        <w:pStyle w:val="ListBullet"/>
        <w:spacing w:after="30"/>
      </w:pPr>
      <w:r>
        <w:t>Prefer supported committed lockfile; otherwise resolve using pinned uv and recorded resolution time/index policy.</w:t>
      </w:r>
    </w:p>
    <w:p>
      <w:pPr>
        <w:pStyle w:val="ListBullet"/>
        <w:spacing w:after="30"/>
      </w:pPr>
      <w:r>
        <w:t>Specify Python version, OS/architecture and marker environment explicitly; capture resolver version/flags and artifact hashes.</w:t>
      </w:r>
    </w:p>
    <w:p>
      <w:pPr>
        <w:pStyle w:val="ListBullet"/>
        <w:spacing w:after="30"/>
      </w:pPr>
      <w:r>
        <w:t>Use wheels/offline wheelhouse for execution; sdist requiring unreviewed build code is classified unsupported/needs-build, not executed by default.</w:t>
      </w:r>
    </w:p>
    <w:p>
      <w:pPr>
        <w:pStyle w:val="Heading3"/>
      </w:pPr>
      <w:r>
        <w:t>3.4 Canonical world</w:t>
      </w:r>
    </w:p>
    <w:p>
      <w:pPr>
        <w:pStyle w:val="ListBullet"/>
        <w:spacing w:after="30"/>
      </w:pPr>
      <w:r>
        <w:t>World identity includes package identity/version/source/artifact hash, relevant dependency edges, runtime/platform, resolver context and visibility-relevant data.</w:t>
      </w:r>
    </w:p>
    <w:p>
      <w:pPr>
        <w:pStyle w:val="ListBullet"/>
        <w:spacing w:after="30"/>
      </w:pPr>
      <w:r>
        <w:t>Deduplicate semantically identical worlds but preserve nested or importer-specific instances when semantics differ.</w:t>
      </w:r>
    </w:p>
    <w:p>
      <w:pPr>
        <w:pStyle w:val="ListBullet"/>
        <w:spacing w:after="30"/>
      </w:pPr>
      <w:r>
        <w:t>Cache key includes manifest/lockfile hash, resolver version, platform, flags, index identity and cutoff policy.</w:t>
      </w:r>
    </w:p>
    <w:p>
      <w:pPr>
        <w:pStyle w:val="Heading3"/>
      </w:pPr>
      <w:r>
        <w:t>3.5 World inspector</w:t>
      </w:r>
    </w:p>
    <w:p>
      <w:pPr/>
      <w:r>
        <w:t>3.6 Cross-ecosystem inventory workstream — npm manifests and lockfile worlds (MUST by Gate D): parse supported package.json/package-lock.json formats, retain nested package instances, compute per-importer visibility and required dependency/relationship inventory signals. Do not execute npm lifecycle scripts or claim npm runtime compatibility in the MVP.</w:t>
      </w:r>
    </w:p>
    <w:p>
      <w:pPr/>
      <w:r>
        <w:t>3.7 Cross-ecosystem inventory workstream — Maven POM inventory (MUST by Gate D): parse supported pom.xml dependency declarations, group/artifact coordinates, direct dependency information, same-POM properties and supported in-repository parent semantics. Mark external parents, BOM imports and unsupported interpolation explicitly inconclusive/unsupported; do not claim full Maven resolution or runtime verification.</w:t>
      </w:r>
    </w:p>
    <w:p>
      <w:pPr>
        <w:pStyle w:val="ListBullet"/>
        <w:spacing w:after="30"/>
      </w:pPr>
      <w:r>
        <w:t>Expose normalized dependencies, resolution warnings and reproducibility metadata in API/UI.</w:t>
      </w:r>
    </w:p>
    <w:p>
      <w:pPr>
        <w:pStyle w:val="ListBullet"/>
        <w:spacing w:after="30"/>
      </w:pPr>
      <w:r>
        <w:t>Keep declared ranges separate from resolved versions and from actual importer-visible versions.</w:t>
      </w:r>
    </w:p>
    <w:p>
      <w:pPr>
        <w:pStyle w:val="Heading2"/>
      </w:pPr>
      <w:r>
        <w:t>Resources and implementation choices</w:t>
      </w:r>
    </w:p>
    <w:p>
      <w:pPr>
        <w:pStyle w:val="ListBullet"/>
        <w:spacing w:after="30"/>
      </w:pPr>
      <w:r>
        <w:t>tomllib; packaging; pinned uv; lockfile adapters; artifact hash verifier; content-addressed cache.</w:t>
      </w:r>
    </w:p>
    <w:p>
      <w:pPr>
        <w:pStyle w:val="Heading2"/>
      </w:pPr>
      <w:r>
        <w:t>Data contracts and persisted outputs</w:t>
      </w:r>
    </w:p>
    <w:p>
      <w:pPr>
        <w:pStyle w:val="ListBullet"/>
        <w:spacing w:after="30"/>
      </w:pPr>
      <w:r>
        <w:t>Project/manifest records; ResolvedWorld; WorldEntry; EnvProfile; resolution diagnostics; resolver provenance.</w:t>
      </w:r>
    </w:p>
    <w:p>
      <w:pPr>
        <w:pStyle w:val="Heading2"/>
      </w:pPr>
      <w:r>
        <w:t>Required verification</w:t>
      </w:r>
    </w:p>
    <w:p>
      <w:pPr>
        <w:pStyle w:val="ListBullet"/>
        <w:spacing w:after="30"/>
      </w:pPr>
      <w:r>
        <w:t>Same fixed inputs yield same world hash; marker/platform tests; nested/direct dependency cases; invalid lockfile fails explicitly; artifact hash mismatch blocks use.</w:t>
      </w:r>
    </w:p>
    <w:p>
      <w:pPr>
        <w:pStyle w:val="Heading2"/>
      </w:pPr>
      <w:r>
        <w:t>Edge cases that must not be hidden</w:t>
      </w:r>
    </w:p>
    <w:p>
      <w:pPr>
        <w:pStyle w:val="ListBullet"/>
        <w:spacing w:after="30"/>
      </w:pPr>
      <w:r>
        <w:t>Editable/local path; private index; unavailable wheel; sdist build; optional extras; marker mismatch; mutable VCS ref; same name different import module.</w:t>
      </w:r>
    </w:p>
    <w:p>
      <w:pPr>
        <w:pStyle w:val="Heading2"/>
      </w:pPr>
      <w:r>
        <w:t>Exit gate</w:t>
      </w:r>
    </w:p>
    <w:p>
      <w:r>
        <w:t>At least one real Python repository resolves reproducibly and its world can be reconstructed from recorded inputs.</w:t>
      </w:r>
    </w:p>
    <w:p>
      <w:pPr>
        <w:pStyle w:val="Heading2"/>
      </w:pPr>
      <w:r>
        <w:t>Artifacts carried forward</w:t>
      </w:r>
    </w:p>
    <w:p>
      <w:pPr>
        <w:pStyle w:val="ListBullet"/>
        <w:spacing w:after="30"/>
      </w:pPr>
      <w:r>
        <w:t>Normalized, reproducible Python worlds with diagnostics.</w:t>
      </w:r>
    </w:p>
    <w:p>
      <w:pPr>
        <w:pStyle w:val="Heading1"/>
      </w:pPr>
      <w:r>
        <w:t>Phase 4 — First Live Vertical Slice: relationship → consumer cell → witness → verdict</w:t>
      </w:r>
    </w:p>
    <w:p>
      <w:r>
        <w:t>Release point: First Live Vertical Slice / Gate C</w:t>
      </w:r>
    </w:p>
    <w:p>
      <w:r>
        <w:t>Goal: prove the first real end-to-end finding on pinned public repositories. This is an intentionally incomplete live vertical slice, not the full canonical MVP; outstanding MUST capabilities remain visible as unavailable.</w:t>
      </w:r>
    </w:p>
    <w:p>
      <w:r>
        <w:t>Entry conditions: Phases 0–3; one producer and one consumer with an evidence-backed relationship; a real, disposable execution boundary is operational before any repository/package code runs. Gate C requires the minimum execution controls in the sandbox contract (no network by default, non-root, no secrets, restricted/read-only mounts, resource/time/PID/disk limits, pinned image, process/container cleanup and explicit failure-closed capability checks). Gate E performs the broader deployment-specific adversarial and release qualification; Gate C does not claim the deployment is release-hardened.</w:t>
      </w:r>
    </w:p>
    <w:p>
      <w:pPr>
        <w:pStyle w:val="Heading2"/>
      </w:pPr>
      <w:r>
        <w:t>Sub-phases</w:t>
      </w:r>
    </w:p>
    <w:p>
      <w:pPr>
        <w:pStyle w:val="Heading3"/>
      </w:pPr>
      <w:r>
        <w:t>4.1 Relationship evidence</w:t>
      </w:r>
    </w:p>
    <w:p>
      <w:pPr>
        <w:pStyle w:val="ListBullet"/>
        <w:spacing w:after="30"/>
      </w:pPr>
      <w:r>
        <w:t>Implement master-defined relationship levels and channels; match ecosystem + normalized package identity and trace dependency/import evidence to immutable source files.</w:t>
      </w:r>
    </w:p>
    <w:p>
      <w:pPr>
        <w:pStyle w:val="ListBullet"/>
        <w:spacing w:after="30"/>
      </w:pPr>
      <w:r>
        <w:t>A same-name package or version difference is candidate evidence only; it cannot create a high-confidence actionable edge alone.</w:t>
      </w:r>
    </w:p>
    <w:p>
      <w:pPr>
        <w:pStyle w:val="ListBullet"/>
        <w:spacing w:after="30"/>
      </w:pPr>
      <w:r>
        <w:t>If automatic discovery is uncertain, show a suspected relationship with supporting/missing evidence; allow a declared relationship only if the UI labels it user-supplied and the master rules permit it.</w:t>
      </w:r>
    </w:p>
    <w:p>
      <w:pPr>
        <w:pStyle w:val="Heading3"/>
      </w:pPr>
      <w:r>
        <w:t>4.2 Reference world and consumer projection</w:t>
      </w:r>
    </w:p>
    <w:p>
      <w:pPr>
        <w:pStyle w:val="ListBullet"/>
        <w:spacing w:after="30"/>
      </w:pPr>
      <w:r>
        <w:t>Select reference according to master rules: artifact lockfile if present, otherwise manifest resolved as of artifact commit time where supported.</w:t>
      </w:r>
    </w:p>
    <w:p>
      <w:pPr>
        <w:pStyle w:val="ListBullet"/>
        <w:spacing w:after="30"/>
      </w:pPr>
      <w:r>
        <w:t>Compute artifact runtime closure and importer-visible dependency versions; project the consumer world onto relevant packages plus runtime/artifact dimensions.</w:t>
      </w:r>
    </w:p>
    <w:p>
      <w:pPr>
        <w:pStyle w:val="ListBullet"/>
        <w:spacing w:after="30"/>
      </w:pPr>
      <w:r>
        <w:t>Overlay test-only dependencies consistently without replacing runtime dependencies; environment build occurs offline from verified artifacts.</w:t>
      </w:r>
    </w:p>
    <w:p>
      <w:pPr>
        <w:pStyle w:val="Heading3"/>
      </w:pPr>
      <w:r>
        <w:t>4.3 Cell and delta</w:t>
      </w:r>
    </w:p>
    <w:p>
      <w:pPr>
        <w:pStyle w:val="ListBullet"/>
        <w:spacing w:after="30"/>
      </w:pPr>
      <w:r>
        <w:t>Build one cell per unique effective projection; preserve consumer-to-cell links and exact discovered/analyzed coverage counts.</w:t>
      </w:r>
    </w:p>
    <w:p>
      <w:pPr>
        <w:pStyle w:val="ListBullet"/>
        <w:spacing w:after="30"/>
      </w:pPr>
      <w:r>
        <w:t>Compute normalized package/runtime deltas against reference; version differences remain candidate causes, not findings.</w:t>
      </w:r>
    </w:p>
    <w:p>
      <w:pPr>
        <w:pStyle w:val="ListBullet"/>
        <w:spacing w:after="30"/>
      </w:pPr>
      <w:r>
        <w:t>If a cell cannot be built, keep it in discovered-world accounting as unsupported/failed with reason.</w:t>
      </w:r>
    </w:p>
    <w:p>
      <w:pPr>
        <w:pStyle w:val="Heading3"/>
      </w:pPr>
      <w:r>
        <w:t>4.4 Oracle execution</w:t>
      </w:r>
    </w:p>
    <w:p>
      <w:pPr>
        <w:pStyle w:val="ListBullet"/>
        <w:spacing w:after="30"/>
      </w:pPr>
      <w:r>
        <w:t>Run O-import and O-tests where applicable; same artifact revision and controlled test inputs on both sides.</w:t>
      </w:r>
    </w:p>
    <w:p>
      <w:pPr>
        <w:pStyle w:val="ListBullet"/>
        <w:spacing w:after="30"/>
      </w:pPr>
      <w:r>
        <w:t>Persist per-run output, traceback, classification and environment fingerprint.</w:t>
      </w:r>
    </w:p>
    <w:p>
      <w:pPr>
        <w:pStyle w:val="ListBullet"/>
        <w:spacing w:after="30"/>
      </w:pPr>
      <w:r>
        <w:t>Infrastructure, harness, timeout, resource and resolution failures never become compatibility witnesses.</w:t>
      </w:r>
    </w:p>
    <w:p>
      <w:pPr>
        <w:pStyle w:val="Heading3"/>
      </w:pPr>
      <w:r>
        <w:t>4.5 Witness and verdict</w:t>
      </w:r>
    </w:p>
    <w:p>
      <w:pPr>
        <w:pStyle w:val="ListBullet"/>
        <w:spacing w:after="30"/>
      </w:pPr>
      <w:r>
        <w:t>Enforce 3/3 reference pass and 3/3 consumer failure with identical normalized signature.</w:t>
      </w:r>
    </w:p>
    <w:p>
      <w:pPr>
        <w:pStyle w:val="ListBullet"/>
        <w:spacing w:after="30"/>
      </w:pPr>
      <w:r>
        <w:t>Apply the master’s ordered verdict table; use deterministic reason templates and attach relationship, world, oracle, witness and coverage evidence.</w:t>
      </w:r>
    </w:p>
    <w:p>
      <w:pPr>
        <w:pStyle w:val="ListBullet"/>
        <w:spacing w:after="30"/>
      </w:pPr>
      <w:r>
        <w:t>No divergence observed is scoped to tested worlds/oracles and is not a universal safety claim.</w:t>
      </w:r>
    </w:p>
    <w:p>
      <w:pPr>
        <w:pStyle w:val="Heading3"/>
      </w:pPr>
      <w:r>
        <w:t>4.6 Real-MVP UI</w:t>
      </w:r>
    </w:p>
    <w:p>
      <w:pPr>
        <w:pStyle w:val="ListBullet"/>
        <w:spacing w:after="30"/>
      </w:pPr>
      <w:r>
        <w:t>Submit two public repositories; show pinned SHAs, detected relationship/evidence, world matrix, exact dependency delta, witness, verdict and export.</w:t>
      </w:r>
    </w:p>
    <w:p>
      <w:pPr/>
      <w:r>
        <w:t>Gate D MUST dashboard contract and acceptance mapping: (1) funnel—API-backed E2E test asserts each stage/count and zero/partial coverage; (2) world matrix—test importer visibility, runtime/platform, cell statuses, coverage denominator, unsupported and failed cells; (3) witness detail—test all six genuinely fresh run records, normalized signature, raw/normalized output and failure taxonomy; (4) why-path—test finding-to-relationship/source-location/world-delta/oracle/verdict-predicate links and partial attribution; (5) findings list—test scoped verdicts, evidence status, filtering, empty and inconclusive results; (6) suspected tray—test positive/negative relationship evidence and prove candidates never become confirmed findings by display alone; (7) inventory graph—test repositories, nested manifests, packages, producer/consumer edges, evidence levels and unsupported nodes; (8) mode/capability indicators—contract and UI tests for LIVE/FIXTURE/REPLAY and per-ecosystem/per-oracle inventory/resolve/world/runtime states, including unavailable capabilities. Every test must use persisted API records and retained fixture/live/replay evidence; disconnected frontend mock data cannot satisfy a MUST. Test empty, unsupported, failed, inconclusive and not-applicable states for every view where they apply.</w:t>
      </w:r>
    </w:p>
    <w:p>
      <w:pPr>
        <w:pStyle w:val="ListBullet"/>
        <w:spacing w:after="30"/>
      </w:pPr>
      <w:r>
        <w:t>Show LIVE/FIXTURE/REPLAY badge and enabled capabilities; never mock a finding as live analysis.</w:t>
      </w:r>
    </w:p>
    <w:p>
      <w:pPr>
        <w:pStyle w:val="ListBullet"/>
        <w:spacing w:after="30"/>
      </w:pPr>
      <w:r>
        <w:t>Support refresh, failed job, retryable job and empty/unsupported states.</w:t>
      </w:r>
    </w:p>
    <w:p>
      <w:pPr>
        <w:pStyle w:val="Heading2"/>
      </w:pPr>
      <w:r>
        <w:t>Resources and implementation choices</w:t>
      </w:r>
    </w:p>
    <w:p>
      <w:pPr>
        <w:pStyle w:val="ListBullet"/>
        <w:spacing w:after="30"/>
      </w:pPr>
      <w:r>
        <w:t>All previous stack; relationship engine; world projection; cells/deltas; O-import/O-tests; witness verifier; pure verdict engine; typed UI.</w:t>
      </w:r>
    </w:p>
    <w:p>
      <w:pPr>
        <w:pStyle w:val="Heading2"/>
      </w:pPr>
      <w:r>
        <w:t>Data contracts and persisted outputs</w:t>
      </w:r>
    </w:p>
    <w:p>
      <w:pPr>
        <w:pStyle w:val="ListBullet"/>
        <w:spacing w:after="30"/>
      </w:pPr>
      <w:r>
        <w:t>Relationship evidence; reference/consumer worlds; cell; delta entries; oracle runs; witness; Finding; coverage counts; evidence export.</w:t>
      </w:r>
    </w:p>
    <w:p>
      <w:pPr>
        <w:pStyle w:val="Heading2"/>
      </w:pPr>
      <w:r>
        <w:t>Required verification</w:t>
      </w:r>
    </w:p>
    <w:p>
      <w:pPr>
        <w:pStyle w:val="ListBullet"/>
        <w:spacing w:after="30"/>
      </w:pPr>
      <w:r>
        <w:t>Clean-checkout end-to-end test from two public repository URLs; expected real fixture scenario reproduces; negative controls stay clean; all claims point to pinned SHAs; six-run repeatability is enforced.</w:t>
      </w:r>
    </w:p>
    <w:p>
      <w:pPr>
        <w:pStyle w:val="Heading2"/>
      </w:pPr>
      <w:r>
        <w:t>Edge cases that must not be hidden</w:t>
      </w:r>
    </w:p>
    <w:p>
      <w:pPr>
        <w:pStyle w:val="ListBullet"/>
        <w:spacing w:after="30"/>
      </w:pPr>
      <w:r>
        <w:t>No defensible relationship; artifact version ambiguity; reference cannot be reproduced; consumer world unavailable; package not visible to importer; both worlds fail; failure differs between runs.</w:t>
      </w:r>
    </w:p>
    <w:p>
      <w:pPr>
        <w:pStyle w:val="Heading2"/>
      </w:pPr>
      <w:r>
        <w:t>Exit gate</w:t>
      </w:r>
    </w:p>
    <w:p>
      <w:r>
        <w:t>Gate C is met only when one real public producer/consumer pair yields a repeatable, correctly scoped LIVE finding with traceable evidence and a negative control remains clean. Gate C does not imply PS07 MVP conformance.</w:t>
      </w:r>
    </w:p>
    <w:p>
      <w:pPr>
        <w:pStyle w:val="Heading2"/>
      </w:pPr>
      <w:r>
        <w:t>Artifacts carried forward</w:t>
      </w:r>
    </w:p>
    <w:p>
      <w:pPr>
        <w:pStyle w:val="ListBullet"/>
        <w:spacing w:after="30"/>
      </w:pPr>
      <w:r>
        <w:t>First real Faultline MVP, using real pinned inputs and a complete witness path.</w:t>
      </w:r>
    </w:p>
    <w:p>
      <w:pPr>
        <w:pStyle w:val="Heading1"/>
      </w:pPr>
      <w:r>
        <w:t>Phase 5 — Complete the MUST core: attribution, portable evidence, dashboard and operational contracts</w:t>
      </w:r>
    </w:p>
    <w:p>
      <w:r>
        <w:t>Release point: Gate D preparation; Gate D is declared only after the complete master MUST traceability matrix passes.</w:t>
      </w:r>
    </w:p>
    <w:p>
      <w:r>
        <w:t>Goal: implement the required causal attribution and portable evidence, finish the canonical MUST dashboard and operational semantics, and collect acceptance evidence for every master MUST. This phase alone does not establish Gate D unless all other MUST work in Phases 0–4 and 9–10 also passes.</w:t>
      </w:r>
    </w:p>
    <w:p>
      <w:r>
        <w:rPr>
          <w:b/>
        </w:rPr>
        <w:t>Entry conditions:</w:t>
      </w:r>
      <w:r>
        <w:t xml:space="preserve"> Phase 4 passes end-to-end; no shortcuts around repeatability or sandbox.</w:t>
      </w:r>
    </w:p>
    <w:p>
      <w:pPr>
        <w:pStyle w:val="Heading2"/>
      </w:pPr>
      <w:r>
        <w:t>Sub-phases</w:t>
      </w:r>
    </w:p>
    <w:p>
      <w:pPr>
        <w:pStyle w:val="Heading3"/>
      </w:pPr>
      <w:r>
        <w:t>5.1 Delta-debugging attribution</w:t>
      </w:r>
    </w:p>
    <w:p>
      <w:pPr>
        <w:pStyle w:val="ListBullet"/>
        <w:spacing w:after="30"/>
      </w:pPr>
      <w:r>
        <w:t>Apply master ddmin to the exact world delta; group coupled packages only when resolver metadata/constraints justify it.</w:t>
      </w:r>
    </w:p>
    <w:p>
      <w:pPr>
        <w:pStyle w:val="ListBullet"/>
        <w:spacing w:after="30"/>
      </w:pPr>
      <w:r>
        <w:t>Test necessity in both directions and require the same normalized failure signature in forced worlds.</w:t>
      </w:r>
    </w:p>
    <w:p>
      <w:pPr/>
      <w:r>
        <w:t>Two-sided ddmin acceptance (MUST): run both counterfactual directions required by the master algorithm—apply the candidate cause to the reference world and verify the normalized failure, then revert/remove it from the consumer world and verify the failure disappears. Preserve each attempted subset and outcome. If either direction cannot be built or tested, report PARTIAL/INCONCLUSIVE attribution with the exact missing direction; never label the cause fully attributed or minimal.</w:t>
      </w:r>
    </w:p>
    <w:p>
      <w:pPr>
        <w:pStyle w:val="ListBullet"/>
        <w:spacing w:after="30"/>
      </w:pPr>
      <w:r>
        <w:t>Label direct observed consumer worlds separately from forced/counterfactual worlds; report local/global minimality scope and search budget honestly.</w:t>
      </w:r>
    </w:p>
    <w:p>
      <w:pPr>
        <w:pStyle w:val="Heading3"/>
      </w:pPr>
      <w:r>
        <w:t>5.2 Evidence bundle/replay</w:t>
      </w:r>
    </w:p>
    <w:p>
      <w:pPr>
        <w:pStyle w:val="ListBullet"/>
        <w:spacing w:after="30"/>
      </w:pPr>
      <w:r>
        <w:t>Include pinned SHAs, manifests/lockfiles, world descriptors, runtime/platform, resolver versions, image digests, oracle plan, bounded raw logs, normalized signature, attribution and verdict-rule version.</w:t>
      </w:r>
    </w:p>
    <w:p>
      <w:pPr>
        <w:pStyle w:val="ListBullet"/>
        <w:spacing w:after="30"/>
      </w:pPr>
      <w:r>
        <w:t>Use content hashes and relative paths; exclude credentials, secrets, unbounded logs and unsafe executable shell text.</w:t>
      </w:r>
    </w:p>
    <w:p>
      <w:pPr/>
      <w:r>
        <w:t>Portable bundle acceptance (MUST): bundle schema has an explicit version; manifest lists every required file and SHA-256 digest; verifier rejects missing, modified, duplicate/conflicting or path-traversal entries; bundle records source SHAs, semantic world inputs, resolver/oracle/policy versions, image digest, six-run witness, signature, attribution attempts, verdict predicates and reproducibility instructions. A clean-machine replay report must distinguish exact reproduction, environment-limited replay and non-reproducibility.</w:t>
      </w:r>
    </w:p>
    <w:p>
      <w:pPr>
        <w:pStyle w:val="ListBullet"/>
        <w:spacing w:after="30"/>
      </w:pPr>
      <w:r>
        <w:t>Gate D evidence replay acceptance: verify the versioned bundle schema and integrity before replay; on the declared supported replay profile, record EXACT_REPRODUCTION, ENVIRONMENT_LIMITED or NON_REPRODUCIBLE with reasons. Missing artifacts are explicit and never silently fetched from moving refs. This proves the portable-evidence feature and does not claim release security qualification. Gate E release replay acceptance is separate: from a clean environment, deploy the release candidate and rerun release-blocking integration/security/reliability checks against the actual VM, daemon, image digests, network policy and limits; retain deployment identity, test output and cleanup evidence. Only Gate E may claim release-qualified replay/security.</w:t>
      </w:r>
    </w:p>
    <w:p>
      <w:pPr>
        <w:pStyle w:val="Heading3"/>
      </w:pPr>
      <w:r>
        <w:t>5.3 Durable worker behavior</w:t>
      </w:r>
    </w:p>
    <w:p>
      <w:pPr>
        <w:pStyle w:val="ListBullet"/>
        <w:spacing w:after="30"/>
      </w:pPr>
      <w:r>
        <w:t>Implement atomic job claiming, lease/heartbeat, bounded retries, cancellation, duplicate request idempotency and orphan sandbox cleanup.</w:t>
      </w:r>
    </w:p>
    <w:p>
      <w:pPr>
        <w:pStyle w:val="ListBullet"/>
        <w:spacing w:after="30"/>
      </w:pPr>
      <w:r>
        <w:t>Preserve partial evidence with status; retry only retryable failures and create new run records.</w:t>
      </w:r>
    </w:p>
    <w:p>
      <w:pPr>
        <w:pStyle w:val="ListBullet"/>
        <w:spacing w:after="30"/>
      </w:pPr>
      <w:r>
        <w:t>Cache invalidation incorporates parser/resolver/oracle/verdict versions.</w:t>
      </w:r>
    </w:p>
    <w:p>
      <w:pPr>
        <w:pStyle w:val="Heading3"/>
      </w:pPr>
      <w:r>
        <w:t>5.4 Observability and retention</w:t>
      </w:r>
    </w:p>
    <w:p>
      <w:pPr>
        <w:pStyle w:val="ListBullet"/>
        <w:spacing w:after="30"/>
      </w:pPr>
      <w:r>
        <w:t>Structured logs with correlation IDs and phase timing; redact auth and environment secrets.</w:t>
      </w:r>
    </w:p>
    <w:p>
      <w:pPr>
        <w:pStyle w:val="ListBullet"/>
        <w:spacing w:after="30"/>
      </w:pPr>
      <w:r>
        <w:t>Set repository, artifact, log, bundle and evidence retention limits; cleanup must not delete evidence referenced by retained findings.</w:t>
      </w:r>
    </w:p>
    <w:p>
      <w:pPr>
        <w:pStyle w:val="ListBullet"/>
        <w:spacing w:after="30"/>
      </w:pPr>
      <w:r>
        <w:t>Track queue wait, resolver time, sandbox duration, failure class and cache hit rate.</w:t>
      </w:r>
    </w:p>
    <w:p>
      <w:pPr>
        <w:pStyle w:val="Heading3"/>
      </w:pPr>
      <w:r>
        <w:t>5.5 False-positive controls</w:t>
      </w:r>
    </w:p>
    <w:p>
      <w:pPr>
        <w:pStyle w:val="ListBullet"/>
        <w:spacing w:after="30"/>
      </w:pPr>
      <w:r>
        <w:t>Add the master scenarios and negative controls; measure TP/FP/FN only against committed labels.</w:t>
      </w:r>
    </w:p>
    <w:p>
      <w:pPr>
        <w:pStyle w:val="ListBullet"/>
        <w:spacing w:after="30"/>
      </w:pPr>
      <w:r>
        <w:t>Report sample count, fixture scope and limitations; do not claim general ecosystem accuracy from a small fixture set.</w:t>
      </w:r>
    </w:p>
    <w:p>
      <w:pPr>
        <w:pStyle w:val="Heading2"/>
      </w:pPr>
      <w:r>
        <w:t>Resources and implementation choices</w:t>
      </w:r>
    </w:p>
    <w:p>
      <w:pPr>
        <w:pStyle w:val="ListBullet"/>
        <w:spacing w:after="30"/>
      </w:pPr>
      <w:r>
        <w:t>ddmin module; SHA-256 evidence manifest; sandbox replay runner; structured logging; pytest integration/security; fixture runner.</w:t>
      </w:r>
    </w:p>
    <w:p>
      <w:pPr>
        <w:pStyle w:val="Heading2"/>
      </w:pPr>
      <w:r>
        <w:t>Data contracts and persisted outputs</w:t>
      </w:r>
    </w:p>
    <w:p>
      <w:pPr>
        <w:pStyle w:val="ListBullet"/>
        <w:spacing w:after="30"/>
      </w:pPr>
      <w:r>
        <w:t>Attribution; evidence bundle; job lease/retry events; metrics; replay results; benchmark report.</w:t>
      </w:r>
    </w:p>
    <w:p>
      <w:pPr>
        <w:pStyle w:val="Heading2"/>
      </w:pPr>
      <w:r>
        <w:t>Required verification</w:t>
      </w:r>
    </w:p>
    <w:p>
      <w:pPr>
        <w:pStyle w:val="ListBullet"/>
        <w:spacing w:after="30"/>
      </w:pPr>
      <w:r>
        <w:t>Scenario D attribution matches expected package delta; corrupt bundle rejected; worker crash is recovered; cancelled sandbox removed; fixtures and negative controls pass from clean checkout.</w:t>
      </w:r>
    </w:p>
    <w:p>
      <w:pPr>
        <w:pStyle w:val="Heading2"/>
      </w:pPr>
      <w:r>
        <w:t>Edge cases that must not be hidden</w:t>
      </w:r>
    </w:p>
    <w:p>
      <w:pPr>
        <w:pStyle w:val="ListBullet"/>
        <w:spacing w:after="30"/>
      </w:pPr>
      <w:r>
        <w:t>Forced world unresolvable; ddmin non-monotonic causes; retry duplicates work; stale cache after rule change; bundle contains secrets; cleanup deletes referenced evidence.</w:t>
      </w:r>
    </w:p>
    <w:p>
      <w:pPr>
        <w:pStyle w:val="Heading2"/>
      </w:pPr>
      <w:r>
        <w:t>Exit gate</w:t>
      </w:r>
    </w:p>
    <w:p>
      <w:r>
        <w:t>Gate D may be declared only when every row in the master-to-phase MUST traceability matrix is PASS with an automated test and retained evidence artifact. A finding that can be explained/exported/replayed is necessary but not sufficient.</w:t>
      </w:r>
    </w:p>
    <w:p>
      <w:pPr>
        <w:pStyle w:val="Heading2"/>
      </w:pPr>
      <w:r>
        <w:t>Artifacts carried forward</w:t>
      </w:r>
    </w:p>
    <w:p>
      <w:pPr>
        <w:pStyle w:val="ListBullet"/>
        <w:spacing w:after="30"/>
      </w:pPr>
      <w:r>
        <w:t>Attribution and portable evidence, with resilient job execution.</w:t>
      </w:r>
    </w:p>
    <w:p>
      <w:pPr>
        <w:pStyle w:val="Heading1"/>
      </w:pPr>
      <w:r>
        <w:t>Phase 6 — Relationship quality, static API and usage/exposure</w:t>
      </w:r>
    </w:p>
    <w:p>
      <w:r>
        <w:rPr>
          <w:b/>
        </w:rPr>
        <w:t>Release point:</w:t>
      </w:r>
      <w:r>
        <w:t xml:space="preserve"> Explainability expansion</w:t>
      </w:r>
    </w:p>
    <w:p>
      <w:r>
        <w:rPr>
          <w:b/>
        </w:rPr>
        <w:t>Goal:</w:t>
      </w:r>
      <w:r>
        <w:t xml:space="preserve"> Improve the quality and prioritization of relationships and findings without replacing execution evidence.</w:t>
      </w:r>
    </w:p>
    <w:p>
      <w:r>
        <w:rPr>
          <w:b/>
        </w:rPr>
        <w:t>Entry conditions:</w:t>
      </w:r>
      <w:r>
        <w:t xml:space="preserve"> Gate D; core pipeline and source provenance stable.</w:t>
      </w:r>
    </w:p>
    <w:p>
      <w:pPr>
        <w:pStyle w:val="Heading2"/>
      </w:pPr>
      <w:r>
        <w:t>Sub-phases</w:t>
      </w:r>
    </w:p>
    <w:p>
      <w:pPr>
        <w:pStyle w:val="Heading3"/>
      </w:pPr>
      <w:r>
        <w:t>6.1 Relationship sufficiency matrix</w:t>
      </w:r>
    </w:p>
    <w:p>
      <w:pPr>
        <w:pStyle w:val="ListBullet"/>
        <w:spacing w:after="30"/>
      </w:pPr>
      <w:r>
        <w:t>Map each signal to allowed conclusion: same package name/version drift=candidate; dependency declaration/import=possible relationship; traceable artifact identity and consumer reference=stronger evidence; verified provenance and observed consumption=eligible for confirmation under master thresholds.</w:t>
      </w:r>
    </w:p>
    <w:p>
      <w:pPr>
        <w:pStyle w:val="ListBullet"/>
        <w:spacing w:after="30"/>
      </w:pPr>
      <w:r>
        <w:t>Keep suspected tray separate from actionable relationships; show evidence and missing proof.</w:t>
      </w:r>
    </w:p>
    <w:p>
      <w:pPr>
        <w:pStyle w:val="ListBullet"/>
        <w:spacing w:after="30"/>
      </w:pPr>
      <w:r>
        <w:t>Avoid name-only matches, forks, vendored code and unrelated repositories creating confirmed edges.</w:t>
      </w:r>
    </w:p>
    <w:p>
      <w:pPr>
        <w:pStyle w:val="Heading3"/>
      </w:pPr>
      <w:r>
        <w:t>6.2 Static API surface</w:t>
      </w:r>
    </w:p>
    <w:p>
      <w:pPr>
        <w:pStyle w:val="ListBullet"/>
        <w:spacing w:after="30"/>
      </w:pPr>
      <w:r>
        <w:t>Use griffe for Python API extraction and API delta with extractor/rules version; do not import target modules during static extraction.</w:t>
      </w:r>
    </w:p>
    <w:p>
      <w:pPr>
        <w:pStyle w:val="ListBullet"/>
        <w:spacing w:after="30"/>
      </w:pPr>
      <w:r>
        <w:t>Cache by artifact hash and extractor version; preserve incomplete extraction when dynamic exports or C extensions limit visibility.</w:t>
      </w:r>
    </w:p>
    <w:p>
      <w:pPr>
        <w:pStyle w:val="ListBullet"/>
        <w:spacing w:after="30"/>
      </w:pPr>
      <w:r>
        <w:t>Static delta is explanatory evidence only, not runtime proof.</w:t>
      </w:r>
    </w:p>
    <w:p>
      <w:pPr>
        <w:pStyle w:val="Heading3"/>
      </w:pPr>
      <w:r>
        <w:t>6.3 Usage/call-site index</w:t>
      </w:r>
    </w:p>
    <w:p>
      <w:pPr>
        <w:pStyle w:val="ListBullet"/>
        <w:spacing w:after="30"/>
      </w:pPr>
      <w:r>
        <w:t>Parse Python AST for imports, aliases, attribute chains and call shapes as defined in the master; preserve file hash and line/column.</w:t>
      </w:r>
    </w:p>
    <w:p>
      <w:pPr>
        <w:pStyle w:val="ListBullet"/>
        <w:spacing w:after="30"/>
      </w:pPr>
      <w:r>
        <w:t>Mark dynamic/reflection/plugin paths as UNKNOWN/DYNAMIC instead of treating them as absent.</w:t>
      </w:r>
    </w:p>
    <w:p>
      <w:pPr>
        <w:pStyle w:val="ListBullet"/>
        <w:spacing w:after="30"/>
      </w:pPr>
      <w:r>
        <w:t>Add bounded reachability and changed-symbol exposure with explicit coverage thresholds.</w:t>
      </w:r>
    </w:p>
    <w:p>
      <w:pPr>
        <w:pStyle w:val="Heading3"/>
      </w:pPr>
      <w:r>
        <w:t>6.4 Verdict integration</w:t>
      </w:r>
    </w:p>
    <w:p>
      <w:pPr>
        <w:pStyle w:val="ListBullet"/>
        <w:spacing w:after="30"/>
      </w:pPr>
      <w:r>
        <w:t>EXPOSED/POTENTIAL/NOT EXPOSED follows the master thresholds; NOT EXPOSED is forbidden when coverage is insufficient.</w:t>
      </w:r>
    </w:p>
    <w:p>
      <w:pPr>
        <w:pStyle w:val="ListBullet"/>
        <w:spacing w:after="30"/>
      </w:pPr>
      <w:r>
        <w:t>Keep static findings and witnessed runtime findings visually and semantically distinct.</w:t>
      </w:r>
    </w:p>
    <w:p>
      <w:pPr>
        <w:pStyle w:val="Heading2"/>
      </w:pPr>
      <w:r>
        <w:t>Resources and implementation choices</w:t>
      </w:r>
    </w:p>
    <w:p>
      <w:pPr>
        <w:pStyle w:val="ListBullet"/>
        <w:spacing w:after="30"/>
      </w:pPr>
      <w:r>
        <w:t>griffe; Python ast; deterministic usage index; graph adjacency/NetworkX; versioned extraction cache.</w:t>
      </w:r>
    </w:p>
    <w:p>
      <w:pPr>
        <w:pStyle w:val="Heading2"/>
      </w:pPr>
      <w:r>
        <w:t>Data contracts and persisted outputs</w:t>
      </w:r>
    </w:p>
    <w:p>
      <w:pPr>
        <w:pStyle w:val="ListBullet"/>
        <w:spacing w:after="30"/>
      </w:pPr>
      <w:r>
        <w:t>ApiDelta, usage references, exposure result, evidence paths, analysis coverage and extractor versions.</w:t>
      </w:r>
    </w:p>
    <w:p>
      <w:pPr>
        <w:pStyle w:val="Heading2"/>
      </w:pPr>
      <w:r>
        <w:t>Required verification</w:t>
      </w:r>
    </w:p>
    <w:p>
      <w:pPr>
        <w:pStyle w:val="ListBullet"/>
        <w:spacing w:after="30"/>
      </w:pPr>
      <w:r>
        <w:t>Scenario J relationship/exposure evidence; dynamic import stays uncertain; no static-only BREAK_WITNESSED; cache invalidates on source/extractor change.</w:t>
      </w:r>
    </w:p>
    <w:p>
      <w:pPr>
        <w:pStyle w:val="Heading2"/>
      </w:pPr>
      <w:r>
        <w:t>Edge cases that must not be hidden</w:t>
      </w:r>
    </w:p>
    <w:p>
      <w:pPr>
        <w:pStyle w:val="ListBullet"/>
        <w:spacing w:after="30"/>
      </w:pPr>
      <w:r>
        <w:t>Re-export, wildcard import, dynamic `getattr`, C extension, notebook magics, vendored code, generated modules, alias shadowing.</w:t>
      </w:r>
    </w:p>
    <w:p>
      <w:pPr>
        <w:pStyle w:val="Heading2"/>
      </w:pPr>
      <w:r>
        <w:t>Exit gate</w:t>
      </w:r>
    </w:p>
    <w:p>
      <w:r>
        <w:t>Static signals improve explanation and prioritization without changing the definition of a witnessed break.</w:t>
      </w:r>
    </w:p>
    <w:p>
      <w:pPr>
        <w:pStyle w:val="Heading2"/>
      </w:pPr>
      <w:r>
        <w:t>Artifacts carried forward</w:t>
      </w:r>
    </w:p>
    <w:p>
      <w:pPr>
        <w:pStyle w:val="ListBullet"/>
        <w:spacing w:after="30"/>
      </w:pPr>
      <w:r>
        <w:t>API/usage evidence with explicit uncertainty and coverage.</w:t>
      </w:r>
    </w:p>
    <w:p>
      <w:pPr>
        <w:pStyle w:val="Heading1"/>
      </w:pPr>
      <w:r>
        <w:t>Phase 7 — Expansion: contract replay and differential type checking</w:t>
      </w:r>
    </w:p>
    <w:p>
      <w:r>
        <w:rPr>
          <w:b/>
        </w:rPr>
        <w:t>Release point:</w:t>
      </w:r>
      <w:r>
        <w:t xml:space="preserve"> Behavioral depth</w:t>
      </w:r>
    </w:p>
    <w:p>
      <w:r>
        <w:rPr>
          <w:b/>
        </w:rPr>
        <w:t>Goal:</w:t>
      </w:r>
      <w:r>
        <w:t xml:space="preserve"> Detect silent data divergence and call-binding problems beyond import/test failures.</w:t>
      </w:r>
    </w:p>
    <w:p>
      <w:r>
        <w:t>Entry conditions: Gate D; contract roles and source relationships sufficiently evidenced. Gate D already contains and tests the PC-1 minimal targeted call-site extractor and O-bind behavior. This phase implements only post-MVP expansion: full usage index, broader call-site coverage, reachability/exposure analysis and expanded API-delta intersections.</w:t>
      </w:r>
    </w:p>
    <w:p>
      <w:pPr>
        <w:pStyle w:val="Heading2"/>
      </w:pPr>
      <w:r>
        <w:t>Sub-phases</w:t>
      </w:r>
    </w:p>
    <w:p>
      <w:pPr>
        <w:pStyle w:val="Heading3"/>
      </w:pPr>
      <w:r>
        <w:t>7.1 Differential typecheck</w:t>
      </w:r>
    </w:p>
    <w:p>
      <w:pPr>
        <w:pStyle w:val="ListBullet"/>
        <w:spacing w:after="30"/>
      </w:pPr>
      <w:r>
        <w:t>Pin Pyright and exact flags/interpreter; run both worlds under identical source/config.</w:t>
      </w:r>
    </w:p>
    <w:p>
      <w:pPr>
        <w:pStyle w:val="ListBullet"/>
        <w:spacing w:after="30"/>
      </w:pPr>
      <w:r>
        <w:t>Normalize diagnostics and report new/removed/changed diagnostics as a static oracle, never as runtime failure.</w:t>
      </w:r>
    </w:p>
    <w:p>
      <w:pPr>
        <w:pStyle w:val="ListBullet"/>
        <w:spacing w:after="30"/>
      </w:pPr>
      <w:r>
        <w:t>Configuration/import-resolution failure makes the oracle inconclusive.</w:t>
      </w:r>
    </w:p>
    <w:p>
      <w:pPr>
        <w:pStyle w:val="Heading3"/>
      </w:pPr>
      <w:r>
        <w:t>7.2 Expanded O-bind analysis (SHOULD; PC-1 minimal targeted extractor and required O-bind behavior are Gate D MUST)</w:t>
      </w:r>
    </w:p>
    <w:p>
      <w:pPr>
        <w:pStyle w:val="ListBullet"/>
        <w:spacing w:after="30"/>
      </w:pPr>
      <w:r>
        <w:t>Index consumer call sites and run only safe, statically supported call shapes in a fresh sandbox with networking disabled.</w:t>
      </w:r>
    </w:p>
    <w:p>
      <w:pPr>
        <w:pStyle w:val="ListBullet"/>
        <w:spacing w:after="30"/>
      </w:pPr>
      <w:r>
        <w:t>Use literal-only candidates and side-effect containment as defined in master; dynamic/star-argument sites remain unsupported.</w:t>
      </w:r>
    </w:p>
    <w:p>
      <w:pPr>
        <w:pStyle w:val="ListBullet"/>
        <w:spacing w:after="30"/>
      </w:pPr>
      <w:r>
        <w:t>Different output or binding behavior is a candidate requiring the master witness/repeatability policy.</w:t>
      </w:r>
    </w:p>
    <w:p>
      <w:pPr>
        <w:pStyle w:val="Heading3"/>
      </w:pPr>
      <w:r>
        <w:t>7.3 Contract replay</w:t>
      </w:r>
    </w:p>
    <w:p>
      <w:pPr>
        <w:pStyle w:val="ListBullet"/>
        <w:spacing w:after="30"/>
      </w:pPr>
      <w:r>
        <w:t>Use evidenced producer/consumer roles; produce serialized bytes once in producer world and feed those exact bytes to consumer world.</w:t>
      </w:r>
    </w:p>
    <w:p>
      <w:pPr>
        <w:pStyle w:val="ListBullet"/>
        <w:spacing w:after="30"/>
      </w:pPr>
      <w:r>
        <w:t>Use valid fixtures/examples first, bounded deterministic generation second; preserve input bytes and shrink steps.</w:t>
      </w:r>
    </w:p>
    <w:p>
      <w:pPr>
        <w:pStyle w:val="ListBullet"/>
        <w:spacing w:after="30"/>
      </w:pPr>
      <w:r>
        <w:t>Classify SAME, REJECTED_IN_TEST, VALUE_DIVERGENCE and infrastructure/inconclusive outcomes according to master rules.</w:t>
      </w:r>
    </w:p>
    <w:p>
      <w:pPr>
        <w:pStyle w:val="Heading3"/>
      </w:pPr>
      <w:r>
        <w:t>7.4 Cross-oracle reconciliation</w:t>
      </w:r>
    </w:p>
    <w:p>
      <w:pPr>
        <w:pStyle w:val="ListBullet"/>
        <w:spacing w:after="30"/>
      </w:pPr>
      <w:r>
        <w:t>Store each oracle independently and let the ordered verdict engine decide precedence.</w:t>
      </w:r>
    </w:p>
    <w:p>
      <w:pPr>
        <w:pStyle w:val="ListBullet"/>
        <w:spacing w:after="30"/>
      </w:pPr>
      <w:r>
        <w:t>Do not let typecheck or contract replay erase a valid repeatable runtime witness; show conflicting/inconclusive signals.</w:t>
      </w:r>
    </w:p>
    <w:p>
      <w:pPr>
        <w:pStyle w:val="Heading2"/>
      </w:pPr>
      <w:r>
        <w:t>Resources and implementation choices</w:t>
      </w:r>
    </w:p>
    <w:p>
      <w:pPr>
        <w:pStyle w:val="ListBullet"/>
        <w:spacing w:after="30"/>
      </w:pPr>
      <w:r>
        <w:t>Pinned Pyright; Python AST; safe binding harness; canonical JSON/contract harness; sandbox images.</w:t>
      </w:r>
    </w:p>
    <w:p>
      <w:pPr>
        <w:pStyle w:val="Heading2"/>
      </w:pPr>
      <w:r>
        <w:t>Data contracts and persisted outputs</w:t>
      </w:r>
    </w:p>
    <w:p>
      <w:pPr>
        <w:pStyle w:val="ListBullet"/>
        <w:spacing w:after="30"/>
      </w:pPr>
      <w:r>
        <w:t>O-typecheck/O-bind/O-contract jobs, diagnostics, payload hashes, outputs and normalized divergence evidence.</w:t>
      </w:r>
    </w:p>
    <w:p>
      <w:pPr>
        <w:pStyle w:val="Heading2"/>
      </w:pPr>
      <w:r>
        <w:t>Required verification</w:t>
      </w:r>
    </w:p>
    <w:p>
      <w:pPr>
        <w:pStyle w:val="ListBullet"/>
        <w:spacing w:after="30"/>
      </w:pPr>
      <w:r>
        <w:t>Known contract fixture reproduces with exact bytes; invalid input is rejected as invalid; O-bind side effects stay contained; same source/config across worlds.</w:t>
      </w:r>
    </w:p>
    <w:p>
      <w:pPr>
        <w:pStyle w:val="Heading2"/>
      </w:pPr>
      <w:r>
        <w:t>Edge cases that must not be hidden</w:t>
      </w:r>
    </w:p>
    <w:p>
      <w:pPr>
        <w:pStyle w:val="ListBullet"/>
        <w:spacing w:after="30"/>
      </w:pPr>
      <w:r>
        <w:t>Unstable serialization; non-JSON types; external services; dynamic calls; type checker chooses host interpreter; test input invalid for producer baseline.</w:t>
      </w:r>
    </w:p>
    <w:p>
      <w:pPr>
        <w:pStyle w:val="Heading2"/>
      </w:pPr>
      <w:r>
        <w:t>Exit gate</w:t>
      </w:r>
    </w:p>
    <w:p>
      <w:r>
        <w:t>Advanced oracle findings are repeatable, evidence-backed and distinct by type; unavailable paths remain inconclusive.</w:t>
      </w:r>
    </w:p>
    <w:p>
      <w:pPr>
        <w:pStyle w:val="Heading2"/>
      </w:pPr>
      <w:r>
        <w:t>Artifacts carried forward</w:t>
      </w:r>
    </w:p>
    <w:p>
      <w:pPr>
        <w:pStyle w:val="ListBullet"/>
        <w:spacing w:after="30"/>
      </w:pPr>
      <w:r>
        <w:t>More kinds of compatibility evidence.</w:t>
      </w:r>
    </w:p>
    <w:p>
      <w:pPr>
        <w:pStyle w:val="Heading1"/>
      </w:pPr>
      <w:r>
        <w:t>Phase 8 — Bounded what-if and verified remediation</w:t>
      </w:r>
    </w:p>
    <w:p>
      <w:r>
        <w:rPr>
          <w:b/>
        </w:rPr>
        <w:t>Release point:</w:t>
      </w:r>
      <w:r>
        <w:t xml:space="preserve"> Actionability</w:t>
      </w:r>
    </w:p>
    <w:p>
      <w:r>
        <w:rPr>
          <w:b/>
        </w:rPr>
        <w:t>Goal:</w:t>
      </w:r>
      <w:r>
        <w:t xml:space="preserve"> Recommend changes only when the proposed world resolves and the affected matrix is re-tested.</w:t>
      </w:r>
    </w:p>
    <w:p>
      <w:r>
        <w:rPr>
          <w:b/>
        </w:rPr>
        <w:t>Entry conditions:</w:t>
      </w:r>
      <w:r>
        <w:t xml:space="preserve"> Gate D; candidate cause and reproducible world construction available.</w:t>
      </w:r>
    </w:p>
    <w:p>
      <w:pPr>
        <w:pStyle w:val="Heading2"/>
      </w:pPr>
      <w:r>
        <w:t>Sub-phases</w:t>
      </w:r>
    </w:p>
    <w:p>
      <w:pPr>
        <w:pStyle w:val="Heading3"/>
      </w:pPr>
      <w:r>
        <w:t>8.1 Candidate generation</w:t>
      </w:r>
    </w:p>
    <w:p>
      <w:pPr>
        <w:pStyle w:val="ListBullet"/>
        <w:spacing w:after="30"/>
      </w:pPr>
      <w:r>
        <w:t>Use minimal cause packages, observed consumer versions and bounded satisfying versions; cap candidates (master guidance: at most six per package where applicable).</w:t>
      </w:r>
    </w:p>
    <w:p>
      <w:pPr>
        <w:pStyle w:val="ListBullet"/>
        <w:spacing w:after="30"/>
      </w:pPr>
      <w:r>
        <w:t>Do not create unbounded Cartesian products; record explored/pruned candidates and budget.</w:t>
      </w:r>
    </w:p>
    <w:p>
      <w:pPr>
        <w:pStyle w:val="ListBullet"/>
        <w:spacing w:after="30"/>
      </w:pPr>
      <w:r>
        <w:t>Native resolver validates each candidate; no custom semver approximation.</w:t>
      </w:r>
    </w:p>
    <w:p>
      <w:pPr>
        <w:pStyle w:val="Heading3"/>
      </w:pPr>
      <w:r>
        <w:t>8.2 What-if evaluation</w:t>
      </w:r>
    </w:p>
    <w:p>
      <w:pPr>
        <w:pStyle w:val="ListBullet"/>
        <w:spacing w:after="30"/>
      </w:pPr>
      <w:r>
        <w:t>Resolve candidate worlds, run minimal relevant oracle first, then full relevant matrix for promising candidates.</w:t>
      </w:r>
    </w:p>
    <w:p>
      <w:pPr>
        <w:pStyle w:val="ListBullet"/>
        <w:spacing w:after="30"/>
      </w:pPr>
      <w:r>
        <w:t>Rank deterministically by number of changes, constraints and verification completeness.</w:t>
      </w:r>
    </w:p>
    <w:p>
      <w:pPr>
        <w:pStyle w:val="ListBullet"/>
        <w:spacing w:after="30"/>
      </w:pPr>
      <w:r>
        <w:t>Search budget exhaustion returns SEARCH_INCOMPLETE, not 'no fix exists'.</w:t>
      </w:r>
    </w:p>
    <w:p>
      <w:pPr>
        <w:pStyle w:val="Heading3"/>
      </w:pPr>
      <w:r>
        <w:t>8.3 Remediation gates</w:t>
      </w:r>
    </w:p>
    <w:p>
      <w:pPr>
        <w:pStyle w:val="ListBullet"/>
        <w:spacing w:after="30"/>
      </w:pPr>
      <w:r>
        <w:t>Validate a structured manifest/constraint diff; no arbitrary shell commands or auto-push.</w:t>
      </w:r>
    </w:p>
    <w:p>
      <w:pPr>
        <w:pStyle w:val="ListBullet"/>
        <w:spacing w:after="30"/>
      </w:pPr>
      <w:r>
        <w:t>G1 resolve; G2 witness disappears; G3 affected reference/consumer oracles pass; G4 no new confirmed break in affected matrix.</w:t>
      </w:r>
    </w:p>
    <w:p>
      <w:pPr>
        <w:pStyle w:val="ListBullet"/>
        <w:spacing w:after="30"/>
      </w:pPr>
      <w:r>
        <w:t>VERIFIED only if every required gate passes and repeatability is re-established; otherwise SUGGESTED/REJECTED/INCONCLUSIVE.</w:t>
      </w:r>
    </w:p>
    <w:p>
      <w:pPr>
        <w:pStyle w:val="Heading2"/>
      </w:pPr>
      <w:r>
        <w:t>Resources and implementation choices</w:t>
      </w:r>
    </w:p>
    <w:p>
      <w:pPr>
        <w:pStyle w:val="ListBullet"/>
        <w:spacing w:after="30"/>
      </w:pPr>
      <w:r>
        <w:t>Native resolver adapters; bounded search; memoization; diff generator; full matrix/oracle pipeline.</w:t>
      </w:r>
    </w:p>
    <w:p>
      <w:pPr>
        <w:pStyle w:val="Heading2"/>
      </w:pPr>
      <w:r>
        <w:t>Data contracts and persisted outputs</w:t>
      </w:r>
    </w:p>
    <w:p>
      <w:pPr>
        <w:pStyle w:val="ListBullet"/>
        <w:spacing w:after="30"/>
      </w:pPr>
      <w:r>
        <w:t>Candidate moves, resolution records, before/after cells, gate outcomes and scoped remediation status.</w:t>
      </w:r>
    </w:p>
    <w:p>
      <w:pPr>
        <w:pStyle w:val="Heading2"/>
      </w:pPr>
      <w:r>
        <w:t>Required verification</w:t>
      </w:r>
    </w:p>
    <w:p>
      <w:pPr>
        <w:pStyle w:val="ListBullet"/>
        <w:spacing w:after="30"/>
      </w:pPr>
      <w:r>
        <w:t>Valid candidate resolves and passes; deliberately bad candidate fails; budget limit is surfaced; no stale cache counts as verification.</w:t>
      </w:r>
    </w:p>
    <w:p>
      <w:pPr>
        <w:pStyle w:val="Heading2"/>
      </w:pPr>
      <w:r>
        <w:t>Edge cases that must not be hidden</w:t>
      </w:r>
    </w:p>
    <w:p>
      <w:pPr>
        <w:pStyle w:val="ListBullet"/>
        <w:spacing w:after="30"/>
      </w:pPr>
      <w:r>
        <w:t>One consumer fixed but another breaks; package yanked; lockfile stale; mutable registry; forced world invalid; search limit reached.</w:t>
      </w:r>
    </w:p>
    <w:p>
      <w:pPr>
        <w:pStyle w:val="Heading2"/>
      </w:pPr>
      <w:r>
        <w:t>Exit gate</w:t>
      </w:r>
    </w:p>
    <w:p>
      <w:r>
        <w:t>No remediation is labelled verified without fresh evidence for the affected consumer matrix.</w:t>
      </w:r>
    </w:p>
    <w:p>
      <w:pPr>
        <w:pStyle w:val="Heading2"/>
      </w:pPr>
      <w:r>
        <w:t>Artifacts carried forward</w:t>
      </w:r>
    </w:p>
    <w:p>
      <w:pPr>
        <w:pStyle w:val="ListBullet"/>
        <w:spacing w:after="30"/>
      </w:pPr>
      <w:r>
        <w:t>Bounded and defensible remediation.</w:t>
      </w:r>
    </w:p>
    <w:p>
      <w:pPr>
        <w:pStyle w:val="Heading1"/>
      </w:pPr>
      <w:r>
        <w:t>Phase 9 — npm expansion: runtime verification beyond Gate D inventory</w:t>
      </w:r>
    </w:p>
    <w:p>
      <w:r>
        <w:rPr>
          <w:b/>
        </w:rPr>
        <w:t>Release point:</w:t>
      </w:r>
      <w:r>
        <w:t xml:space="preserve"> Ecosystem expansion 1</w:t>
      </w:r>
    </w:p>
    <w:p>
      <w:r>
        <w:rPr>
          <w:b/>
        </w:rPr>
        <w:t>Goal:</w:t>
      </w:r>
      <w:r>
        <w:t xml:space="preserve"> Add npm as an adapter, preserving its nested dependency visibility and lifecycle-script risk.</w:t>
      </w:r>
    </w:p>
    <w:p>
      <w:r>
        <w:rPr>
          <w:b/>
        </w:rPr>
        <w:t>Entry conditions:</w:t>
      </w:r>
      <w:r>
        <w:t xml:space="preserve"> Python MVP remains green; common world/oracle contracts stable.</w:t>
      </w:r>
    </w:p>
    <w:p>
      <w:pPr>
        <w:pStyle w:val="Heading2"/>
      </w:pPr>
      <w:r>
        <w:t>Sub-phases</w:t>
      </w:r>
    </w:p>
    <w:p>
      <w:pPr>
        <w:pStyle w:val="Heading3"/>
      </w:pPr>
      <w:r>
        <w:t>9.1 Inventory/resolution</w:t>
      </w:r>
    </w:p>
    <w:p>
      <w:pPr>
        <w:pStyle w:val="ListBullet"/>
        <w:spacing w:after="30"/>
      </w:pPr>
      <w:r>
        <w:t>Support exact declared lockfile versions in scope; pin Node/npm; preserve nested package instances, workspaces, aliases, peer/optional dependencies and OS/CPU filters.</w:t>
      </w:r>
    </w:p>
    <w:p>
      <w:pPr/>
      <w:r>
        <w:t>MUST by Gate D: inventory supported package.json and package-lock.json formats, retain nested package instances and lockfile integrity/source identity, compute importer-specific visibility, and emit the required dependency/relationship inventory signals. Inventory support is not npm runtime support; lifecycle scripts remain disabled and runtime execution stays deferred.</w:t>
      </w:r>
    </w:p>
    <w:p>
      <w:pPr>
        <w:pStyle w:val="ListBullet"/>
        <w:spacing w:after="30"/>
      </w:pPr>
      <w:r>
        <w:t>Do not run lifecycle scripts during metadata inventory; test exact install behavior against pinned npm before enabling any install path.</w:t>
      </w:r>
    </w:p>
    <w:p>
      <w:pPr>
        <w:pStyle w:val="ListBullet"/>
        <w:spacing w:after="30"/>
      </w:pPr>
      <w:r>
        <w:t>Unknown lockfile version or invalid peer graph is unsupported/inconclusive.</w:t>
      </w:r>
    </w:p>
    <w:p>
      <w:pPr>
        <w:pStyle w:val="Heading3"/>
      </w:pPr>
      <w:r>
        <w:t>9.2 World projection</w:t>
      </w:r>
    </w:p>
    <w:p>
      <w:pPr>
        <w:pStyle w:val="ListBullet"/>
        <w:spacing w:after="30"/>
      </w:pPr>
      <w:r>
        <w:t>Implement importer-specific `node_modules` visibility; do not flatten nested package instances into a Python-like map.</w:t>
      </w:r>
    </w:p>
    <w:p>
      <w:pPr>
        <w:pStyle w:val="ListBullet"/>
        <w:spacing w:after="30"/>
      </w:pPr>
      <w:r>
        <w:t>Record package integrity and exact source identity; maintain native lockfile semantics.</w:t>
      </w:r>
    </w:p>
    <w:p>
      <w:pPr>
        <w:pStyle w:val="ListBullet"/>
        <w:spacing w:after="30"/>
      </w:pPr>
      <w:r>
        <w:t>Use fixtures for ESM/CJS exports, nested copies and workspace links.</w:t>
      </w:r>
    </w:p>
    <w:p>
      <w:pPr>
        <w:pStyle w:val="Heading3"/>
      </w:pPr>
      <w:r>
        <w:t>9.3 Runtime oracle enablement</w:t>
      </w:r>
    </w:p>
    <w:p>
      <w:pPr>
        <w:pStyle w:val="ListBullet"/>
        <w:spacing w:after="30"/>
      </w:pPr>
      <w:r>
        <w:t>Only enable Node execution after pinned image, network isolation, script suppression and adversarial tests pass.</w:t>
      </w:r>
    </w:p>
    <w:p>
      <w:pPr>
        <w:pStyle w:val="ListBullet"/>
        <w:spacing w:after="30"/>
      </w:pPr>
      <w:r>
        <w:t>Use O-import first; add tests only when fixture-backed and repeatable.</w:t>
      </w:r>
    </w:p>
    <w:p>
      <w:pPr>
        <w:pStyle w:val="ListBullet"/>
        <w:spacing w:after="30"/>
      </w:pPr>
      <w:r>
        <w:t>Expose capability independently from inventory and relationship support.</w:t>
      </w:r>
    </w:p>
    <w:p>
      <w:pPr>
        <w:pStyle w:val="Heading2"/>
      </w:pPr>
      <w:r>
        <w:t>Resources and implementation choices</w:t>
      </w:r>
    </w:p>
    <w:p>
      <w:pPr>
        <w:pStyle w:val="ListBullet"/>
        <w:spacing w:after="30"/>
      </w:pPr>
      <w:r>
        <w:t>Pinned Node/npm; package-lock parser; dedicated sandbox image; optional pnpm/yarn adapters only with fixtures.</w:t>
      </w:r>
    </w:p>
    <w:p>
      <w:pPr>
        <w:pStyle w:val="Heading2"/>
      </w:pPr>
      <w:r>
        <w:t>Data contracts and persisted outputs</w:t>
      </w:r>
    </w:p>
    <w:p>
      <w:pPr>
        <w:pStyle w:val="ListBullet"/>
        <w:spacing w:after="30"/>
      </w:pPr>
      <w:r>
        <w:t>npm manifests/worlds/visibility; capability status; oracle runs if enabled.</w:t>
      </w:r>
    </w:p>
    <w:p>
      <w:pPr>
        <w:pStyle w:val="Heading2"/>
      </w:pPr>
      <w:r>
        <w:t>Required verification</w:t>
      </w:r>
    </w:p>
    <w:p>
      <w:pPr>
        <w:pStyle w:val="ListBullet"/>
        <w:spacing w:after="30"/>
      </w:pPr>
      <w:r>
        <w:t>Nested-version fixture and negative control pass; lifecycle scripts never run unexpectedly; world hash preserves nested visibility.</w:t>
      </w:r>
    </w:p>
    <w:p>
      <w:pPr>
        <w:pStyle w:val="Heading2"/>
      </w:pPr>
      <w:r>
        <w:t>Edge cases that must not be hidden</w:t>
      </w:r>
    </w:p>
    <w:p>
      <w:pPr>
        <w:pStyle w:val="ListBullet"/>
        <w:spacing w:after="30"/>
      </w:pPr>
      <w:r>
        <w:t>Peer conflicts; optional native binaries; registry redirect; symlink workspaces; ESM/CJS conditional exports; lifecycle scripts.</w:t>
      </w:r>
    </w:p>
    <w:p>
      <w:pPr>
        <w:pStyle w:val="Heading2"/>
      </w:pPr>
      <w:r>
        <w:t>Exit gate</w:t>
      </w:r>
    </w:p>
    <w:p>
      <w:r>
        <w:t>UI accurately distinguishes npm inventory, resolution and runtime-witness capabilities; each is enabled only after its own gate.</w:t>
      </w:r>
    </w:p>
    <w:p>
      <w:pPr>
        <w:pStyle w:val="Heading2"/>
      </w:pPr>
      <w:r>
        <w:t>Artifacts carried forward</w:t>
      </w:r>
    </w:p>
    <w:p>
      <w:pPr>
        <w:pStyle w:val="ListBullet"/>
        <w:spacing w:after="30"/>
      </w:pPr>
      <w:r>
        <w:t>A tested npm adapter without claiming Python-level parity.</w:t>
      </w:r>
    </w:p>
    <w:p>
      <w:pPr>
        <w:pStyle w:val="Heading1"/>
      </w:pPr>
      <w:r>
        <w:t>Phase 10 — Maven expansion: resolution/runtime verification beyond Gate D POM inventory</w:t>
      </w:r>
    </w:p>
    <w:p>
      <w:r>
        <w:rPr>
          <w:b/>
        </w:rPr>
        <w:t>Release point:</w:t>
      </w:r>
      <w:r>
        <w:t xml:space="preserve"> Ecosystem expansion 2</w:t>
      </w:r>
    </w:p>
    <w:p>
      <w:r>
        <w:rPr>
          <w:b/>
        </w:rPr>
        <w:t>Goal:</w:t>
      </w:r>
      <w:r>
        <w:t xml:space="preserve"> Add Java project identity and relationship discovery without arbitrary Maven lifecycle execution.</w:t>
      </w:r>
    </w:p>
    <w:p>
      <w:r>
        <w:rPr>
          <w:b/>
        </w:rPr>
        <w:t>Entry conditions:</w:t>
      </w:r>
      <w:r>
        <w:t xml:space="preserve"> Python MVP and npm adapter stable; XML parser security suite exists.</w:t>
      </w:r>
    </w:p>
    <w:p>
      <w:pPr>
        <w:pStyle w:val="Heading2"/>
      </w:pPr>
      <w:r>
        <w:t>Sub-phases</w:t>
      </w:r>
    </w:p>
    <w:p>
      <w:pPr>
        <w:pStyle w:val="Heading3"/>
      </w:pPr>
      <w:r>
        <w:t>10.1 POM inventory</w:t>
      </w:r>
    </w:p>
    <w:p>
      <w:pPr>
        <w:pStyle w:val="ListBullet"/>
        <w:spacing w:after="30"/>
      </w:pPr>
      <w:r>
        <w:t>Parse coordinates, modules, parents, properties, dependencyManagement, BOM imports, scopes and profiles only to tested semantics.</w:t>
      </w:r>
    </w:p>
    <w:p>
      <w:pPr/>
      <w:r>
        <w:t>MUST by Gate D: parse supported POM coordinates and direct dependency declarations, same-POM property interpolation and supported in-repository parent semantics; emit dependency/relationship inventory signals. External parent POMs, BOM imports and unsupported profile/model semantics must be explicitly unsupported or inconclusive. Full Maven resolution and runtime verification stay deferred.</w:t>
      </w:r>
    </w:p>
    <w:p>
      <w:pPr>
        <w:pStyle w:val="ListBullet"/>
        <w:spacing w:after="30"/>
      </w:pPr>
      <w:r>
        <w:t>Disable XML external entities; cap input bytes and nesting; record inherited/managed/unresolved provenance.</w:t>
      </w:r>
    </w:p>
    <w:p>
      <w:pPr>
        <w:pStyle w:val="ListBullet"/>
        <w:spacing w:after="30"/>
      </w:pPr>
      <w:r>
        <w:t>Resolve in-repository parents safely; external parent/BOM failure remains explicit.</w:t>
      </w:r>
    </w:p>
    <w:p>
      <w:pPr>
        <w:pStyle w:val="Heading3"/>
      </w:pPr>
      <w:r>
        <w:t>10.2 Relationship graph</w:t>
      </w:r>
    </w:p>
    <w:p>
      <w:pPr>
        <w:pStyle w:val="ListBullet"/>
        <w:spacing w:after="30"/>
      </w:pPr>
      <w:r>
        <w:t>Use groupId/artifactId and in-repo dependency evidence; preserve multi-module boundaries.</w:t>
      </w:r>
    </w:p>
    <w:p>
      <w:pPr>
        <w:pStyle w:val="ListBullet"/>
        <w:spacing w:after="30"/>
      </w:pPr>
      <w:r>
        <w:t>Treat mutable SNAPSHOT artifacts as non-reproducible unless timestamped immutable identity is captured.</w:t>
      </w:r>
    </w:p>
    <w:p>
      <w:pPr>
        <w:pStyle w:val="ListBullet"/>
        <w:spacing w:after="30"/>
      </w:pPr>
      <w:r>
        <w:t>Never infer a single project from every POM in the repository.</w:t>
      </w:r>
    </w:p>
    <w:p>
      <w:pPr>
        <w:pStyle w:val="Heading3"/>
      </w:pPr>
      <w:r>
        <w:t>10.3 Optional resolution/runtime</w:t>
      </w:r>
    </w:p>
    <w:p>
      <w:pPr>
        <w:pStyle w:val="ListBullet"/>
        <w:spacing w:after="30"/>
      </w:pPr>
      <w:r>
        <w:t>If implemented, use Maven Resolver/model-builder APIs with controlled metadata fetch; do not run arbitrary project plugins or lifecycle goals.</w:t>
      </w:r>
    </w:p>
    <w:p>
      <w:pPr>
        <w:pStyle w:val="ListBullet"/>
        <w:spacing w:after="30"/>
      </w:pPr>
      <w:r>
        <w:t>Enable Java oracle only after isolated image, pinned JDK and fixtures validate the exact operation.</w:t>
      </w:r>
    </w:p>
    <w:p>
      <w:pPr>
        <w:pStyle w:val="ListBullet"/>
        <w:spacing w:after="30"/>
      </w:pPr>
      <w:r>
        <w:t>Keep unsupported effective-model/profile semantics visible.</w:t>
      </w:r>
    </w:p>
    <w:p>
      <w:pPr>
        <w:pStyle w:val="Heading2"/>
      </w:pPr>
      <w:r>
        <w:t>Resources and implementation choices</w:t>
      </w:r>
    </w:p>
    <w:p>
      <w:pPr>
        <w:pStyle w:val="ListBullet"/>
        <w:spacing w:after="30"/>
      </w:pPr>
      <w:r>
        <w:t>Hardened XML parser; Maven model/resolver libraries only after verification; pinned JDK image for future runtime.</w:t>
      </w:r>
    </w:p>
    <w:p>
      <w:pPr>
        <w:pStyle w:val="Heading2"/>
      </w:pPr>
      <w:r>
        <w:t>Data contracts and persisted outputs</w:t>
      </w:r>
    </w:p>
    <w:p>
      <w:pPr>
        <w:pStyle w:val="ListBullet"/>
        <w:spacing w:after="30"/>
      </w:pPr>
      <w:r>
        <w:t>Maven project/module records; parent/BOM/dependency evidence; resolution capability status.</w:t>
      </w:r>
    </w:p>
    <w:p>
      <w:pPr>
        <w:pStyle w:val="Heading2"/>
      </w:pPr>
      <w:r>
        <w:t>Required verification</w:t>
      </w:r>
    </w:p>
    <w:p>
      <w:pPr>
        <w:pStyle w:val="ListBullet"/>
        <w:spacing w:after="30"/>
      </w:pPr>
      <w:r>
        <w:t>Multi-module and parent property fixtures pass; malicious XML rejected; no Maven lifecycle process starts during inventory.</w:t>
      </w:r>
    </w:p>
    <w:p>
      <w:pPr>
        <w:pStyle w:val="Heading2"/>
      </w:pPr>
      <w:r>
        <w:t>Edge cases that must not be hidden</w:t>
      </w:r>
    </w:p>
    <w:p>
      <w:pPr>
        <w:pStyle w:val="ListBullet"/>
        <w:spacing w:after="30"/>
      </w:pPr>
      <w:r>
        <w:t>Parent cycles; property interpolation cycles; remote parent outage; profiles; mirrors; SNAPSHOT mutation; classifiers.</w:t>
      </w:r>
    </w:p>
    <w:p>
      <w:pPr>
        <w:pStyle w:val="Heading2"/>
      </w:pPr>
      <w:r>
        <w:t>Exit gate</w:t>
      </w:r>
    </w:p>
    <w:p>
      <w:r>
        <w:t>Maven capability claims exactly match tested inventory/resolution/runtime support.</w:t>
      </w:r>
    </w:p>
    <w:p>
      <w:pPr>
        <w:pStyle w:val="Heading2"/>
      </w:pPr>
      <w:r>
        <w:t>Artifacts carried forward</w:t>
      </w:r>
    </w:p>
    <w:p>
      <w:pPr>
        <w:pStyle w:val="ListBullet"/>
        <w:spacing w:after="30"/>
      </w:pPr>
      <w:r>
        <w:t>Safe Maven inventory and progressively validated support.</w:t>
      </w:r>
    </w:p>
    <w:p>
      <w:pPr>
        <w:pStyle w:val="Heading1"/>
      </w:pPr>
      <w:r>
        <w:t>Phase 11 — MVP conformance audit, release hardening and measured scale readiness</w:t>
      </w:r>
    </w:p>
    <w:p>
      <w:r>
        <w:rPr>
          <w:b/>
        </w:rPr>
        <w:t>Release point:</w:t>
      </w:r>
      <w:r>
        <w:t xml:space="preserve"> Release / Gate E</w:t>
      </w:r>
    </w:p>
    <w:p>
      <w:r>
        <w:rPr>
          <w:b/>
        </w:rPr>
        <w:t>Goal:</w:t>
      </w:r>
      <w:r>
        <w:t xml:space="preserve"> Prove the product is reproducible, measurable and resilient at the supported scale before making broader claims.</w:t>
      </w:r>
    </w:p>
    <w:p>
      <w:r>
        <w:rPr>
          <w:b/>
        </w:rPr>
        <w:t>Entry conditions:</w:t>
      </w:r>
      <w:r>
        <w:t xml:space="preserve"> All shipped capabilities have fixture tests and explicit capability status.</w:t>
      </w:r>
    </w:p>
    <w:p>
      <w:pPr>
        <w:pStyle w:val="Heading2"/>
      </w:pPr>
      <w:r>
        <w:t>Sub-phases</w:t>
      </w:r>
    </w:p>
    <w:p>
      <w:pPr>
        <w:pStyle w:val="Heading3"/>
      </w:pPr>
      <w:r>
        <w:t>11.1 Traceability</w:t>
      </w:r>
    </w:p>
    <w:p>
      <w:pPr>
        <w:pStyle w:val="ListBullet"/>
        <w:spacing w:after="30"/>
      </w:pPr>
      <w:r>
        <w:t>Create a PS07 traceability matrix: requirement → phase → API/model → fixture → acceptance command/result → UI representation.</w:t>
      </w:r>
    </w:p>
    <w:p>
      <w:pPr>
        <w:pStyle w:val="ListBullet"/>
        <w:spacing w:after="30"/>
      </w:pPr>
      <w:r>
        <w:t>Every MUST requirement must map to an automated test or an explicitly documented manual verification.</w:t>
      </w:r>
    </w:p>
    <w:p>
      <w:pPr>
        <w:pStyle w:val="ListBullet"/>
        <w:spacing w:after="30"/>
      </w:pPr>
      <w:r>
        <w:t>Run a formal consistency pass against the master specification; no unapproved schema or verdict-rule divergence.</w:t>
      </w:r>
    </w:p>
    <w:p>
      <w:pPr>
        <w:pStyle w:val="Heading3"/>
      </w:pPr>
      <w:r>
        <w:t>11.2 Evaluation protocol</w:t>
      </w:r>
    </w:p>
    <w:p>
      <w:pPr>
        <w:pStyle w:val="ListBullet"/>
        <w:spacing w:after="30"/>
      </w:pPr>
      <w:r>
        <w:t>Compute TP/FP/FN only against committed labelled fixtures; include negative controls and sample size.</w:t>
      </w:r>
    </w:p>
    <w:p>
      <w:pPr>
        <w:pStyle w:val="ListBullet"/>
        <w:spacing w:after="30"/>
      </w:pPr>
      <w:r>
        <w:t>Measure fixture reproducibility, eligible world coverage, inconclusive/unsupported rate, evidence completeness, end-to-end latency, p50/p95 phase latency, memory/disk and cache hit rate.</w:t>
      </w:r>
    </w:p>
    <w:p>
      <w:pPr>
        <w:pStyle w:val="ListBullet"/>
        <w:spacing w:after="30"/>
      </w:pPr>
      <w:r>
        <w:t>Do not invent accuracy targets before measuring a baseline; publish denominators and limitations.</w:t>
      </w:r>
    </w:p>
    <w:p>
      <w:pPr>
        <w:pStyle w:val="Heading3"/>
      </w:pPr>
      <w:r>
        <w:t>11.3 Security release gate</w:t>
      </w:r>
    </w:p>
    <w:p>
      <w:pPr/>
      <w:r>
        <w:t>Gate E release-blocking integration test against the actual deployed configuration: verify the disposable VM boundary; Docker daemon socket, privileges and configuration; pinned image digests and provenance; network namespace and egress policy; CPU, memory, PID, disk and wall-clock limits; non-root execution, read-only mounts, dropped capabilities and seccomp; absence of secrets in the execution VM; and cleanup of orphaned containers/processes after parent crash and cancellation. Test the real deployment, not only profile objects or mocks. If any required control is absent or unverifiable, disable arbitrary-code execution and report the capability unavailable.</w:t>
      </w:r>
    </w:p>
    <w:p>
      <w:pPr>
        <w:pStyle w:val="ListBullet"/>
        <w:spacing w:after="30"/>
      </w:pPr>
      <w:r>
        <w:t>Test archive traversal, symlinks/hard links, decompression bombs, network egress, cloud metadata/internal endpoint access, resource exhaustion, orphan cleanup, output flood and secret leakage.</w:t>
      </w:r>
    </w:p>
    <w:p>
      <w:pPr>
        <w:pStyle w:val="ListBullet"/>
        <w:spacing w:after="30"/>
      </w:pPr>
      <w:r>
        <w:t>Run tests against the exact Docker daemon, images, VM and policy used for the demonstration.</w:t>
      </w:r>
    </w:p>
    <w:p>
      <w:pPr>
        <w:pStyle w:val="ListBullet"/>
        <w:spacing w:after="30"/>
      </w:pPr>
      <w:r>
        <w:t>If a security control cannot be validated in the deployment environment, disable the execution capability or use a tested isolated VM; do not silently weaken controls.</w:t>
      </w:r>
    </w:p>
    <w:p>
      <w:pPr>
        <w:pStyle w:val="Heading3"/>
      </w:pPr>
      <w:r>
        <w:t>11.4 Concurrency and scale</w:t>
      </w:r>
    </w:p>
    <w:p>
      <w:pPr>
        <w:pStyle w:val="ListBullet"/>
        <w:spacing w:after="30"/>
      </w:pPr>
      <w:r>
        <w:t>Test duplicate submissions, worker crashes, lease expiry, queue backpressure, SQLite contention, cache stampede and concurrent evidence writes.</w:t>
      </w:r>
    </w:p>
    <w:p>
      <w:pPr>
        <w:pStyle w:val="ListBullet"/>
        <w:spacing w:after="30"/>
      </w:pPr>
      <w:r>
        <w:t>Define measurable migration trigger to PostgreSQL: multi-host workers, repeated `database is locked`, or sustained write contention beyond the tested envelope.</w:t>
      </w:r>
    </w:p>
    <w:p>
      <w:pPr>
        <w:pStyle w:val="ListBullet"/>
        <w:spacing w:after="30"/>
      </w:pPr>
      <w:r>
        <w:t>Keep blob storage behind an interface; migrate evidence blobs to object storage only when size/retention requires it.</w:t>
      </w:r>
    </w:p>
    <w:p>
      <w:pPr>
        <w:pStyle w:val="Heading3"/>
      </w:pPr>
      <w:r>
        <w:t>11.5 Release and replay</w:t>
      </w:r>
    </w:p>
    <w:p>
      <w:pPr>
        <w:pStyle w:val="ListBullet"/>
        <w:spacing w:after="30"/>
      </w:pPr>
      <w:r>
        <w:t>Pin toolchain/image digests; generate release manifest from CI; run clean-checkout fixture and end-to-end tests.</w:t>
      </w:r>
    </w:p>
    <w:p>
      <w:pPr>
        <w:pStyle w:val="ListBullet"/>
        <w:spacing w:after="30"/>
      </w:pPr>
      <w:r>
        <w:t>REPLAY must display recorded evidence without Docker/network; execution rerun must be disabled and clearly labelled if prerequisites are unavailable.</w:t>
      </w:r>
    </w:p>
    <w:p>
      <w:pPr>
        <w:pStyle w:val="ListBullet"/>
        <w:spacing w:after="30"/>
      </w:pPr>
      <w:r>
        <w:t>Bundle import validates schema version, hashes, paths and size limits before use.</w:t>
      </w:r>
    </w:p>
    <w:p>
      <w:pPr>
        <w:pStyle w:val="Heading2"/>
      </w:pPr>
      <w:r>
        <w:t>Resources and implementation choices</w:t>
      </w:r>
    </w:p>
    <w:p>
      <w:pPr>
        <w:pStyle w:val="ListBullet"/>
        <w:spacing w:after="30"/>
      </w:pPr>
      <w:r>
        <w:t>Fixture benchmark runner; security test suite; load/concurrency tests; CI release manifest; PostgreSQL migration path documented; object-store adapter interface.</w:t>
      </w:r>
    </w:p>
    <w:p>
      <w:pPr>
        <w:pStyle w:val="Heading2"/>
      </w:pPr>
      <w:r>
        <w:t>Data contracts and persisted outputs</w:t>
      </w:r>
    </w:p>
    <w:p>
      <w:pPr>
        <w:pStyle w:val="ListBullet"/>
        <w:spacing w:after="30"/>
      </w:pPr>
      <w:r>
        <w:t>PS07 traceability matrix; measured evaluation report; release manifest; security report; replay bundle.</w:t>
      </w:r>
    </w:p>
    <w:p>
      <w:pPr>
        <w:pStyle w:val="Heading2"/>
      </w:pPr>
      <w:r>
        <w:t>Required verification</w:t>
      </w:r>
    </w:p>
    <w:p>
      <w:pPr>
        <w:pStyle w:val="ListBullet"/>
        <w:spacing w:after="30"/>
      </w:pPr>
      <w:r>
        <w:t>Gate D evidence: machine-readable conformance report lists every canonical MUST with test command, result and retained artifact; portable bundle integrity and supported replay outcome are recorded. Gate E evidence: clean-checkout CI, release-deployment security/reliability tests, actual-boundary verification, orphan cleanup, and clean release-environment replay are all green. A Gate D pass alone must not be described as release-hardened.</w:t>
      </w:r>
    </w:p>
    <w:p>
      <w:pPr>
        <w:pStyle w:val="Heading2"/>
      </w:pPr>
      <w:r>
        <w:t>Edge cases that must not be hidden</w:t>
      </w:r>
    </w:p>
    <w:p>
      <w:pPr>
        <w:pStyle w:val="ListBullet"/>
        <w:spacing w:after="30"/>
      </w:pPr>
      <w:r>
        <w:t>Tiny benchmark overclaimed; flaky fixtures omitted from denominator; Docker unavailable; database lock contention; corrupted bundle; image tag changed after release.</w:t>
      </w:r>
    </w:p>
    <w:p>
      <w:pPr>
        <w:pStyle w:val="Heading2"/>
      </w:pPr>
      <w:r>
        <w:t>Exit gate</w:t>
      </w:r>
    </w:p>
    <w:p>
      <w:r>
        <w:t>Gate D (MVP conformance) is met only if every canonical MUST row in the traceability matrix is PASS with test command/result and retained evidence. Gate E (release hardening) is a separate decision requiring deployment-boundary, security, regression, reliability and clean-machine replay checks. SHOULD/NICE expansion is assessed independently and cannot substitute for a MUST.</w:t>
      </w:r>
    </w:p>
    <w:p>
      <w:pPr>
        <w:pStyle w:val="Heading2"/>
      </w:pPr>
      <w:r>
        <w:t>Artifacts carried forward</w:t>
      </w:r>
    </w:p>
    <w:p>
      <w:pPr>
        <w:pStyle w:val="ListBullet"/>
        <w:spacing w:after="30"/>
      </w:pPr>
      <w:r>
        <w:t>Auditable release package and measurable scale/readiness boundaries.</w:t>
      </w:r>
    </w:p>
    <w:p>
      <w:r>
        <w:br w:type="page"/>
      </w:r>
    </w:p>
    <w:p>
      <w:pPr>
        <w:pStyle w:val="Heading1"/>
      </w:pPr>
      <w:r>
        <w:t>5. Critical-path dependency graph</w:t>
      </w:r>
    </w:p>
    <w:p>
      <w:r>
        <w:t>Gate C critical path: Phase 0 → Phase 1 → Phase 2 → Phase 3 → Phase 4. Gate D additionally requires Phase 5 attribution/evidence, PC-1 minimal O-bind and PC-4/PC-5/PC-10 acceptance cases, cross-ecosystem inventory work explicitly marked MUST in Phase 3 sub-phases 3.6/3.7, all API-backed dashboard tests, and the conformance report in Phase 11. Phase 6's full usage index and broad exposure analysis, Phase 9 npm runtime execution, and Phase 10 full Maven resolution/runtime verification are expansion work and are not hidden Gate D prerequisites.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DCE7EE"/>
          </w:tcPr>
          <w:p>
            <w:r>
              <w:rPr>
                <w:b/>
                <w:sz w:val="16"/>
              </w:rPr>
              <w:t>Phase</w:t>
            </w:r>
          </w:p>
        </w:tc>
        <w:tc>
          <w:tcPr>
            <w:tcW w:type="dxa" w:w="2160"/>
            <w:shd w:fill="DCE7EE"/>
          </w:tcPr>
          <w:p>
            <w:r>
              <w:rPr>
                <w:b/>
                <w:sz w:val="16"/>
              </w:rPr>
              <w:t>Must depend on</w:t>
            </w:r>
          </w:p>
        </w:tc>
        <w:tc>
          <w:tcPr>
            <w:tcW w:type="dxa" w:w="6480"/>
            <w:shd w:fill="DCE7EE"/>
          </w:tcPr>
          <w:p>
            <w:r>
              <w:rPr>
                <w:b/>
                <w:sz w:val="16"/>
              </w:rPr>
              <w:t>Can proceed in parallel only if</w:t>
            </w:r>
          </w:p>
        </w:tc>
      </w:tr>
      <w:tr>
        <w:tc>
          <w:tcPr>
            <w:tcW w:type="dxa" w:w="2088"/>
            <w:vAlign w:val="center"/>
          </w:tcPr>
          <w:p>
            <w:pPr>
              <w:spacing w:after="20"/>
            </w:pPr>
            <w:r>
              <w:rPr>
                <w:sz w:val="15"/>
              </w:rPr>
              <w:t>0 Bootstrap/contracts</w:t>
            </w:r>
          </w:p>
        </w:tc>
        <w:tc>
          <w:tcPr>
            <w:tcW w:type="dxa" w:w="2160"/>
            <w:vAlign w:val="center"/>
          </w:tcPr>
          <w:p>
            <w:pPr>
              <w:spacing w:after="20"/>
            </w:pPr>
            <w:r>
              <w:rPr>
                <w:sz w:val="15"/>
              </w:rPr>
              <w:t>None</w:t>
            </w:r>
          </w:p>
        </w:tc>
        <w:tc>
          <w:tcPr>
            <w:tcW w:type="dxa" w:w="6480"/>
            <w:vAlign w:val="center"/>
          </w:tcPr>
          <w:p>
            <w:pPr>
              <w:spacing w:after="20"/>
            </w:pPr>
            <w:r>
              <w:rPr>
                <w:sz w:val="15"/>
              </w:rPr>
              <w:t>Nothing; this is the contract and runtime foundation.</w:t>
            </w:r>
          </w:p>
        </w:tc>
      </w:tr>
      <w:tr>
        <w:tc>
          <w:tcPr>
            <w:tcW w:type="dxa" w:w="2088"/>
            <w:vAlign w:val="center"/>
          </w:tcPr>
          <w:p>
            <w:pPr>
              <w:spacing w:after="20"/>
            </w:pPr>
            <w:r>
              <w:rPr>
                <w:sz w:val="15"/>
              </w:rPr>
              <w:t>1 Fixture differential proof</w:t>
            </w:r>
          </w:p>
        </w:tc>
        <w:tc>
          <w:tcPr>
            <w:tcW w:type="dxa" w:w="2160"/>
            <w:vAlign w:val="center"/>
          </w:tcPr>
          <w:p>
            <w:pPr>
              <w:spacing w:after="20"/>
            </w:pPr>
            <w:r>
              <w:rPr>
                <w:sz w:val="15"/>
              </w:rPr>
              <w:t>0</w:t>
            </w:r>
          </w:p>
        </w:tc>
        <w:tc>
          <w:tcPr>
            <w:tcW w:type="dxa" w:w="6480"/>
            <w:vAlign w:val="center"/>
          </w:tcPr>
          <w:p>
            <w:pPr>
              <w:spacing w:after="20"/>
            </w:pPr>
            <w:r>
              <w:rPr>
                <w:sz w:val="15"/>
              </w:rPr>
              <w:t>Fixture authoring may begin earlier, but expected outcomes must be independently verified.</w:t>
            </w:r>
          </w:p>
        </w:tc>
      </w:tr>
      <w:tr>
        <w:tc>
          <w:tcPr>
            <w:tcW w:type="dxa" w:w="2088"/>
            <w:vAlign w:val="center"/>
          </w:tcPr>
          <w:p>
            <w:pPr>
              <w:spacing w:after="20"/>
            </w:pPr>
            <w:r>
              <w:rPr>
                <w:sz w:val="15"/>
              </w:rPr>
              <w:t>2 Git ingestion</w:t>
            </w:r>
          </w:p>
        </w:tc>
        <w:tc>
          <w:tcPr>
            <w:tcW w:type="dxa" w:w="2160"/>
            <w:vAlign w:val="center"/>
          </w:tcPr>
          <w:p>
            <w:pPr>
              <w:spacing w:after="20"/>
            </w:pPr>
            <w:r>
              <w:rPr>
                <w:sz w:val="15"/>
              </w:rPr>
              <w:t>0, 1</w:t>
            </w:r>
          </w:p>
        </w:tc>
        <w:tc>
          <w:tcPr>
            <w:tcW w:type="dxa" w:w="6480"/>
            <w:vAlign w:val="center"/>
          </w:tcPr>
          <w:p>
            <w:pPr>
              <w:spacing w:after="20"/>
            </w:pPr>
            <w:r>
              <w:rPr>
                <w:sz w:val="15"/>
              </w:rPr>
              <w:t>Fixture proof remains runnable and the sandbox boundary already exists.</w:t>
            </w:r>
          </w:p>
        </w:tc>
      </w:tr>
      <w:tr>
        <w:tc>
          <w:tcPr>
            <w:tcW w:type="dxa" w:w="2088"/>
            <w:vAlign w:val="center"/>
          </w:tcPr>
          <w:p>
            <w:pPr>
              <w:spacing w:after="20"/>
            </w:pPr>
            <w:r>
              <w:rPr>
                <w:sz w:val="15"/>
              </w:rPr>
              <w:t>3 Python parse/resolve</w:t>
            </w:r>
          </w:p>
        </w:tc>
        <w:tc>
          <w:tcPr>
            <w:tcW w:type="dxa" w:w="2160"/>
            <w:vAlign w:val="center"/>
          </w:tcPr>
          <w:p>
            <w:pPr>
              <w:spacing w:after="20"/>
            </w:pPr>
            <w:r>
              <w:rPr>
                <w:sz w:val="15"/>
              </w:rPr>
              <w:t>0, 2</w:t>
            </w:r>
          </w:p>
        </w:tc>
        <w:tc>
          <w:tcPr>
            <w:tcW w:type="dxa" w:w="6480"/>
            <w:vAlign w:val="center"/>
          </w:tcPr>
          <w:p>
            <w:pPr>
              <w:spacing w:after="20"/>
            </w:pPr>
            <w:r>
              <w:rPr>
                <w:sz w:val="15"/>
              </w:rPr>
              <w:t>Parser unit tests can be developed from fixtures before live ingestion is complete.</w:t>
            </w:r>
          </w:p>
        </w:tc>
      </w:tr>
      <w:tr>
        <w:tc>
          <w:tcPr>
            <w:tcW w:type="dxa" w:w="2088"/>
            <w:vAlign w:val="center"/>
          </w:tcPr>
          <w:p>
            <w:r>
              <w:t>4 First Live Vertical Slice</w:t>
            </w:r>
          </w:p>
        </w:tc>
        <w:tc>
          <w:tcPr>
            <w:tcW w:type="dxa" w:w="2160"/>
            <w:vAlign w:val="center"/>
          </w:tcPr>
          <w:p>
            <w:pPr>
              <w:spacing w:after="20"/>
            </w:pPr>
            <w:r>
              <w:rPr>
                <w:sz w:val="15"/>
              </w:rPr>
              <w:t>0–3</w:t>
            </w:r>
          </w:p>
        </w:tc>
        <w:tc>
          <w:tcPr>
            <w:tcW w:type="dxa" w:w="6480"/>
            <w:vAlign w:val="center"/>
          </w:tcPr>
          <w:p>
            <w:r>
              <w:t>No shortcut around relationship evidence, pinned inputs, witness repeatability or sandbox.</w:t>
            </w:r>
          </w:p>
        </w:tc>
      </w:tr>
      <w:tr>
        <w:tc>
          <w:tcPr>
            <w:tcW w:type="dxa" w:w="2088"/>
            <w:vAlign w:val="center"/>
          </w:tcPr>
          <w:p>
            <w:r>
              <w:t>5 MUST core completion: attribution/evidence/reliability</w:t>
            </w:r>
          </w:p>
        </w:tc>
        <w:tc>
          <w:tcPr>
            <w:tcW w:type="dxa" w:w="2160"/>
            <w:vAlign w:val="center"/>
          </w:tcPr>
          <w:p>
            <w:r>
              <w:t>4 plus stable canonical contracts</w:t>
            </w:r>
          </w:p>
        </w:tc>
        <w:tc>
          <w:tcPr>
            <w:tcW w:type="dxa" w:w="6480"/>
            <w:vAlign w:val="center"/>
          </w:tcPr>
          <w:p>
            <w:r>
              <w:t>Gate D also depends on MUST components in Phases 3, 4, 6, 9, 10 and 11.</w:t>
            </w:r>
          </w:p>
        </w:tc>
      </w:tr>
      <w:tr>
        <w:tc>
          <w:tcPr>
            <w:tcW w:type="dxa" w:w="2088"/>
            <w:vAlign w:val="center"/>
          </w:tcPr>
          <w:p>
            <w:r>
              <w:t>6–8 Expansion analysis</w:t>
            </w:r>
          </w:p>
        </w:tc>
        <w:tc>
          <w:tcPr>
            <w:tcW w:type="dxa" w:w="2160"/>
            <w:vAlign w:val="center"/>
          </w:tcPr>
          <w:p>
            <w:r>
              <w:t>Gate D for SHOULD work; targeted O-bind MUST delivered by Gate D</w:t>
            </w:r>
          </w:p>
        </w:tc>
        <w:tc>
          <w:tcPr>
            <w:tcW w:type="dxa" w:w="6480"/>
            <w:vAlign w:val="center"/>
          </w:tcPr>
          <w:p>
            <w:pPr>
              <w:spacing w:after="20"/>
            </w:pPr>
            <w:r>
              <w:rPr>
                <w:sz w:val="15"/>
              </w:rPr>
              <w:t>Static analysis may be developed independently but cannot gate or overrule the runtime witness.</w:t>
            </w:r>
          </w:p>
        </w:tc>
      </w:tr>
      <w:tr>
        <w:tc>
          <w:tcPr>
            <w:tcW w:type="dxa" w:w="2088"/>
            <w:vAlign w:val="center"/>
          </w:tcPr>
          <w:p>
            <w:r>
              <w:t>9–10 Ecosystem runtime expansion</w:t>
            </w:r>
          </w:p>
        </w:tc>
        <w:tc>
          <w:tcPr>
            <w:tcW w:type="dxa" w:w="2160"/>
            <w:vAlign w:val="center"/>
          </w:tcPr>
          <w:p>
            <w:r>
              <w:t>Gate D inventory components complete; stable adapter contracts</w:t>
            </w:r>
          </w:p>
        </w:tc>
        <w:tc>
          <w:tcPr>
            <w:tcW w:type="dxa" w:w="6480"/>
            <w:vAlign w:val="center"/>
          </w:tcPr>
          <w:p>
            <w:r>
              <w:t>npm runtime and full Maven resolution/runtime are expansion only.</w:t>
            </w:r>
          </w:p>
        </w:tc>
      </w:tr>
      <w:tr>
        <w:tc>
          <w:tcPr>
            <w:tcW w:type="dxa" w:w="2088"/>
            <w:vAlign w:val="center"/>
          </w:tcPr>
          <w:p>
            <w:r>
              <w:t>11 Conformance + release hardening</w:t>
            </w:r>
          </w:p>
        </w:tc>
        <w:tc>
          <w:tcPr>
            <w:tcW w:type="dxa" w:w="2160"/>
            <w:vAlign w:val="center"/>
          </w:tcPr>
          <w:p>
            <w:r>
              <w:t>All Gate D MUST components</w:t>
            </w:r>
          </w:p>
        </w:tc>
        <w:tc>
          <w:tcPr>
            <w:tcW w:type="dxa" w:w="6480"/>
            <w:vAlign w:val="center"/>
          </w:tcPr>
          <w:p>
            <w:r>
              <w:t>MVP conformance and release hardening are separately reported.</w:t>
            </w:r>
          </w:p>
        </w:tc>
      </w:tr>
    </w:tbl>
    <w:p/>
    <w:p>
      <w:pPr>
        <w:pStyle w:val="Heading1"/>
      </w:pPr>
      <w:r>
        <w:t>6. Cross-phase invariants</w:t>
      </w:r>
    </w:p>
    <w:p>
      <w:pPr>
        <w:pStyle w:val="ListBullet"/>
        <w:spacing w:after="30"/>
      </w:pPr>
      <w:r>
        <w:t>Immutable source identity: every analysis points to repository snapshot IDs and exact commit SHAs.</w:t>
      </w:r>
    </w:p>
    <w:p>
      <w:pPr>
        <w:pStyle w:val="ListBullet"/>
        <w:spacing w:after="30"/>
      </w:pPr>
      <w:r>
        <w:t>Reference validity: if the reference world cannot be reproduced with sufficient evidence, do not claim a consumer-introduced witnessed break.</w:t>
      </w:r>
    </w:p>
    <w:p>
      <w:pPr/>
      <w:r>
        <w:t>Reference-world failure policy (MUST): if the baseline is unsupported, cannot be resolved from an accepted provenance source, fails for infrastructure/harness reasons, or cannot be reproduced to the required standard, classify the affected cell/finding INCONCLUSIVE. Never call it clean; never attribute the consumer break. Record baseline source, resolver inputs, artifact availability, runtime/platform, and exact reason. A baseline artifact failure is distinct from infrastructure failure and from a consumer-caused regression.</w:t>
      </w:r>
    </w:p>
    <w:p>
      <w:pPr>
        <w:pStyle w:val="ListBullet"/>
        <w:spacing w:after="30"/>
      </w:pPr>
      <w:r>
        <w:t>Relationship sufficiency: name similarity and version differences are candidate signals only; weak edges go to suspected tray.</w:t>
      </w:r>
    </w:p>
    <w:p>
      <w:pPr>
        <w:pStyle w:val="ListBullet"/>
        <w:spacing w:after="30"/>
      </w:pPr>
      <w:r>
        <w:t>Native resolution: package manager/lockfile semantics are authoritative; all resolver versions/options/platforms are recorded.</w:t>
      </w:r>
    </w:p>
    <w:p>
      <w:pPr>
        <w:pStyle w:val="ListBullet"/>
        <w:spacing w:after="30"/>
      </w:pPr>
      <w:r>
        <w:t>Sandbox boundary: no repository/package code runs outside SandboxClient → sandboxd → allowlisted image.</w:t>
      </w:r>
    </w:p>
    <w:p>
      <w:pPr>
        <w:pStyle w:val="ListBullet"/>
        <w:spacing w:after="30"/>
      </w:pPr>
      <w:r>
        <w:t>Failure taxonomy: resolution, harness, infrastructure, timeout, resource, oracle and artifact failures remain distinct.</w:t>
      </w:r>
    </w:p>
    <w:p>
      <w:pPr>
        <w:pStyle w:val="ListBullet"/>
        <w:spacing w:after="30"/>
      </w:pPr>
      <w:r>
        <w:t>Witness predicate: reference pass 3/3, consumer fail 3/3, same normalized failure signature; BOTH_FAIL and flaky cases do not qualify.</w:t>
      </w:r>
    </w:p>
    <w:p>
      <w:pPr>
        <w:pStyle w:val="ListBullet"/>
        <w:spacing w:after="30"/>
      </w:pPr>
      <w:r>
        <w:t>Evidence integrity: raw output and normalized signatures are separate; bundles are content-hashed and bounded.</w:t>
      </w:r>
    </w:p>
    <w:p>
      <w:pPr>
        <w:pStyle w:val="ListBullet"/>
        <w:spacing w:after="30"/>
      </w:pPr>
      <w:r>
        <w:t>Attribution honesty: forced-world causality is labelled as counterfactual and search completeness is explicit.</w:t>
      </w:r>
    </w:p>
    <w:p>
      <w:pPr>
        <w:pStyle w:val="ListBullet"/>
        <w:spacing w:after="30"/>
      </w:pPr>
      <w:r>
        <w:t>Verdict determinism: implement the exact ordered decision table from the master; unknown combinations become INCONCLUSIVE, not clean.</w:t>
      </w:r>
    </w:p>
    <w:p>
      <w:pPr>
        <w:pStyle w:val="ListBullet"/>
        <w:spacing w:after="30"/>
      </w:pPr>
      <w:r>
        <w:t>Coverage semantics: discovered, analyzed, unsupported, failed and not-applicable worlds remain separately counted; coverage is not a compatibility score.</w:t>
      </w:r>
    </w:p>
    <w:p>
      <w:pPr>
        <w:pStyle w:val="ListBullet"/>
        <w:spacing w:after="30"/>
      </w:pPr>
      <w:r>
        <w:t>Mode truthfulness: LIVE, FIXTURE and REPLAY are visibly distinct in API and UI.</w:t>
      </w:r>
    </w:p>
    <w:p>
      <w:pPr>
        <w:pStyle w:val="ListBullet"/>
        <w:spacing w:after="30"/>
      </w:pPr>
      <w:r>
        <w:t>Remediation honesty: VERIFIED only after resolution and all relevant matrix/oracle gates pass on the proposed world.</w:t>
      </w:r>
    </w:p>
    <w:p>
      <w:pPr>
        <w:pStyle w:val="ListBullet"/>
        <w:spacing w:after="30"/>
      </w:pPr>
      <w:r>
        <w:t>No LLM in decision path: optional prose may summarize evidence later, but cannot alter relationships, oracle outcomes, attribution or verdicts.</w:t>
      </w:r>
    </w:p>
    <w:p>
      <w:pPr>
        <w:pStyle w:val="Heading1"/>
      </w:pPr>
      <w:r>
        <w:t>7. Minimum capability contract exposed by API and UI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CE7EE"/>
          </w:tcPr>
          <w:p>
            <w:r>
              <w:rPr>
                <w:b/>
                <w:sz w:val="16"/>
              </w:rPr>
              <w:t>Capability</w:t>
            </w:r>
          </w:p>
        </w:tc>
        <w:tc>
          <w:tcPr>
            <w:tcW w:type="dxa" w:w="3312"/>
            <w:shd w:fill="DCE7EE"/>
          </w:tcPr>
          <w:p>
            <w:r>
              <w:rPr>
                <w:b/>
                <w:sz w:val="16"/>
              </w:rPr>
              <w:t>State values</w:t>
            </w:r>
          </w:p>
        </w:tc>
        <w:tc>
          <w:tcPr>
            <w:tcW w:type="dxa" w:w="5472"/>
            <w:shd w:fill="DCE7EE"/>
          </w:tcPr>
          <w:p>
            <w:r>
              <w:rPr>
                <w:b/>
                <w:sz w:val="16"/>
              </w:rPr>
              <w:t>Required user-facing behavior</w:t>
            </w:r>
          </w:p>
        </w:tc>
      </w:tr>
      <w:tr>
        <w:tc>
          <w:tcPr>
            <w:tcW w:type="dxa" w:w="1944"/>
            <w:vAlign w:val="center"/>
          </w:tcPr>
          <w:p>
            <w:pPr>
              <w:spacing w:after="20"/>
            </w:pPr>
            <w:r>
              <w:rPr>
                <w:sz w:val="15"/>
              </w:rPr>
              <w:t>Repository ingestion</w:t>
            </w:r>
          </w:p>
        </w:tc>
        <w:tc>
          <w:tcPr>
            <w:tcW w:type="dxa" w:w="3312"/>
            <w:vAlign w:val="center"/>
          </w:tcPr>
          <w:p>
            <w:pPr>
              <w:spacing w:after="20"/>
            </w:pPr>
            <w:r>
              <w:rPr>
                <w:sz w:val="15"/>
              </w:rPr>
              <w:t>enabled / unavailable / rate-limited / unsupported</w:t>
            </w:r>
          </w:p>
        </w:tc>
        <w:tc>
          <w:tcPr>
            <w:tcW w:type="dxa" w:w="5472"/>
            <w:vAlign w:val="center"/>
          </w:tcPr>
          <w:p>
            <w:pPr>
              <w:spacing w:after="20"/>
            </w:pPr>
            <w:r>
              <w:rPr>
                <w:sz w:val="15"/>
              </w:rPr>
              <w:t>Show requested ref, pinned SHA, status and retryability.</w:t>
            </w:r>
          </w:p>
        </w:tc>
      </w:tr>
      <w:tr>
        <w:tc>
          <w:tcPr>
            <w:tcW w:type="dxa" w:w="1944"/>
            <w:vAlign w:val="center"/>
          </w:tcPr>
          <w:p>
            <w:pPr>
              <w:spacing w:after="20"/>
            </w:pPr>
            <w:r>
              <w:rPr>
                <w:sz w:val="15"/>
              </w:rPr>
              <w:t>Python parsing</w:t>
            </w:r>
          </w:p>
        </w:tc>
        <w:tc>
          <w:tcPr>
            <w:tcW w:type="dxa" w:w="3312"/>
            <w:vAlign w:val="center"/>
          </w:tcPr>
          <w:p>
            <w:pPr>
              <w:spacing w:after="20"/>
            </w:pPr>
            <w:r>
              <w:rPr>
                <w:sz w:val="15"/>
              </w:rPr>
              <w:t>supported / partial / unsupported / invalid</w:t>
            </w:r>
          </w:p>
        </w:tc>
        <w:tc>
          <w:tcPr>
            <w:tcW w:type="dxa" w:w="5472"/>
            <w:vAlign w:val="center"/>
          </w:tcPr>
          <w:p>
            <w:pPr>
              <w:spacing w:after="20"/>
            </w:pPr>
            <w:r>
              <w:rPr>
                <w:sz w:val="15"/>
              </w:rPr>
              <w:t>Show supported formats and parser diagnostics.</w:t>
            </w:r>
          </w:p>
        </w:tc>
      </w:tr>
      <w:tr>
        <w:tc>
          <w:tcPr>
            <w:tcW w:type="dxa" w:w="1944"/>
            <w:vAlign w:val="center"/>
          </w:tcPr>
          <w:p>
            <w:pPr>
              <w:spacing w:after="20"/>
            </w:pPr>
            <w:r>
              <w:rPr>
                <w:sz w:val="15"/>
              </w:rPr>
              <w:t>Resolution</w:t>
            </w:r>
          </w:p>
        </w:tc>
        <w:tc>
          <w:tcPr>
            <w:tcW w:type="dxa" w:w="3312"/>
            <w:vAlign w:val="center"/>
          </w:tcPr>
          <w:p>
            <w:pPr>
              <w:spacing w:after="20"/>
            </w:pPr>
            <w:r>
              <w:rPr>
                <w:sz w:val="15"/>
              </w:rPr>
              <w:t>resolved / failed / needs-build / unsupported / inconclusive</w:t>
            </w:r>
          </w:p>
        </w:tc>
        <w:tc>
          <w:tcPr>
            <w:tcW w:type="dxa" w:w="5472"/>
            <w:vAlign w:val="center"/>
          </w:tcPr>
          <w:p>
            <w:pPr>
              <w:spacing w:after="20"/>
            </w:pPr>
            <w:r>
              <w:rPr>
                <w:sz w:val="15"/>
              </w:rPr>
              <w:t>Never render failed resolution as an empty clean world.</w:t>
            </w:r>
          </w:p>
        </w:tc>
      </w:tr>
      <w:tr>
        <w:tc>
          <w:tcPr>
            <w:tcW w:type="dxa" w:w="1944"/>
            <w:vAlign w:val="center"/>
          </w:tcPr>
          <w:p>
            <w:pPr>
              <w:spacing w:after="20"/>
            </w:pPr>
            <w:r>
              <w:rPr>
                <w:sz w:val="15"/>
              </w:rPr>
              <w:t>Relationship</w:t>
            </w:r>
          </w:p>
        </w:tc>
        <w:tc>
          <w:tcPr>
            <w:tcW w:type="dxa" w:w="3312"/>
            <w:vAlign w:val="center"/>
          </w:tcPr>
          <w:p>
            <w:pPr>
              <w:spacing w:after="20"/>
            </w:pPr>
            <w:r>
              <w:rPr>
                <w:sz w:val="15"/>
              </w:rPr>
              <w:t>confirmed-to-master-threshold / suspected / rejected / insufficient evidence</w:t>
            </w:r>
          </w:p>
        </w:tc>
        <w:tc>
          <w:tcPr>
            <w:tcW w:type="dxa" w:w="5472"/>
            <w:vAlign w:val="center"/>
          </w:tcPr>
          <w:p>
            <w:pPr>
              <w:spacing w:after="20"/>
            </w:pPr>
            <w:r>
              <w:rPr>
                <w:sz w:val="15"/>
              </w:rPr>
              <w:t>Show supporting evidence and what is missing.</w:t>
            </w:r>
          </w:p>
        </w:tc>
      </w:tr>
      <w:tr>
        <w:tc>
          <w:tcPr>
            <w:tcW w:type="dxa" w:w="1944"/>
            <w:vAlign w:val="center"/>
          </w:tcPr>
          <w:p>
            <w:pPr>
              <w:spacing w:after="20"/>
            </w:pPr>
            <w:r>
              <w:rPr>
                <w:sz w:val="15"/>
              </w:rPr>
              <w:t>Cell/oracle</w:t>
            </w:r>
          </w:p>
        </w:tc>
        <w:tc>
          <w:tcPr>
            <w:tcW w:type="dxa" w:w="3312"/>
            <w:vAlign w:val="center"/>
          </w:tcPr>
          <w:p>
            <w:pPr>
              <w:spacing w:after="20"/>
            </w:pPr>
            <w:r>
              <w:rPr>
                <w:sz w:val="15"/>
              </w:rPr>
              <w:t>discovered / analyzed / not-applicable / unsupported / failed / inconclusive</w:t>
            </w:r>
          </w:p>
        </w:tc>
        <w:tc>
          <w:tcPr>
            <w:tcW w:type="dxa" w:w="5472"/>
            <w:vAlign w:val="center"/>
          </w:tcPr>
          <w:p>
            <w:pPr>
              <w:spacing w:after="20"/>
            </w:pPr>
            <w:r>
              <w:rPr>
                <w:sz w:val="15"/>
              </w:rPr>
              <w:t>Preserve denominator and per-oracle classification.</w:t>
            </w:r>
          </w:p>
        </w:tc>
      </w:tr>
      <w:tr>
        <w:tc>
          <w:tcPr>
            <w:tcW w:type="dxa" w:w="1944"/>
            <w:vAlign w:val="center"/>
          </w:tcPr>
          <w:p>
            <w:pPr>
              <w:spacing w:after="20"/>
            </w:pPr>
            <w:r>
              <w:rPr>
                <w:sz w:val="15"/>
              </w:rPr>
              <w:t>Witness</w:t>
            </w:r>
          </w:p>
        </w:tc>
        <w:tc>
          <w:tcPr>
            <w:tcW w:type="dxa" w:w="3312"/>
            <w:vAlign w:val="center"/>
          </w:tcPr>
          <w:p>
            <w:pPr>
              <w:spacing w:after="20"/>
            </w:pPr>
            <w:r>
              <w:rPr>
                <w:sz w:val="15"/>
              </w:rPr>
              <w:t>candidate / verified / rejected / inconclusive</w:t>
            </w:r>
          </w:p>
        </w:tc>
        <w:tc>
          <w:tcPr>
            <w:tcW w:type="dxa" w:w="5472"/>
            <w:vAlign w:val="center"/>
          </w:tcPr>
          <w:p>
            <w:pPr>
              <w:spacing w:after="20"/>
            </w:pPr>
            <w:r>
              <w:rPr>
                <w:sz w:val="15"/>
              </w:rPr>
              <w:t>Display six run outcomes and signature agreement.</w:t>
            </w:r>
          </w:p>
        </w:tc>
      </w:tr>
      <w:tr>
        <w:tc>
          <w:tcPr>
            <w:tcW w:type="dxa" w:w="1944"/>
            <w:vAlign w:val="center"/>
          </w:tcPr>
          <w:p>
            <w:pPr>
              <w:spacing w:after="20"/>
            </w:pPr>
            <w:r>
              <w:rPr>
                <w:sz w:val="15"/>
              </w:rPr>
              <w:t>Attribution</w:t>
            </w:r>
          </w:p>
        </w:tc>
        <w:tc>
          <w:tcPr>
            <w:tcW w:type="dxa" w:w="3312"/>
            <w:vAlign w:val="center"/>
          </w:tcPr>
          <w:p>
            <w:pPr>
              <w:spacing w:after="20"/>
            </w:pPr>
            <w:r>
              <w:rPr>
                <w:sz w:val="15"/>
              </w:rPr>
              <w:t>complete / partial / budget-limited / unavailable</w:t>
            </w:r>
          </w:p>
        </w:tc>
        <w:tc>
          <w:tcPr>
            <w:tcW w:type="dxa" w:w="5472"/>
            <w:vAlign w:val="center"/>
          </w:tcPr>
          <w:p>
            <w:pPr>
              <w:spacing w:after="20"/>
            </w:pPr>
            <w:r>
              <w:rPr>
                <w:sz w:val="15"/>
              </w:rPr>
              <w:t>State direct vs forced world and minimality scope.</w:t>
            </w:r>
          </w:p>
        </w:tc>
      </w:tr>
      <w:tr>
        <w:tc>
          <w:tcPr>
            <w:tcW w:type="dxa" w:w="1944"/>
            <w:vAlign w:val="center"/>
          </w:tcPr>
          <w:p>
            <w:pPr>
              <w:spacing w:after="20"/>
            </w:pPr>
            <w:r>
              <w:rPr>
                <w:sz w:val="15"/>
              </w:rPr>
              <w:t>Analysis mode</w:t>
            </w:r>
          </w:p>
        </w:tc>
        <w:tc>
          <w:tcPr>
            <w:tcW w:type="dxa" w:w="3312"/>
            <w:vAlign w:val="center"/>
          </w:tcPr>
          <w:p>
            <w:pPr>
              <w:spacing w:after="20"/>
            </w:pPr>
            <w:r>
              <w:rPr>
                <w:sz w:val="15"/>
              </w:rPr>
              <w:t>LIVE / FIXTURE / REPLAY</w:t>
            </w:r>
          </w:p>
        </w:tc>
        <w:tc>
          <w:tcPr>
            <w:tcW w:type="dxa" w:w="5472"/>
            <w:vAlign w:val="center"/>
          </w:tcPr>
          <w:p>
            <w:pPr>
              <w:spacing w:after="20"/>
            </w:pPr>
            <w:r>
              <w:rPr>
                <w:sz w:val="15"/>
              </w:rPr>
              <w:t>Never call fixture/replay result a fresh live analysis.</w:t>
            </w:r>
          </w:p>
        </w:tc>
      </w:tr>
      <w:tr>
        <w:tc>
          <w:tcPr>
            <w:tcW w:type="dxa" w:w="1944"/>
            <w:vAlign w:val="center"/>
          </w:tcPr>
          <w:p>
            <w:pPr>
              <w:spacing w:after="20"/>
            </w:pPr>
            <w:r>
              <w:rPr>
                <w:sz w:val="15"/>
              </w:rPr>
              <w:t>Ecosystem depth</w:t>
            </w:r>
          </w:p>
        </w:tc>
        <w:tc>
          <w:tcPr>
            <w:tcW w:type="dxa" w:w="3312"/>
            <w:vAlign w:val="center"/>
          </w:tcPr>
          <w:p>
            <w:pPr>
              <w:spacing w:after="20"/>
            </w:pPr>
            <w:r>
              <w:rPr>
                <w:sz w:val="15"/>
              </w:rPr>
              <w:t>inventory / resolve / world / runtime witness</w:t>
            </w:r>
          </w:p>
        </w:tc>
        <w:tc>
          <w:tcPr>
            <w:tcW w:type="dxa" w:w="5472"/>
            <w:vAlign w:val="center"/>
          </w:tcPr>
          <w:p>
            <w:pPr>
              <w:spacing w:after="20"/>
            </w:pPr>
            <w:r>
              <w:rPr>
                <w:sz w:val="15"/>
              </w:rPr>
              <w:t>Separate these capabilities for Python, npm and Maven.</w:t>
            </w:r>
          </w:p>
        </w:tc>
      </w:tr>
    </w:tbl>
    <w:p/>
    <w:p>
      <w:pPr>
        <w:pStyle w:val="Heading1"/>
      </w:pPr>
      <w:r>
        <w:t>8. Recommended source tree</w:t>
      </w:r>
    </w:p>
    <w:p>
      <w:pPr>
        <w:pStyle w:val="CompactCode"/>
      </w:pPr>
      <w:r>
        <w:t>backend/faultline/api/ — FastAPI routes and typed DTOs</w:t>
      </w:r>
    </w:p>
    <w:p>
      <w:pPr>
        <w:pStyle w:val="CompactCode"/>
      </w:pPr>
      <w:r>
        <w:t>backend/faultline/core/ — canonical models, enums, hashing, error taxonomy</w:t>
      </w:r>
    </w:p>
    <w:p>
      <w:pPr>
        <w:pStyle w:val="CompactCode"/>
      </w:pPr>
      <w:r>
        <w:t>backend/faultline/storage/ — migrations, repositories, transactions, job lease operations</w:t>
      </w:r>
    </w:p>
    <w:p>
      <w:pPr>
        <w:pStyle w:val="CompactCode"/>
      </w:pPr>
      <w:r>
        <w:t>backend/faultline/workers/ — orchestration, retry, cancellation, incremental re-analysis</w:t>
      </w:r>
    </w:p>
    <w:p>
      <w:pPr>
        <w:pStyle w:val="CompactCode"/>
      </w:pPr>
      <w:r>
        <w:t>backend/faultline/ingestion/ — URL validation, GitHub ref resolution, restricted fetch, inventory</w:t>
      </w:r>
    </w:p>
    <w:p>
      <w:pPr>
        <w:pStyle w:val="CompactCode"/>
      </w:pPr>
      <w:r>
        <w:t>backend/faultline/parsers/python/ — metadata-only Python parsers</w:t>
      </w:r>
    </w:p>
    <w:p>
      <w:pPr>
        <w:pStyle w:val="CompactCode"/>
      </w:pPr>
      <w:r>
        <w:t>backend/faultline/resolvers/ — native resolver adapters and normalized worlds</w:t>
      </w:r>
    </w:p>
    <w:p>
      <w:pPr>
        <w:pStyle w:val="CompactCode"/>
      </w:pPr>
      <w:r>
        <w:t>backend/faultline/relationships/ — evidence signals, relationship levels, suspected candidates</w:t>
      </w:r>
    </w:p>
    <w:p>
      <w:pPr>
        <w:pStyle w:val="CompactCode"/>
      </w:pPr>
      <w:r>
        <w:t>backend/faultline/worlds/ — reference selection, visibility, projection, overlays, cells, deltas</w:t>
      </w:r>
    </w:p>
    <w:p>
      <w:pPr>
        <w:pStyle w:val="CompactCode"/>
      </w:pPr>
      <w:r>
        <w:t>backend/faultline/sandbox/ — SandboxClient, sandboxd protocol, profiles and image allowlist</w:t>
      </w:r>
    </w:p>
    <w:p>
      <w:pPr>
        <w:pStyle w:val="CompactCode"/>
      </w:pPr>
      <w:r>
        <w:t>backend/faultline/oracles/ — planner, O-import, O-tests and minimal O-bind (MUST); expanded O-bind/O-typecheck/O-contract behind capabilities</w:t>
      </w:r>
    </w:p>
    <w:p>
      <w:pPr>
        <w:pStyle w:val="CompactCode"/>
      </w:pPr>
      <w:r>
        <w:t>backend/faultline/witnesses/ — signature normalization, k=3 verifier, evidence bundles</w:t>
      </w:r>
    </w:p>
    <w:p>
      <w:pPr>
        <w:pStyle w:val="CompactCode"/>
      </w:pPr>
      <w:r>
        <w:t>backend/faultline/attribution/ — coupled groups, ddmin, forced worlds</w:t>
      </w:r>
    </w:p>
    <w:p>
      <w:pPr>
        <w:pStyle w:val="CompactCode"/>
      </w:pPr>
      <w:r>
        <w:t>backend/faultline/verdicts/ — pure ordered verdict engine and evidence templates</w:t>
      </w:r>
    </w:p>
    <w:p>
      <w:pPr>
        <w:pStyle w:val="CompactCode"/>
      </w:pPr>
      <w:r>
        <w:t>backend/faultline/api_analysis/ and usage/ — deferred static API and exposure signals</w:t>
      </w:r>
    </w:p>
    <w:p>
      <w:pPr>
        <w:pStyle w:val="CompactCode"/>
      </w:pPr>
      <w:r>
        <w:t>backend/faultline/whatif/ and remediation/ — bounded candidate search and verification gates</w:t>
      </w:r>
    </w:p>
    <w:p>
      <w:pPr>
        <w:pStyle w:val="CompactCode"/>
      </w:pPr>
      <w:r>
        <w:t>frontend/ — React/TypeScript/Vite views and typed API client</w:t>
      </w:r>
    </w:p>
    <w:p>
      <w:pPr>
        <w:pStyle w:val="CompactCode"/>
      </w:pPr>
      <w:r>
        <w:t>docker/fetch/ and docker/exec-python/ — pinned images, no secrets baked in</w:t>
      </w:r>
    </w:p>
    <w:p>
      <w:pPr>
        <w:pStyle w:val="CompactCode"/>
      </w:pPr>
      <w:r>
        <w:t>fixtures/scenarios/ — source SHAs, expected verdicts and verification metadata</w:t>
      </w:r>
    </w:p>
    <w:p>
      <w:pPr>
        <w:pStyle w:val="CompactCode"/>
      </w:pPr>
      <w:r>
        <w:t>tests/{unit,integration,fixtures,security,e2e}/ — layered verification</w:t>
      </w:r>
    </w:p>
    <w:p>
      <w:pPr>
        <w:pStyle w:val="CompactCode"/>
      </w:pPr>
      <w:r>
        <w:t>benchmarks/ and docs/adr/ — evaluation protocol and decision records</w:t>
      </w:r>
    </w:p>
    <w:p>
      <w:pPr>
        <w:pStyle w:val="Heading1"/>
      </w:pPr>
      <w:r>
        <w:t>9. Master-to-phase MUST traceability matrix and acceptance evidence</w:t>
      </w:r>
    </w:p>
    <w:p>
      <w:r>
        <w:t>A phase gate must be backed by a machine-checkable artifact. The exact command names may be finalized in Phase 0, but each gate must map to a test command, expected output/artifact, and a non-zero failure condition.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blHeader w:val="true"/>
          <w:cantSplit/>
        </w:trPr>
        <w:tc>
          <w:tcPr>
            <w:tcW w:type="dxa" w:w="2088"/>
            <w:shd w:fill="DCE7EE"/>
          </w:tcPr>
          <w:p>
            <w:r>
              <w:rPr>
                <w:b/>
              </w:rPr>
              <w:t>Canonical MUST / contract</w:t>
            </w:r>
          </w:p>
        </w:tc>
        <w:tc>
          <w:tcPr>
            <w:tcW w:type="dxa" w:w="1152"/>
            <w:shd w:fill="DCE7EE"/>
          </w:tcPr>
          <w:p>
            <w:r>
              <w:rPr>
                <w:b/>
              </w:rPr>
              <w:t>Implementation phase(s)</w:t>
            </w:r>
          </w:p>
        </w:tc>
        <w:tc>
          <w:tcPr>
            <w:tcW w:type="dxa" w:w="4032"/>
            <w:shd w:fill="DCE7EE"/>
          </w:tcPr>
          <w:p>
            <w:r>
              <w:rPr>
                <w:b/>
              </w:rPr>
              <w:t>Automated acceptance test and expected evidence</w:t>
            </w:r>
          </w:p>
        </w:tc>
        <w:tc>
          <w:tcPr>
            <w:tcW w:type="dxa" w:w="3456"/>
            <w:shd w:fill="DCE7EE"/>
          </w:tcPr>
          <w:p>
            <w:r>
              <w:rPr>
                <w:b/>
              </w:rPr>
              <w:t>UI/API representation</w:t>
            </w:r>
          </w:p>
        </w:tc>
      </w:tr>
      <w:tr>
        <w:trPr>
          <w:cantSplit/>
        </w:trPr>
        <w:tc>
          <w:tcPr>
            <w:tcW w:type="dxa" w:w="2088"/>
            <w:vAlign w:val="center"/>
          </w:tcPr>
          <w:p>
            <w:r>
              <w:t>Accept 1..N GitHub URLs/ref and pin immutable SHAs; preserve provenance</w:t>
            </w:r>
          </w:p>
        </w:tc>
        <w:tc>
          <w:tcPr>
            <w:tcW w:type="dxa" w:w="1152"/>
            <w:vAlign w:val="center"/>
          </w:tcPr>
          <w:p>
            <w:r>
              <w:t>2, 4</w:t>
            </w:r>
          </w:p>
        </w:tc>
        <w:tc>
          <w:tcPr>
            <w:tcW w:type="dxa" w:w="4032"/>
            <w:vAlign w:val="center"/>
          </w:tcPr>
          <w:p>
            <w:r>
              <w:t>Integration test submits URL/ref; pinned SHA and immutable snapshot manifest; retry never moves ref</w:t>
            </w:r>
          </w:p>
        </w:tc>
        <w:tc>
          <w:tcPr>
            <w:tcW w:type="dxa" w:w="3456"/>
            <w:vAlign w:val="center"/>
          </w:tcPr>
          <w:p>
            <w:r>
              <w:t>Repository status, requested ref, pinned SHA, provenance</w:t>
            </w:r>
          </w:p>
        </w:tc>
      </w:tr>
      <w:tr>
        <w:trPr>
          <w:cantSplit/>
        </w:trPr>
        <w:tc>
          <w:tcPr>
            <w:tcW w:type="dxa" w:w="2088"/>
            <w:vAlign w:val="center"/>
          </w:tcPr>
          <w:p>
            <w:r>
              <w:t>Discover all manifests/lockfiles, including nested projects</w:t>
            </w:r>
          </w:p>
        </w:tc>
        <w:tc>
          <w:tcPr>
            <w:tcW w:type="dxa" w:w="1152"/>
            <w:vAlign w:val="center"/>
          </w:tcPr>
          <w:p>
            <w:r>
              <w:t>2, 3, 9, 10</w:t>
            </w:r>
          </w:p>
        </w:tc>
        <w:tc>
          <w:tcPr>
            <w:tcW w:type="dxa" w:w="4032"/>
            <w:vAlign w:val="center"/>
          </w:tcPr>
          <w:p>
            <w:r>
              <w:t>Fixture repos with nested manifests; inventory completeness report and parser diagnostics</w:t>
            </w:r>
          </w:p>
        </w:tc>
        <w:tc>
          <w:tcPr>
            <w:tcW w:type="dxa" w:w="3456"/>
            <w:vAlign w:val="center"/>
          </w:tcPr>
          <w:p>
            <w:r>
              <w:t>Inventory graph and funnel counts; partial/unsupported labels</w:t>
            </w:r>
          </w:p>
        </w:tc>
      </w:tr>
      <w:tr>
        <w:trPr>
          <w:cantSplit/>
        </w:trPr>
        <w:tc>
          <w:tcPr>
            <w:tcW w:type="dxa" w:w="2088"/>
            <w:vAlign w:val="center"/>
          </w:tcPr>
          <w:p>
            <w:r>
              <w:t>Python manifest parsing and native resolution; semantic worlds</w:t>
            </w:r>
          </w:p>
        </w:tc>
        <w:tc>
          <w:tcPr>
            <w:tcW w:type="dxa" w:w="1152"/>
            <w:vAlign w:val="center"/>
          </w:tcPr>
          <w:p>
            <w:r>
              <w:t>3, 4</w:t>
            </w:r>
          </w:p>
        </w:tc>
        <w:tc>
          <w:tcPr>
            <w:tcW w:type="dxa" w:w="4032"/>
            <w:vAlign w:val="center"/>
          </w:tcPr>
          <w:p>
            <w:r>
              <w:t>Pinned resolver replay; world descriptor/hash, resolver flags, artifact hashes and runtime/platform</w:t>
            </w:r>
          </w:p>
        </w:tc>
        <w:tc>
          <w:tcPr>
            <w:tcW w:type="dxa" w:w="3456"/>
            <w:vAlign w:val="center"/>
          </w:tcPr>
          <w:p>
            <w:r>
              <w:t>Python capability, world inspector, resolution status</w:t>
            </w:r>
          </w:p>
        </w:tc>
      </w:tr>
      <w:tr>
        <w:trPr>
          <w:cantSplit/>
        </w:trPr>
        <w:tc>
          <w:tcPr>
            <w:tcW w:type="dxa" w:w="2088"/>
            <w:vAlign w:val="center"/>
          </w:tcPr>
          <w:p>
            <w:r>
              <w:t>npm manifests + lockfile worlds, nested instances and importer-specific visibility</w:t>
            </w:r>
          </w:p>
        </w:tc>
        <w:tc>
          <w:tcPr>
            <w:tcW w:type="dxa" w:w="1152"/>
            <w:vAlign w:val="center"/>
          </w:tcPr>
          <w:p>
            <w:r>
              <w:t>3.6 cross-ecosystem inventory MUST; Phase 9 runtime expansion</w:t>
            </w:r>
          </w:p>
        </w:tc>
        <w:tc>
          <w:tcPr>
            <w:tcW w:type="dxa" w:w="4032"/>
            <w:vAlign w:val="center"/>
          </w:tcPr>
          <w:p>
            <w:r>
              <w:t>npm fixtures for supported lockfile formats; importer visibility assertions; unsupported format test</w:t>
            </w:r>
          </w:p>
        </w:tc>
        <w:tc>
          <w:tcPr>
            <w:tcW w:type="dxa" w:w="3456"/>
            <w:vAlign w:val="center"/>
          </w:tcPr>
          <w:p>
            <w:r>
              <w:t>npm inventory/world status, per-importer package visibility; runtime shown unavailable</w:t>
            </w:r>
          </w:p>
        </w:tc>
      </w:tr>
      <w:tr>
        <w:trPr>
          <w:cantSplit/>
        </w:trPr>
        <w:tc>
          <w:tcPr>
            <w:tcW w:type="dxa" w:w="2088"/>
            <w:vAlign w:val="center"/>
          </w:tcPr>
          <w:p>
            <w:r>
              <w:t>Maven POM inventory: coordinates, direct dependencies, properties and supported in-repo parents</w:t>
            </w:r>
          </w:p>
        </w:tc>
        <w:tc>
          <w:tcPr>
            <w:tcW w:type="dxa" w:w="1152"/>
            <w:vAlign w:val="center"/>
          </w:tcPr>
          <w:p>
            <w:r>
              <w:t>3.7 cross-ecosystem inventory MUST; Phase 10 runtime expansion</w:t>
            </w:r>
          </w:p>
        </w:tc>
        <w:tc>
          <w:tcPr>
            <w:tcW w:type="dxa" w:w="4032"/>
            <w:vAlign w:val="center"/>
          </w:tcPr>
          <w:p>
            <w:r>
              <w:t>POM fixtures including properties/parent and unsupported external parent/BOM; inventory report</w:t>
            </w:r>
          </w:p>
        </w:tc>
        <w:tc>
          <w:tcPr>
            <w:tcW w:type="dxa" w:w="3456"/>
            <w:vAlign w:val="center"/>
          </w:tcPr>
          <w:p>
            <w:r>
              <w:t>Maven inventory graph and unsupported/inconclusive reason; runtime shown unavailable</w:t>
            </w:r>
          </w:p>
        </w:tc>
      </w:tr>
      <w:tr>
        <w:trPr>
          <w:cantSplit/>
        </w:trPr>
        <w:tc>
          <w:tcPr>
            <w:tcW w:type="dxa" w:w="2088"/>
            <w:vAlign w:val="center"/>
          </w:tcPr>
          <w:p>
            <w:r>
              <w:t>L2/L3 relationship discovery with evidence and suspected tray</w:t>
            </w:r>
          </w:p>
        </w:tc>
        <w:tc>
          <w:tcPr>
            <w:tcW w:type="dxa" w:w="1152"/>
            <w:vAlign w:val="center"/>
          </w:tcPr>
          <w:p>
            <w:r>
              <w:t>4, 6</w:t>
            </w:r>
          </w:p>
        </w:tc>
        <w:tc>
          <w:tcPr>
            <w:tcW w:type="dxa" w:w="4032"/>
            <w:vAlign w:val="center"/>
          </w:tcPr>
          <w:p>
            <w:r>
              <w:t>Positive/negative relationship fixtures; edge evidence and threshold decisions; suspected candidates do not become findings</w:t>
            </w:r>
          </w:p>
        </w:tc>
        <w:tc>
          <w:tcPr>
            <w:tcW w:type="dxa" w:w="3456"/>
            <w:vAlign w:val="center"/>
          </w:tcPr>
          <w:p>
            <w:r>
              <w:t>Inventory graph; confirmed edges and suspected tray with missing evidence</w:t>
            </w:r>
          </w:p>
        </w:tc>
      </w:tr>
      <w:tr>
        <w:trPr>
          <w:cantSplit/>
        </w:trPr>
        <w:tc>
          <w:tcPr>
            <w:tcW w:type="dxa" w:w="2088"/>
            <w:vAlign w:val="center"/>
          </w:tcPr>
          <w:p>
            <w:r>
              <w:t>Reference world selected from accepted provenance; reference failure policy</w:t>
            </w:r>
          </w:p>
        </w:tc>
        <w:tc>
          <w:tcPr>
            <w:tcW w:type="dxa" w:w="1152"/>
            <w:vAlign w:val="center"/>
          </w:tcPr>
          <w:p>
            <w:r>
              <w:t>3, 4</w:t>
            </w:r>
          </w:p>
        </w:tc>
        <w:tc>
          <w:tcPr>
            <w:tcW w:type="dxa" w:w="4032"/>
            <w:vAlign w:val="center"/>
          </w:tcPr>
          <w:p>
            <w:r>
              <w:t>Baseline unavailable/unsupported/non-reproducible tests must yield INCONCLUSIVE, never clean or consumer-caused</w:t>
            </w:r>
          </w:p>
        </w:tc>
        <w:tc>
          <w:tcPr>
            <w:tcW w:type="dxa" w:w="3456"/>
            <w:vAlign w:val="center"/>
          </w:tcPr>
          <w:p>
            <w:r>
              <w:t>Reference provenance and failure reason in world matrix/why-path</w:t>
            </w:r>
          </w:p>
        </w:tc>
      </w:tr>
      <w:tr>
        <w:trPr>
          <w:cantSplit/>
        </w:trPr>
        <w:tc>
          <w:tcPr>
            <w:tcW w:type="dxa" w:w="2088"/>
            <w:vAlign w:val="center"/>
          </w:tcPr>
          <w:p>
            <w:r>
              <w:t>Consumer-derived world/cell construction and importer visibility</w:t>
            </w:r>
          </w:p>
        </w:tc>
        <w:tc>
          <w:tcPr>
            <w:tcW w:type="dxa" w:w="1152"/>
            <w:vAlign w:val="center"/>
          </w:tcPr>
          <w:p>
            <w:r>
              <w:t>4</w:t>
            </w:r>
          </w:p>
        </w:tc>
        <w:tc>
          <w:tcPr>
            <w:tcW w:type="dxa" w:w="4032"/>
            <w:vAlign w:val="center"/>
          </w:tcPr>
          <w:p>
            <w:r>
              <w:t>Projection fixtures assert exact relevant package/runtime set and visibility; coverage denominator preserved</w:t>
            </w:r>
          </w:p>
        </w:tc>
        <w:tc>
          <w:tcPr>
            <w:tcW w:type="dxa" w:w="3456"/>
            <w:vAlign w:val="center"/>
          </w:tcPr>
          <w:p>
            <w:r>
              <w:t>World matrix, consumer-to-cell links, coverage counts</w:t>
            </w:r>
          </w:p>
        </w:tc>
      </w:tr>
      <w:tr>
        <w:trPr>
          <w:cantSplit/>
        </w:trPr>
        <w:tc>
          <w:tcPr>
            <w:tcW w:type="dxa" w:w="2088"/>
            <w:vAlign w:val="center"/>
          </w:tcPr>
          <w:p>
            <w:r>
              <w:t>O-import oracle</w:t>
            </w:r>
          </w:p>
        </w:tc>
        <w:tc>
          <w:tcPr>
            <w:tcW w:type="dxa" w:w="1152"/>
            <w:vAlign w:val="center"/>
          </w:tcPr>
          <w:p>
            <w:r>
              <w:t>1, 4</w:t>
            </w:r>
          </w:p>
        </w:tc>
        <w:tc>
          <w:tcPr>
            <w:tcW w:type="dxa" w:w="4032"/>
            <w:vAlign w:val="center"/>
          </w:tcPr>
          <w:p>
            <w:r>
              <w:t>Offline sandbox tests import artifact top-level package and each consumed module; classified per run</w:t>
            </w:r>
          </w:p>
        </w:tc>
        <w:tc>
          <w:tcPr>
            <w:tcW w:type="dxa" w:w="3456"/>
            <w:vAlign w:val="center"/>
          </w:tcPr>
          <w:p>
            <w:r>
              <w:t>Per-world oracle outcome and evidence detail</w:t>
            </w:r>
          </w:p>
        </w:tc>
      </w:tr>
      <w:tr>
        <w:trPr>
          <w:cantSplit/>
        </w:trPr>
        <w:tc>
          <w:tcPr>
            <w:tcW w:type="dxa" w:w="2088"/>
            <w:vAlign w:val="center"/>
          </w:tcPr>
          <w:p>
            <w:r>
              <w:t>O-tests oracle with test overlay and per-test outcomes</w:t>
            </w:r>
          </w:p>
        </w:tc>
        <w:tc>
          <w:tcPr>
            <w:tcW w:type="dxa" w:w="1152"/>
            <w:vAlign w:val="center"/>
          </w:tcPr>
          <w:p>
            <w:r>
              <w:t>1, 4</w:t>
            </w:r>
          </w:p>
        </w:tc>
        <w:tc>
          <w:tcPr>
            <w:tcW w:type="dxa" w:w="4032"/>
            <w:vAlign w:val="center"/>
          </w:tcPr>
          <w:p>
            <w:r>
              <w:t>Offline test suite fixture with per-test records; runtime dependencies preserved</w:t>
            </w:r>
          </w:p>
        </w:tc>
        <w:tc>
          <w:tcPr>
            <w:tcW w:type="dxa" w:w="3456"/>
            <w:vAlign w:val="center"/>
          </w:tcPr>
          <w:p>
            <w:r>
              <w:t>Oracle status and per-test witness detail</w:t>
            </w:r>
          </w:p>
        </w:tc>
      </w:tr>
      <w:tr>
        <w:trPr>
          <w:cantSplit/>
        </w:trPr>
        <w:tc>
          <w:tcPr>
            <w:tcW w:type="dxa" w:w="2520"/>
          </w:tcPr>
          <w:p>
            <w:r>
              <w:t>Minimal O-bind targeted call-site extractor and binding oracle</w:t>
            </w:r>
          </w:p>
        </w:tc>
        <w:tc>
          <w:tcPr>
            <w:tcW w:type="dxa" w:w="2520"/>
          </w:tcPr>
          <w:p>
            <w:r>
              <w:t>4–5 (PC-1 targeted MUST); Phase 6 only for full usage-index SHOULD</w:t>
            </w:r>
          </w:p>
        </w:tc>
        <w:tc>
          <w:tcPr>
            <w:tcW w:type="dxa" w:w="2520"/>
          </w:tcPr>
          <w:p>
            <w:r>
              <w:t>PC-1 tests: resolve import/from-import/aliases/module-level attribute chains; capture each Call resolving into divergent package D with positional count, keyword names, star/star-star flags and literal args when all literal; assert source location; test dynamic/unsupported cases preserve uncertainty. Evidence: call-site records + O-bind outcomes.</w:t>
            </w:r>
          </w:p>
        </w:tc>
        <w:tc>
          <w:tcPr>
            <w:tcW w:type="dxa" w:w="2520"/>
          </w:tcPr>
          <w:p>
            <w:r>
              <w:t>Gate D targeted call-site evidence, source locations, O-bind capability/outcome; expanded index remains separately labelled unavailable until Phase 6.</w:t>
            </w:r>
          </w:p>
        </w:tc>
      </w:tr>
      <w:tr>
        <w:trPr>
          <w:cantSplit/>
        </w:trPr>
        <w:tc>
          <w:tcPr>
            <w:tcW w:type="dxa" w:w="2520"/>
          </w:tcPr>
          <w:p>
            <w:r>
              <w:t>Witness: reference passes 3/3; consumer fails 3/3 with same normalized signature</w:t>
            </w:r>
          </w:p>
        </w:tc>
        <w:tc>
          <w:tcPr>
            <w:tcW w:type="dxa" w:w="2520"/>
          </w:tcPr>
          <w:p>
            <w:r>
              <w:t>1, 4</w:t>
            </w:r>
          </w:p>
        </w:tc>
        <w:tc>
          <w:tcPr>
            <w:tcW w:type="dxa" w:w="2520"/>
          </w:tcPr>
          <w:p>
            <w:r>
              <w:t>Six fresh execution records: reference 3/3 pass, consumer 3/3 same normalized failure signature; each record has unique run ID and execution provenance. Reused world is allowed; reused oracle result never counts as a fresh run. Include same artifact/input revision and negative controls.</w:t>
            </w:r>
          </w:p>
        </w:tc>
        <w:tc>
          <w:tcPr>
            <w:tcW w:type="dxa" w:w="2520"/>
          </w:tcPr>
          <w:p>
            <w:r>
              <w:t>Witness detail shows six runs, signature agreement and mode</w:t>
            </w:r>
          </w:p>
        </w:tc>
      </w:tr>
      <w:tr>
        <w:trPr>
          <w:cantSplit/>
        </w:trPr>
        <w:tc>
          <w:tcPr>
            <w:tcW w:type="dxa" w:w="2520"/>
          </w:tcPr>
          <w:p>
            <w:r>
              <w:t>Two-sided ddmin causal attribution; distinguish observed and forced worlds</w:t>
            </w:r>
          </w:p>
        </w:tc>
        <w:tc>
          <w:tcPr>
            <w:tcW w:type="dxa" w:w="2520"/>
          </w:tcPr>
          <w:p>
            <w:r>
              <w:t>5</w:t>
            </w:r>
          </w:p>
        </w:tc>
        <w:tc>
          <w:tcPr>
            <w:tcW w:type="dxa" w:w="2520"/>
          </w:tcPr>
          <w:p>
            <w:r>
              <w:t>Bidirectional counterfactual fixtures; preserve subset outcomes; one-sided failure marked PARTIAL/INCONCLUSIVE</w:t>
            </w:r>
          </w:p>
        </w:tc>
        <w:tc>
          <w:tcPr>
            <w:tcW w:type="dxa" w:w="2520"/>
          </w:tcPr>
          <w:p>
            <w:r>
              <w:t>Why-path, cause candidates, forced-world labels and minimality scope</w:t>
            </w:r>
          </w:p>
        </w:tc>
      </w:tr>
      <w:tr>
        <w:trPr>
          <w:cantSplit/>
        </w:trPr>
        <w:tc>
          <w:tcPr>
            <w:tcW w:type="dxa" w:w="2520"/>
          </w:tcPr>
          <w:p>
            <w:r>
              <w:t>Deterministic ordered verdict engine and scoped wording</w:t>
            </w:r>
          </w:p>
        </w:tc>
        <w:tc>
          <w:tcPr>
            <w:tcW w:type="dxa" w:w="2520"/>
          </w:tcPr>
          <w:p>
            <w:r>
              <w:t>0, 4, 5</w:t>
            </w:r>
          </w:p>
        </w:tc>
        <w:tc>
          <w:tcPr>
            <w:tcW w:type="dxa" w:w="2520"/>
          </w:tcPr>
          <w:p>
            <w:r>
              <w:t>Decision-table tests for every branch; unknown combinations INCONCLUSIVE; versioned policy ID</w:t>
            </w:r>
          </w:p>
        </w:tc>
        <w:tc>
          <w:tcPr>
            <w:tcW w:type="dxa" w:w="2520"/>
          </w:tcPr>
          <w:p>
            <w:r>
              <w:t>Finding verdict, scoped reason, linked predicates and evidence</w:t>
            </w:r>
          </w:p>
        </w:tc>
      </w:tr>
      <w:tr>
        <w:trPr>
          <w:cantSplit/>
        </w:trPr>
        <w:tc>
          <w:tcPr>
            <w:tcW w:type="dxa" w:w="2520"/>
          </w:tcPr>
          <w:p>
            <w:r>
              <w:t>Versioned portable evidence bundles with integrity and reproducibility evidence</w:t>
            </w:r>
          </w:p>
        </w:tc>
        <w:tc>
          <w:tcPr>
            <w:tcW w:type="dxa" w:w="2520"/>
          </w:tcPr>
          <w:p>
            <w:r>
              <w:t>1, 5</w:t>
            </w:r>
          </w:p>
        </w:tc>
        <w:tc>
          <w:tcPr>
            <w:tcW w:type="dxa" w:w="2520"/>
          </w:tcPr>
          <w:p>
            <w:r>
              <w:t>Gate D: schema/version, digest and path safety tests; supported replay outcomes EXACT_REPRODUCTION / ENVIRONMENT_LIMITED / NON_REPRODUCIBLE retained. Gate E: clean release-equivalent deployment replay and security/reliability report are separate tests.</w:t>
            </w:r>
          </w:p>
        </w:tc>
        <w:tc>
          <w:tcPr>
            <w:tcW w:type="dxa" w:w="2520"/>
          </w:tcPr>
          <w:p>
            <w:r>
              <w:t>Export action, integrity status, replay mode/result</w:t>
            </w:r>
          </w:p>
        </w:tc>
      </w:tr>
      <w:tr>
        <w:trPr>
          <w:cantSplit/>
        </w:trPr>
        <w:tc>
          <w:tcPr>
            <w:tcW w:type="dxa" w:w="2520"/>
          </w:tcPr>
          <w:p>
            <w:r>
              <w:t>Full MUST dashboard: funnel, world matrix, witness detail, why-path, findings, suspected tray, inventory graph</w:t>
            </w:r>
          </w:p>
        </w:tc>
        <w:tc>
          <w:tcPr>
            <w:tcW w:type="dxa" w:w="2520"/>
          </w:tcPr>
          <w:p>
            <w:r>
              <w:t>4–5, 11</w:t>
            </w:r>
          </w:p>
        </w:tc>
        <w:tc>
          <w:tcPr>
            <w:tcW w:type="dxa" w:w="2520"/>
          </w:tcPr>
          <w:p>
            <w:r>
              <w:t>API-backed E2E tests for funnel, world matrix, witness detail, why-path, findings, suspected tray, inventory graph and mode/capability indicators. For each view test applicable empty/failed/unsupported/inconclusive/not-applicable states. Use persisted records; assert no mock-only data; retain screenshots and test report.</w:t>
            </w:r>
          </w:p>
        </w:tc>
        <w:tc>
          <w:tcPr>
            <w:tcW w:type="dxa" w:w="2520"/>
          </w:tcPr>
          <w:p>
            <w:r>
              <w:t>All seven views plus visible mode/capability indicators</w:t>
            </w:r>
          </w:p>
        </w:tc>
      </w:tr>
      <w:tr>
        <w:trPr>
          <w:cantSplit/>
        </w:trPr>
        <w:tc>
          <w:tcPr>
            <w:tcW w:type="dxa" w:w="2520"/>
          </w:tcPr>
          <w:p>
            <w:r>
              <w:t>LIVE/FIXTURE/REPLAY mode and capability indicators</w:t>
            </w:r>
          </w:p>
        </w:tc>
        <w:tc>
          <w:tcPr>
            <w:tcW w:type="dxa" w:w="2520"/>
          </w:tcPr>
          <w:p>
            <w:r>
              <w:t>0, 1, 4, 5</w:t>
            </w:r>
          </w:p>
        </w:tc>
        <w:tc>
          <w:tcPr>
            <w:tcW w:type="dxa" w:w="2520"/>
          </w:tcPr>
          <w:p>
            <w:r>
              <w:t>API+UI contract tests for LIVE/FIXTURE/REPLAY, capability truth, fresh-versus-reused oracle results, disabled execution when boundary unavailable, and per-ecosystem/per-oracle unavailable states.</w:t>
            </w:r>
          </w:p>
        </w:tc>
        <w:tc>
          <w:tcPr>
            <w:tcW w:type="dxa" w:w="2520"/>
          </w:tcPr>
          <w:p>
            <w:r>
              <w:t>Persistent mode badge and per-ecosystem/oracle capability state</w:t>
            </w:r>
          </w:p>
        </w:tc>
      </w:tr>
      <w:tr>
        <w:trPr>
          <w:cantSplit/>
        </w:trPr>
        <w:tc>
          <w:tcPr>
            <w:tcW w:type="dxa" w:w="2520"/>
          </w:tcPr>
          <w:p>
            <w:r>
              <w:t>Coverage states and failure taxonomy; infra/harness failures are not witnesses</w:t>
            </w:r>
          </w:p>
        </w:tc>
        <w:tc>
          <w:tcPr>
            <w:tcW w:type="dxa" w:w="2520"/>
          </w:tcPr>
          <w:p>
            <w:r>
              <w:t>1, 4, 5</w:t>
            </w:r>
          </w:p>
        </w:tc>
        <w:tc>
          <w:tcPr>
            <w:tcW w:type="dxa" w:w="2520"/>
          </w:tcPr>
          <w:p>
            <w:r>
              <w:t>Tests for unsupported, failed, not-applicable, timeout, resource, infrastructure and artifact failures</w:t>
            </w:r>
          </w:p>
        </w:tc>
        <w:tc>
          <w:tcPr>
            <w:tcW w:type="dxa" w:w="2520"/>
          </w:tcPr>
          <w:p>
            <w:r>
              <w:t>Coverage denominator and distinct status/reason</w:t>
            </w:r>
          </w:p>
        </w:tc>
      </w:tr>
      <w:tr>
        <w:trPr>
          <w:cantSplit/>
        </w:trPr>
        <w:tc>
          <w:tcPr>
            <w:tcW w:type="dxa" w:w="2520"/>
          </w:tcPr>
          <w:p>
            <w:r>
              <w:t>Security boundary for arbitrary repository code: execution only through sandbox boundary</w:t>
            </w:r>
          </w:p>
        </w:tc>
        <w:tc>
          <w:tcPr>
            <w:tcW w:type="dxa" w:w="2520"/>
          </w:tcPr>
          <w:p>
            <w:r>
              <w:t>0, 5, 11</w:t>
            </w:r>
          </w:p>
        </w:tc>
        <w:tc>
          <w:tcPr>
            <w:tcW w:type="dxa" w:w="2520"/>
          </w:tcPr>
          <w:p>
            <w:r>
              <w:t>Deployment integration test inspects actual VM/daemon/images/network/limits/credentials/orphan cleanup; any failed check disables execution</w:t>
            </w:r>
          </w:p>
        </w:tc>
        <w:tc>
          <w:tcPr>
            <w:tcW w:type="dxa" w:w="2520"/>
          </w:tcPr>
          <w:p>
            <w:r>
              <w:t>Execution capability disabled with actionable reason when boundary is unverified</w:t>
            </w:r>
          </w:p>
        </w:tc>
      </w:tr>
      <w:tr>
        <w:trPr>
          <w:cantSplit/>
        </w:trPr>
        <w:tc>
          <w:tcPr>
            <w:tcW w:type="dxa" w:w="2520"/>
          </w:tcPr>
          <w:p>
            <w:r>
              <w:t>MVP conformance distinct from release hardening and SHOULD/NICE expansion</w:t>
            </w:r>
          </w:p>
        </w:tc>
        <w:tc>
          <w:tcPr>
            <w:tcW w:type="dxa" w:w="2520"/>
          </w:tcPr>
          <w:p>
            <w:r>
              <w:t>11</w:t>
            </w:r>
          </w:p>
        </w:tc>
        <w:tc>
          <w:tcPr>
            <w:tcW w:type="dxa" w:w="2520"/>
          </w:tcPr>
          <w:p>
            <w:r>
              <w:t>Machine-readable report includes every canonical MUST and PC-1/PC-4/PC-5/PC-10 cases, command, outcome and retained artifact; any missing test/artifact or non-PASS blocks Gate D. Gate E separately runs deployment-specific release suite.</w:t>
            </w:r>
          </w:p>
        </w:tc>
        <w:tc>
          <w:tcPr>
            <w:tcW w:type="dxa" w:w="2520"/>
          </w:tcPr>
          <w:p>
            <w:r>
              <w:t>Separate MVP-conformant and release-hardened status; expansion capabilities independently marked</w:t>
            </w:r>
          </w:p>
        </w:tc>
      </w:tr>
      <w:tr>
        <w:trPr>
          <w:cantSplit/>
        </w:trPr>
        <w:tc>
          <w:tcPr>
            <w:tcW w:type="dxa" w:w="2520"/>
          </w:tcPr>
          <w:p>
            <w:r>
              <w:t>PC-1 targeted call-site extractor (O-bind MVP subset)</w:t>
            </w:r>
          </w:p>
        </w:tc>
        <w:tc>
          <w:tcPr>
            <w:tcW w:type="dxa" w:w="2520"/>
          </w:tcPr>
          <w:p>
            <w:r>
              <w:t>4–5 MUST; Phase 6 expansion only</w:t>
            </w:r>
          </w:p>
        </w:tc>
        <w:tc>
          <w:tcPr>
            <w:tcW w:type="dxa" w:w="2520"/>
          </w:tcPr>
          <w:p>
            <w:r>
              <w:t>AST fixtures cover import, from-import, aliases, module-level attribute chains, calls into divergent package D, positional/keyword/star/star-star shape, literal values when all literal, source locations, dynamic imports and unsupported syntax. Retain extractor records and O-bind outcomes.</w:t>
            </w:r>
          </w:p>
        </w:tc>
        <w:tc>
          <w:tcPr>
            <w:tcW w:type="dxa" w:w="2520"/>
          </w:tcPr>
          <w:p>
            <w:r>
              <w:t>Targeted call-site evidence and O-bind outcome; full usage index shown as expansion/unavailable until implemented.</w:t>
            </w:r>
          </w:p>
        </w:tc>
      </w:tr>
      <w:tr>
        <w:trPr>
          <w:cantSplit/>
        </w:trPr>
        <w:tc>
          <w:tcPr>
            <w:tcW w:type="dxa" w:w="2520"/>
          </w:tcPr>
          <w:p>
            <w:r>
              <w:t>PC-4 consumer-import scan</w:t>
            </w:r>
          </w:p>
        </w:tc>
        <w:tc>
          <w:tcPr>
            <w:tcW w:type="dxa" w:w="2520"/>
          </w:tcPr>
          <w:p>
            <w:r>
              <w:t>4 MUST</w:t>
            </w:r>
          </w:p>
        </w:tc>
        <w:tc>
          <w:tcPr>
            <w:tcW w:type="dxa" w:w="2520"/>
          </w:tcPr>
          <w:p>
            <w:r>
              <w:t>Fixture with artifact top-level package plus consumer-imported modules; assert exact import set and evidence. An absent optional import is NOT_APPLICABLE, never a failed import or break. Retain scan JSON and test output.</w:t>
            </w:r>
          </w:p>
        </w:tc>
        <w:tc>
          <w:tcPr>
            <w:tcW w:type="dxa" w:w="2520"/>
          </w:tcPr>
          <w:p>
            <w:r>
              <w:t>World/cell detail shows imported modules, top-level package, applicability and reason.</w:t>
            </w:r>
          </w:p>
        </w:tc>
      </w:tr>
      <w:tr>
        <w:trPr>
          <w:cantSplit/>
        </w:trPr>
        <w:tc>
          <w:tcPr>
            <w:tcW w:type="dxa" w:w="2520"/>
          </w:tcPr>
          <w:p>
            <w:r>
              <w:t>PC-5 test-only overlay</w:t>
            </w:r>
          </w:p>
        </w:tc>
        <w:tc>
          <w:tcPr>
            <w:tcW w:type="dxa" w:w="2520"/>
          </w:tcPr>
          <w:p>
            <w:r>
              <w:t>3–4 MUST</w:t>
            </w:r>
          </w:p>
        </w:tc>
        <w:tc>
          <w:tcPr>
            <w:tcW w:type="dxa" w:w="2520"/>
          </w:tcPr>
          <w:p>
            <w:r>
              <w:t>Paired fixture proves test-only dependencies are added through the overlay without replacing runtime dependency versions; forced overlays are labelled and recorded in world identity. Retain before/after world descriptors and assertions.</w:t>
            </w:r>
          </w:p>
        </w:tc>
        <w:tc>
          <w:tcPr>
            <w:tcW w:type="dxa" w:w="2520"/>
          </w:tcPr>
          <w:p>
            <w:r>
              <w:t>World inspector identifies runtime versus test-overlay packages and marks forced overlay.</w:t>
            </w:r>
          </w:p>
        </w:tc>
      </w:tr>
      <w:tr>
        <w:trPr>
          <w:cantSplit/>
        </w:trPr>
        <w:tc>
          <w:tcPr>
            <w:tcW w:type="dxa" w:w="2520"/>
          </w:tcPr>
          <w:p>
            <w:r>
              <w:t>PC-10 offline world builder and reuse</w:t>
            </w:r>
          </w:p>
        </w:tc>
        <w:tc>
          <w:tcPr>
            <w:tcW w:type="dxa" w:w="2520"/>
          </w:tcPr>
          <w:p>
            <w:r>
              <w:t>3–4 MUST</w:t>
            </w:r>
          </w:p>
        </w:tc>
        <w:tc>
          <w:tcPr>
            <w:tcW w:type="dxa" w:w="2520"/>
          </w:tcPr>
          <w:p>
            <w:r>
              <w:t>Build each semantic world offline once per world hash from verified artifacts; second request reuses the world without network. Assert world reuse does not create an oracle execution record or increment fresh-run count; missing artifacts fail explicitly.</w:t>
            </w:r>
          </w:p>
        </w:tc>
        <w:tc>
          <w:tcPr>
            <w:tcW w:type="dxa" w:w="2520"/>
          </w:tcPr>
          <w:p>
            <w:r>
              <w:t>World status distinguishes BUILT/REUSED/UNAVAILABLE; oracle panel independently marks fresh execution versus reused result.</w:t>
            </w:r>
          </w:p>
        </w:tc>
      </w:tr>
      <w:tr>
        <w:trPr>
          <w:cantSplit/>
        </w:trPr>
        <w:tc>
          <w:tcPr>
            <w:tcW w:type="dxa" w:w="2520"/>
          </w:tcPr>
          <w:p>
            <w:r>
              <w:t>Reference-world eligibility and inconclusive policy</w:t>
            </w:r>
          </w:p>
        </w:tc>
        <w:tc>
          <w:tcPr>
            <w:tcW w:type="dxa" w:w="2520"/>
          </w:tcPr>
          <w:p>
            <w:r>
              <w:t>3–4 MUST</w:t>
            </w:r>
          </w:p>
        </w:tc>
        <w:tc>
          <w:tcPr>
            <w:tcW w:type="dxa" w:w="2520"/>
          </w:tcPr>
          <w:p>
            <w:r>
              <w:t>Inject absent lockfile/artifacts, unsupported resolver semantics, failed baseline and irreproducible baseline; each produces INCONCLUSIVE with provenance/reason, never CLEAN or consumer-caused BREAK_WITNESSED.</w:t>
            </w:r>
          </w:p>
        </w:tc>
        <w:tc>
          <w:tcPr>
            <w:tcW w:type="dxa" w:w="2520"/>
          </w:tcPr>
          <w:p>
            <w:r>
              <w:t>World matrix and why-path expose baseline provenance, eligibility and inconclusive reason.</w:t>
            </w:r>
          </w:p>
        </w:tc>
      </w:tr>
      <w:tr>
        <w:trPr>
          <w:cantSplit/>
        </w:trPr>
        <w:tc>
          <w:tcPr>
            <w:tcW w:type="dxa" w:w="2520"/>
          </w:tcPr>
          <w:p>
            <w:r>
              <w:t>Gate D portable evidence replay</w:t>
            </w:r>
          </w:p>
        </w:tc>
        <w:tc>
          <w:tcPr>
            <w:tcW w:type="dxa" w:w="2520"/>
          </w:tcPr>
          <w:p>
            <w:r>
              <w:t>5 MUST</w:t>
            </w:r>
          </w:p>
        </w:tc>
        <w:tc>
          <w:tcPr>
            <w:tcW w:type="dxa" w:w="2520"/>
          </w:tcPr>
          <w:p>
            <w:r>
              <w:t>Export versioned bundle; verify schema, hashes and path safety; run supported replay and retain one explicit outcome EXACT_REPRODUCTION, ENVIRONMENT_LIMITED or NON_REPRODUCIBLE. Missing dependencies are not silently fetched from moving refs.</w:t>
            </w:r>
          </w:p>
        </w:tc>
        <w:tc>
          <w:tcPr>
            <w:tcW w:type="dxa" w:w="2520"/>
          </w:tcPr>
          <w:p>
            <w:r>
              <w:t>Bundle integrity/replay panel displays bundle version, digest status, replay outcome and limitation.</w:t>
            </w:r>
          </w:p>
        </w:tc>
      </w:tr>
      <w:tr>
        <w:trPr>
          <w:cantSplit/>
        </w:trPr>
        <w:tc>
          <w:tcPr>
            <w:tcW w:type="dxa" w:w="2520"/>
          </w:tcPr>
          <w:p>
            <w:r>
              <w:t>Gate E release replay and deployed-boundary qualification</w:t>
            </w:r>
          </w:p>
        </w:tc>
        <w:tc>
          <w:tcPr>
            <w:tcW w:type="dxa" w:w="2520"/>
          </w:tcPr>
          <w:p>
            <w:r>
              <w:t>11 MUST for release</w:t>
            </w:r>
          </w:p>
        </w:tc>
        <w:tc>
          <w:tcPr>
            <w:tcW w:type="dxa" w:w="2520"/>
          </w:tcPr>
          <w:p>
            <w:r>
              <w:t>Clean release-equivalent environment deploys candidate and tests actual disposable VM, daemon privileges/socket, pinned images, network egress, resource limits, secret isolation and orphan cleanup. Retain deployment fingerprint, logs and cleanup report. This is not the Gate D bundle replay test.</w:t>
            </w:r>
          </w:p>
        </w:tc>
        <w:tc>
          <w:tcPr>
            <w:tcW w:type="dxa" w:w="2520"/>
          </w:tcPr>
          <w:p>
            <w:r>
              <w:t>Release status is separate from MVP conformance; failed/unverified control disables execution and prevents RELEASE_HARDENED.</w:t>
            </w:r>
          </w:p>
        </w:tc>
      </w:tr>
      <w:tr>
        <w:trPr>
          <w:cantSplit/>
        </w:trPr>
        <w:tc>
          <w:tcPr>
            <w:tcW w:type="dxa" w:w="2520"/>
          </w:tcPr>
          <w:p>
            <w:r>
              <w:t>Dashboard view/state conformance</w:t>
            </w:r>
          </w:p>
        </w:tc>
        <w:tc>
          <w:tcPr>
            <w:tcW w:type="dxa" w:w="2520"/>
          </w:tcPr>
          <w:p>
            <w:r>
              <w:t>4–5, 11 MUST</w:t>
            </w:r>
          </w:p>
        </w:tc>
        <w:tc>
          <w:tcPr>
            <w:tcW w:type="dxa" w:w="2520"/>
          </w:tcPr>
          <w:p>
            <w:r>
              <w:t>Parameterized API-backed UI E2E suite covers funnel, world matrix, witness detail, why-path, findings, suspected tray, inventory graph and mode/capability indicators; test normal, empty, failed, unsupported, inconclusive and not-applicable states where applicable. Fail if data originates only from frontend mocks.</w:t>
            </w:r>
          </w:p>
        </w:tc>
        <w:tc>
          <w:tcPr>
            <w:tcW w:type="dxa" w:w="2520"/>
          </w:tcPr>
          <w:p>
            <w:r>
              <w:t>Each view and state is linked to persisted API evidence; screenshots and test report retained per release.</w:t>
            </w:r>
          </w:p>
        </w:tc>
      </w:tr>
    </w:tbl>
    <w:p/>
    <w:p>
      <w:pPr>
        <w:pStyle w:val="Heading1"/>
      </w:pPr>
      <w:r>
        <w:t>10. External verification references</w:t>
      </w:r>
    </w:p>
    <w:p>
      <w:r>
        <w:t>These references inform selected technical decisions. They do not prove Faultline's correctness. Exact flags and behaviors must be tested against pinned versions.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CE7EE"/>
          </w:tcPr>
          <w:p>
            <w:r>
              <w:rPr>
                <w:b/>
                <w:sz w:val="16"/>
              </w:rPr>
              <w:t>Reference</w:t>
            </w:r>
          </w:p>
        </w:tc>
        <w:tc>
          <w:tcPr>
            <w:tcW w:type="dxa" w:w="3600"/>
            <w:shd w:fill="DCE7EE"/>
          </w:tcPr>
          <w:p>
            <w:r>
              <w:rPr>
                <w:b/>
                <w:sz w:val="16"/>
              </w:rPr>
              <w:t>URL</w:t>
            </w:r>
          </w:p>
        </w:tc>
        <w:tc>
          <w:tcPr>
            <w:tcW w:type="dxa" w:w="4752"/>
            <w:shd w:fill="DCE7EE"/>
          </w:tcPr>
          <w:p>
            <w:r>
              <w:rPr>
                <w:b/>
                <w:sz w:val="16"/>
              </w:rPr>
              <w:t>Use in this plan</w:t>
            </w:r>
          </w:p>
        </w:tc>
      </w:tr>
      <w:tr>
        <w:tc>
          <w:tcPr>
            <w:tcW w:type="dxa" w:w="2448"/>
            <w:vAlign w:val="center"/>
          </w:tcPr>
          <w:p>
            <w:pPr>
              <w:spacing w:after="20"/>
            </w:pPr>
            <w:r>
              <w:rPr>
                <w:sz w:val="15"/>
              </w:rPr>
              <w:t>uv resolution</w:t>
            </w:r>
          </w:p>
        </w:tc>
        <w:tc>
          <w:tcPr>
            <w:tcW w:type="dxa" w:w="3600"/>
            <w:vAlign w:val="center"/>
          </w:tcPr>
          <w:p>
            <w:pPr>
              <w:spacing w:after="20"/>
            </w:pPr>
            <w:r>
              <w:rPr>
                <w:sz w:val="15"/>
              </w:rPr>
              <w:t>https://docs.astral.sh/uv/concepts/resolution/</w:t>
            </w:r>
          </w:p>
        </w:tc>
        <w:tc>
          <w:tcPr>
            <w:tcW w:type="dxa" w:w="4752"/>
            <w:vAlign w:val="center"/>
          </w:tcPr>
          <w:p>
            <w:pPr>
              <w:spacing w:after="20"/>
            </w:pPr>
            <w:r>
              <w:rPr>
                <w:sz w:val="15"/>
              </w:rPr>
              <w:t>Lockfiles, resolver behavior and reproducible cutoff policies.</w:t>
            </w:r>
          </w:p>
        </w:tc>
      </w:tr>
      <w:tr>
        <w:tc>
          <w:tcPr>
            <w:tcW w:type="dxa" w:w="2448"/>
            <w:vAlign w:val="center"/>
          </w:tcPr>
          <w:p>
            <w:pPr>
              <w:spacing w:after="20"/>
            </w:pPr>
            <w:r>
              <w:rPr>
                <w:sz w:val="15"/>
              </w:rPr>
              <w:t>uv CLI</w:t>
            </w:r>
          </w:p>
        </w:tc>
        <w:tc>
          <w:tcPr>
            <w:tcW w:type="dxa" w:w="3600"/>
            <w:vAlign w:val="center"/>
          </w:tcPr>
          <w:p>
            <w:pPr>
              <w:spacing w:after="20"/>
            </w:pPr>
            <w:r>
              <w:rPr>
                <w:sz w:val="15"/>
              </w:rPr>
              <w:t>https://docs.astral.sh/uv/reference/cli/</w:t>
            </w:r>
          </w:p>
        </w:tc>
        <w:tc>
          <w:tcPr>
            <w:tcW w:type="dxa" w:w="4752"/>
            <w:vAlign w:val="center"/>
          </w:tcPr>
          <w:p>
            <w:pPr>
              <w:spacing w:after="20"/>
            </w:pPr>
            <w:r>
              <w:rPr>
                <w:sz w:val="15"/>
              </w:rPr>
              <w:t>Verify exact pinned CLI behavior; do not treat `--no-build` as universal build-code isolation.</w:t>
            </w:r>
          </w:p>
        </w:tc>
      </w:tr>
      <w:tr>
        <w:tc>
          <w:tcPr>
            <w:tcW w:type="dxa" w:w="2448"/>
            <w:vAlign w:val="center"/>
          </w:tcPr>
          <w:p>
            <w:pPr>
              <w:spacing w:after="20"/>
            </w:pPr>
            <w:r>
              <w:rPr>
                <w:sz w:val="15"/>
              </w:rPr>
              <w:t>npm lockfiles</w:t>
            </w:r>
          </w:p>
        </w:tc>
        <w:tc>
          <w:tcPr>
            <w:tcW w:type="dxa" w:w="3600"/>
            <w:vAlign w:val="center"/>
          </w:tcPr>
          <w:p>
            <w:pPr>
              <w:spacing w:after="20"/>
            </w:pPr>
            <w:r>
              <w:rPr>
                <w:sz w:val="15"/>
              </w:rPr>
              <w:t>https://docs.npmjs.com/files/package-lock.json/</w:t>
            </w:r>
          </w:p>
        </w:tc>
        <w:tc>
          <w:tcPr>
            <w:tcW w:type="dxa" w:w="4752"/>
            <w:vAlign w:val="center"/>
          </w:tcPr>
          <w:p>
            <w:pPr>
              <w:spacing w:after="20"/>
            </w:pPr>
            <w:r>
              <w:rPr>
                <w:sz w:val="15"/>
              </w:rPr>
              <w:t>Respect lockfile structure/version and nested dependency semantics.</w:t>
            </w:r>
          </w:p>
        </w:tc>
      </w:tr>
      <w:tr>
        <w:tc>
          <w:tcPr>
            <w:tcW w:type="dxa" w:w="2448"/>
            <w:vAlign w:val="center"/>
          </w:tcPr>
          <w:p>
            <w:pPr>
              <w:spacing w:after="20"/>
            </w:pPr>
            <w:r>
              <w:rPr>
                <w:sz w:val="15"/>
              </w:rPr>
              <w:t>FastAPI background tasks</w:t>
            </w:r>
          </w:p>
        </w:tc>
        <w:tc>
          <w:tcPr>
            <w:tcW w:type="dxa" w:w="3600"/>
            <w:vAlign w:val="center"/>
          </w:tcPr>
          <w:p>
            <w:pPr>
              <w:spacing w:after="20"/>
            </w:pPr>
            <w:r>
              <w:rPr>
                <w:sz w:val="15"/>
              </w:rPr>
              <w:t>https://fastapi.tiangolo.com/tutorial/background-tasks/</w:t>
            </w:r>
          </w:p>
        </w:tc>
        <w:tc>
          <w:tcPr>
            <w:tcW w:type="dxa" w:w="4752"/>
            <w:vAlign w:val="center"/>
          </w:tcPr>
          <w:p>
            <w:pPr>
              <w:spacing w:after="20"/>
            </w:pPr>
            <w:r>
              <w:rPr>
                <w:sz w:val="15"/>
              </w:rPr>
              <w:t>Heavy analysis belongs in a persisted worker, not a long API request.</w:t>
            </w:r>
          </w:p>
        </w:tc>
      </w:tr>
      <w:tr>
        <w:tc>
          <w:tcPr>
            <w:tcW w:type="dxa" w:w="2448"/>
            <w:vAlign w:val="center"/>
          </w:tcPr>
          <w:p>
            <w:pPr>
              <w:spacing w:after="20"/>
            </w:pPr>
            <w:r>
              <w:rPr>
                <w:sz w:val="15"/>
              </w:rPr>
              <w:t>Docker security</w:t>
            </w:r>
          </w:p>
        </w:tc>
        <w:tc>
          <w:tcPr>
            <w:tcW w:type="dxa" w:w="3600"/>
            <w:vAlign w:val="center"/>
          </w:tcPr>
          <w:p>
            <w:pPr>
              <w:spacing w:after="20"/>
            </w:pPr>
            <w:r>
              <w:rPr>
                <w:sz w:val="15"/>
              </w:rPr>
              <w:t>https://docs.docker.com/engine/security/</w:t>
            </w:r>
          </w:p>
        </w:tc>
        <w:tc>
          <w:tcPr>
            <w:tcW w:type="dxa" w:w="4752"/>
            <w:vAlign w:val="center"/>
          </w:tcPr>
          <w:p>
            <w:pPr>
              <w:spacing w:after="20"/>
            </w:pPr>
            <w:r>
              <w:rPr>
                <w:sz w:val="15"/>
              </w:rPr>
              <w:t>Isolation depends on daemon/runtime configuration and least privilege.</w:t>
            </w:r>
          </w:p>
        </w:tc>
      </w:tr>
      <w:tr>
        <w:tc>
          <w:tcPr>
            <w:tcW w:type="dxa" w:w="2448"/>
            <w:vAlign w:val="center"/>
          </w:tcPr>
          <w:p>
            <w:pPr>
              <w:spacing w:after="20"/>
            </w:pPr>
            <w:r>
              <w:rPr>
                <w:sz w:val="15"/>
              </w:rPr>
              <w:t>Docker rootless</w:t>
            </w:r>
          </w:p>
        </w:tc>
        <w:tc>
          <w:tcPr>
            <w:tcW w:type="dxa" w:w="3600"/>
            <w:vAlign w:val="center"/>
          </w:tcPr>
          <w:p>
            <w:pPr>
              <w:spacing w:after="20"/>
            </w:pPr>
            <w:r>
              <w:rPr>
                <w:sz w:val="15"/>
              </w:rPr>
              <w:t>https://docs.docker.com/engine/security/rootless/</w:t>
            </w:r>
          </w:p>
        </w:tc>
        <w:tc>
          <w:tcPr>
            <w:tcW w:type="dxa" w:w="4752"/>
            <w:vAlign w:val="center"/>
          </w:tcPr>
          <w:p>
            <w:pPr>
              <w:spacing w:after="20"/>
            </w:pPr>
            <w:r>
              <w:rPr>
                <w:sz w:val="15"/>
              </w:rPr>
              <w:t>Prefer where deployment prerequisites permit; validate on target VM.</w:t>
            </w:r>
          </w:p>
        </w:tc>
      </w:tr>
      <w:tr>
        <w:tc>
          <w:tcPr>
            <w:tcW w:type="dxa" w:w="2448"/>
            <w:vAlign w:val="center"/>
          </w:tcPr>
          <w:p>
            <w:pPr>
              <w:spacing w:after="20"/>
            </w:pPr>
            <w:r>
              <w:rPr>
                <w:sz w:val="15"/>
              </w:rPr>
              <w:t>SQLite WAL</w:t>
            </w:r>
          </w:p>
        </w:tc>
        <w:tc>
          <w:tcPr>
            <w:tcW w:type="dxa" w:w="3600"/>
            <w:vAlign w:val="center"/>
          </w:tcPr>
          <w:p>
            <w:pPr>
              <w:spacing w:after="20"/>
            </w:pPr>
            <w:r>
              <w:rPr>
                <w:sz w:val="15"/>
              </w:rPr>
              <w:t>https://www.sqlite.org/wal.html</w:t>
            </w:r>
          </w:p>
        </w:tc>
        <w:tc>
          <w:tcPr>
            <w:tcW w:type="dxa" w:w="4752"/>
            <w:vAlign w:val="center"/>
          </w:tcPr>
          <w:p>
            <w:pPr>
              <w:spacing w:after="20"/>
            </w:pPr>
            <w:r>
              <w:rPr>
                <w:sz w:val="15"/>
              </w:rPr>
              <w:t>Single-host concurrency limitations and migration boundary.</w:t>
            </w:r>
          </w:p>
        </w:tc>
      </w:tr>
      <w:tr>
        <w:tc>
          <w:tcPr>
            <w:tcW w:type="dxa" w:w="2448"/>
            <w:vAlign w:val="center"/>
          </w:tcPr>
          <w:p>
            <w:pPr>
              <w:spacing w:after="20"/>
            </w:pPr>
            <w:r>
              <w:rPr>
                <w:sz w:val="15"/>
              </w:rPr>
              <w:t>Vite guide</w:t>
            </w:r>
          </w:p>
        </w:tc>
        <w:tc>
          <w:tcPr>
            <w:tcW w:type="dxa" w:w="3600"/>
            <w:vAlign w:val="center"/>
          </w:tcPr>
          <w:p>
            <w:pPr>
              <w:spacing w:after="20"/>
            </w:pPr>
            <w:r>
              <w:rPr>
                <w:sz w:val="15"/>
              </w:rPr>
              <w:t>https://vite.dev/guide/</w:t>
            </w:r>
          </w:p>
        </w:tc>
        <w:tc>
          <w:tcPr>
            <w:tcW w:type="dxa" w:w="4752"/>
            <w:vAlign w:val="center"/>
          </w:tcPr>
          <w:p>
            <w:pPr>
              <w:spacing w:after="20"/>
            </w:pPr>
            <w:r>
              <w:rPr>
                <w:sz w:val="15"/>
              </w:rPr>
              <w:t>React/TypeScript project setup; CI must run type checking.</w:t>
            </w:r>
          </w:p>
        </w:tc>
      </w:tr>
      <w:tr>
        <w:tc>
          <w:tcPr>
            <w:tcW w:type="dxa" w:w="2448"/>
            <w:vAlign w:val="center"/>
          </w:tcPr>
          <w:p>
            <w:pPr>
              <w:spacing w:after="20"/>
            </w:pPr>
            <w:r>
              <w:rPr>
                <w:sz w:val="15"/>
              </w:rPr>
              <w:t>Delta debugging, Zeller &amp; Hildebrandt</w:t>
            </w:r>
          </w:p>
        </w:tc>
        <w:tc>
          <w:tcPr>
            <w:tcW w:type="dxa" w:w="3600"/>
            <w:vAlign w:val="center"/>
          </w:tcPr>
          <w:p>
            <w:pPr>
              <w:spacing w:after="20"/>
            </w:pPr>
            <w:r>
              <w:rPr>
                <w:sz w:val="15"/>
              </w:rPr>
              <w:t>https://doi.org/10.1109/32.988498</w:t>
            </w:r>
          </w:p>
        </w:tc>
        <w:tc>
          <w:tcPr>
            <w:tcW w:type="dxa" w:w="4752"/>
            <w:vAlign w:val="center"/>
          </w:tcPr>
          <w:p>
            <w:pPr>
              <w:spacing w:after="20"/>
            </w:pPr>
            <w:r>
              <w:rPr>
                <w:sz w:val="15"/>
              </w:rPr>
              <w:t>Foundational method for minimizing failure-inducing changes.</w:t>
            </w:r>
          </w:p>
        </w:tc>
      </w:tr>
    </w:tbl>
    <w:p/>
    <w:p>
      <w:pPr>
        <w:pStyle w:val="Heading1"/>
      </w:pPr>
      <w:r>
        <w:t>11. Final release rule</w:t>
      </w:r>
    </w:p>
    <w:p>
      <w:r>
        <w:t>The earliest successful release is not the one with the most features. It is the earliest version that makes a narrow, true, reproducible compatibility claim from real pinned repositories and explains exactly what was tested. Later releases should add coverage and actionability through adapters and versioned contracts—not by weakening evidence requirements.</w:t>
      </w:r>
    </w:p>
    <w:p>
      <w:pPr>
        <w:pStyle w:val="ListBullet"/>
        <w:spacing w:after="30"/>
      </w:pPr>
      <w:r>
        <w:t>Do not wait for static API analysis, contract replay, npm runtime execution, full Maven runtime verification or remediation before showing Gate C. Do not call Gate C the full MVP; Gate D requires every canonical MUST to pass.</w:t>
      </w:r>
    </w:p>
    <w:p>
      <w:pPr>
        <w:pStyle w:val="ListBullet"/>
        <w:spacing w:after="30"/>
      </w:pPr>
      <w:r>
        <w:t>Do not call the fixture-backed checkpoint a live MVP; label it FIXTURE and use it to validate integration.</w:t>
      </w:r>
    </w:p>
    <w:p>
      <w:pPr>
        <w:pStyle w:val="ListBullet"/>
        <w:spacing w:after="30"/>
      </w:pPr>
      <w:r>
        <w:t>Do not call Gate C the complete MVP. Do not call Gate D complete until every canonical MUST in the master document has passing automated acceptance evidence, including npm/Maven inventory, minimal O-bind, two-sided ddmin, portable evidence and the complete MUST dashboard.</w:t>
      </w:r>
    </w:p>
    <w:p>
      <w:pPr>
        <w:pStyle w:val="ListBullet"/>
        <w:spacing w:after="30"/>
      </w:pPr>
      <w:r>
        <w:t>Do not enable a new ecosystem/oracle until its own parser, world semantics, sandbox profile, fixtures and capability declaration pass.</w:t>
      </w:r>
    </w:p>
    <w:p>
      <w:pPr>
        <w:pStyle w:val="ListBullet"/>
        <w:spacing w:after="30"/>
      </w:pPr>
      <w:r>
        <w:t>Do not add scale infrastructure prematurely; preserve replaceable interfaces, durable jobs, content-addressed evidence and explicit migration triggers.</w:t>
      </w:r>
    </w:p>
    <w:p>
      <w:pPr>
        <w:pStyle w:val="Heading1"/>
      </w:pPr>
      <w:r>
        <w:t>End of document</w:t>
      </w:r>
    </w:p>
    <w:p>
      <w:pPr/>
      <w:r>
        <w:t>Version 3.1 conformance note: the canonical master remains authoritative. The traceability matrix is a delivery control, not permission to redefine MUST/SHOULD/NICE. If the master changes, update the matrix and acceptance tests before changing Gate D status.</w:t>
      </w:r>
    </w:p>
    <w:p>
      <w:r>
        <w:t>FAULTLINE — PS07-Conformant MVP-First Scalable Engineering Plan v3.1</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Engineering baseline v3.1 • 12 October 2026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FAULTLINE  |  MVP-FIRST SCALABLE IMPLEMENTATION PLAN  |  PS07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A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B57"/>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45B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4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Code">
    <w:name w:val="Compact Code"/>
    <w:pPr>
      <w:spacing w:after="20"/>
    </w:pPr>
    <w:rPr>
      <w:rFonts w:ascii="Consolas" w:hAnsi="Consolas"/>
      <w:color w:val="28374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FAULTLINE PS07-Conformant MVP-First Scalable Engineering Plan v3.1</dc:title>
  <dc:subject>Revised phase plan with PS07 MUST conformance gate and traceability matrix</dc:subject>
  <dc:creator>python-docx</dc:creator>
  <cp:keywords/>
  <dc:description>Revised against FAULTLINE_Master_Document.docx and the v3.0 engineering audit checklist.</dc:description>
  <cp:lastModifiedBy/>
  <cp:revision>1</cp:revision>
  <dcterms:created xsi:type="dcterms:W3CDTF">2013-12-23T23:15:00Z</dcterms:created>
  <dcterms:modified xsi:type="dcterms:W3CDTF">2013-12-23T23:15:00Z</dcterms:modified>
  <cp:category/>
</cp:coreProperties>
</file>