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11: रोकड़ प्रवाह विवरण (Chapter 11: Cash Flow Statement)</w:t>
        </w:r>
      </w:hyperlink>
    </w:p>
    <w:p>
      <w:pPr>
        <w:spacing w:before="120" w:after="120"/>
        <w:ind w:left="360"/>
      </w:pPr>
      <w:hyperlink w:anchor="ch_11"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2" w:history="1">
        <w:r>
          <w:rPr>
            <w:color w:val="0563C1"/>
            <w:u w:val="single"/>
            <w:rFonts w:ascii="Mangal" w:hAnsi="Mangal" w:cs="Mangal"/>
            <w:sz w:val="24"/>
            <w:szCs w:val="24"/>
          </w:rPr>
          <w:t>अध्याय 1: कम्प्यूटरीकृत लेखा प्रणाली का अवलोकन (Chapter 1: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कम्प्यूटरीकृत लेखा प्रणाली का उपयोग (Chapter 2: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 प्रकृति एवं मूल्यांकन</w:t>
      </w:r>
    </w:p>
    <w:p>
      <w:pPr>
        <w:keepNext/>
        <w:keepLines/>
        <w:ind w:left="240"/>
      </w:pPr>
      <w:r>
        <w:rPr>
          <w:b w:val="0"/>
          <w:i w:val="0"/>
          <w:rFonts w:ascii="Times New Roman" w:hAnsi="Times New Roman" w:cs="Times New Roman" w:eastAsia="Times New Roman"/>
          <w:color w:val="64748B"/>
          <w:sz w:val="20"/>
        </w:rPr>
        <w:t>Goodwill- Nature and its valuation</w:t>
      </w:r>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ind w:left="0"/>
        <w:jc w:val="center"/>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साझेदारी का पुनर्गठन-विद्यमान साझेदारों के लाभालाभ अनुपातों में परिवर्तन</w:t>
      </w:r>
    </w:p>
    <w:p>
      <w:pPr>
        <w:ind w:left="0"/>
        <w:jc w:val="center"/>
      </w:pPr>
      <w:r>
        <w:rPr>
          <w:b w:val="0"/>
          <w:i w:val="0"/>
          <w:rFonts w:ascii="Times New Roman" w:hAnsi="Times New Roman" w:cs="Times New Roman" w:eastAsia="Times New Roman"/>
          <w:sz w:val="22"/>
        </w:rPr>
        <w:t>Reconstitution of Partnership – Change in profit sharing ratio among the existing partners</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ind w:left="0"/>
        <w:jc w:val="both"/>
      </w:pPr>
      <w:r>
        <w:rPr>
          <w:b w:val="0"/>
          <w:i w:val="0"/>
          <w:rFonts w:ascii="Times New Roman" w:hAnsi="Times New Roman" w:cs="Times New Roman" w:eastAsia="Times New Roman"/>
          <w:sz w:val="22"/>
        </w:rPr>
        <w:t>The Sacrificing partner, on change in profit sharing ratio will be compensated by-</w:t>
      </w:r>
    </w:p>
    <w:p>
      <w:pPr>
        <w:ind w:left="0"/>
        <w:jc w:val="both"/>
      </w:pPr>
      <w:r>
        <w:rPr>
          <w:b w:val="0"/>
          <w:i w:val="0"/>
          <w:rFonts w:ascii="Times New Roman" w:hAnsi="Times New Roman" w:cs="Times New Roman" w:eastAsia="Times New Roman"/>
          <w:sz w:val="22"/>
        </w:rPr>
        <w:t xml:space="preserve">a) Firm      </w:t>
        <w:tab/>
        <w:t>b) All old partners</w:t>
      </w:r>
    </w:p>
    <w:p>
      <w:pPr>
        <w:ind w:left="0"/>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ind w:left="0"/>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ind w:left="0"/>
        <w:jc w:val="both"/>
      </w:pPr>
      <w:r>
        <w:rPr>
          <w:b w:val="0"/>
          <w:i w:val="0"/>
          <w:rFonts w:ascii="Times New Roman" w:hAnsi="Times New Roman" w:cs="Times New Roman" w:eastAsia="Times New Roman"/>
          <w:sz w:val="22"/>
        </w:rPr>
        <w:t>If a partner gets more than his previous share in the reconstituted firm he is called</w:t>
      </w:r>
    </w:p>
    <w:p>
      <w:pPr>
        <w:ind w:left="0"/>
        <w:jc w:val="both"/>
      </w:pPr>
      <w:r>
        <w:rPr>
          <w:b w:val="0"/>
          <w:i w:val="0"/>
          <w:rFonts w:ascii="Times New Roman" w:hAnsi="Times New Roman" w:cs="Times New Roman" w:eastAsia="Times New Roman"/>
          <w:sz w:val="22"/>
        </w:rPr>
        <w:t xml:space="preserve">a) Gainer         </w:t>
        <w:tab/>
        <w:t>b) Sacrificing partner</w:t>
      </w:r>
    </w:p>
    <w:p>
      <w:pPr>
        <w:ind w:left="0"/>
        <w:jc w:val="both"/>
      </w:pPr>
      <w:r>
        <w:rPr>
          <w:b w:val="0"/>
          <w:i w:val="0"/>
          <w:rFonts w:ascii="Times New Roman" w:hAnsi="Times New Roman" w:cs="Times New Roman" w:eastAsia="Times New Roman"/>
          <w:sz w:val="22"/>
        </w:rPr>
        <w:t xml:space="preserve">c) Main partner     </w:t>
        <w:tab/>
        <w:t>d) influencing partner</w:t>
      </w:r>
    </w:p>
    <w:p>
      <w:pPr>
        <w:ind w:left="0"/>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ind w:left="0"/>
        <w:jc w:val="both"/>
      </w:pPr>
      <w:r>
        <w:rPr>
          <w:b w:val="0"/>
          <w:i w:val="0"/>
          <w:rFonts w:ascii="Times New Roman" w:hAnsi="Times New Roman" w:cs="Times New Roman" w:eastAsia="Times New Roman"/>
          <w:sz w:val="22"/>
        </w:rPr>
        <w:t>According to new rules Goodwill should be brought in the books only when it is received......</w:t>
      </w:r>
    </w:p>
    <w:p>
      <w:pPr>
        <w:ind w:left="0"/>
        <w:jc w:val="both"/>
      </w:pPr>
      <w:r>
        <w:rPr>
          <w:b w:val="0"/>
          <w:i w:val="0"/>
          <w:rFonts w:ascii="Times New Roman" w:hAnsi="Times New Roman" w:cs="Times New Roman" w:eastAsia="Times New Roman"/>
          <w:sz w:val="22"/>
        </w:rPr>
        <w:t xml:space="preserve">a) in kind                                                </w:t>
        <w:tab/>
        <w:t>b) in consideration other than cash</w:t>
      </w:r>
    </w:p>
    <w:p>
      <w:pPr>
        <w:ind w:left="0"/>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ind w:left="0"/>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bookmarkStart w:id="10" w:name="ch_10"/>
      <w:pPr>
        <w:pageBreakBefore/>
        <w:jc w:val="center"/>
      </w:pPr>
      <w:r>
        <w:rPr>
          <w:b/>
          <w:i w:val="0"/>
          <w:rFonts w:ascii="Mangal" w:hAnsi="Mangal" w:cs="Mangal" w:eastAsia="Mangal"/>
          <w:sz w:val="30"/>
        </w:rPr>
        <w:t>अध्याय 11: रोकड़ प्रवाह विवरण (</w:t>
      </w:r>
      <w:r>
        <w:rPr>
          <w:b/>
          <w:i w:val="0"/>
          <w:rFonts w:ascii="Times New Roman" w:hAnsi="Times New Roman" w:cs="Times New Roman" w:eastAsia="Times New Roman"/>
          <w:sz w:val="28"/>
        </w:rPr>
        <w:t>Chapter 11: Cash Flow Statement)</w:t>
      </w:r>
      <w:bookmarkEnd w:id="10"/>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ind w:left="720"/>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1" w:name="ch_11"/>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1"/>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2" w:name="ch_12"/>
      <w:pPr>
        <w:pageBreakBefore/>
        <w:jc w:val="center"/>
      </w:pPr>
      <w:r>
        <w:rPr>
          <w:b/>
          <w:i w:val="0"/>
          <w:rFonts w:ascii="Mangal" w:hAnsi="Mangal" w:cs="Mangal" w:eastAsia="Mangal"/>
          <w:sz w:val="30"/>
        </w:rPr>
        <w:t>अध्याय 1: कम्प्यूटरीकृत लेखा प्रणाली का अवलोकन (</w:t>
      </w:r>
      <w:r>
        <w:rPr>
          <w:b/>
          <w:i w:val="0"/>
          <w:rFonts w:ascii="Times New Roman" w:hAnsi="Times New Roman" w:cs="Times New Roman" w:eastAsia="Times New Roman"/>
          <w:sz w:val="28"/>
        </w:rPr>
        <w:t>Chapter 1: 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ind w:left="720"/>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कम्प्यूटरीकृत लेखा प्रणाली का उपयोग (</w:t>
      </w:r>
      <w:r>
        <w:rPr>
          <w:b/>
          <w:i w:val="0"/>
          <w:rFonts w:ascii="Times New Roman" w:hAnsi="Times New Roman" w:cs="Times New Roman" w:eastAsia="Times New Roman"/>
          <w:sz w:val="28"/>
        </w:rPr>
        <w:t>Chapter 2: 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ind w:left="720"/>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sectPr w:rsidR="00FC693F" w:rsidRPr="0006063C" w:rsidSect="00034616">
      <w:pgSz w:w="12240" w:h="15840"/>
      <w:pgMar w:top="1440" w:right="1440" w:bottom="1440" w:left="1440" w:header="720" w:footer="720" w:gutter="0"/>
      <w:cols w:space="720"/>
      <w:docGrid w:linePitch="360"/>
    </w:sectPr>
    <w:tbl>
      <w:tblPr>
        <w:tblW w:w="7324" w:type="dxa"/>
        <w:tblInd w:w="738" w:type="dxa"/>
        <w:tblLook w:val="04A0" w:firstRow="1" w:lastRow="0" w:firstColumn="1" w:lastColumn="0" w:noHBand="0" w:noVBand="1"/>
      </w:tblPr>
      <w:tblGrid>
        <w:gridCol w:w="2448"/>
        <w:gridCol w:w="1170"/>
        <w:gridCol w:w="1853"/>
        <w:gridCol w:w="1853"/>
      </w:tblGrid>
      <w:tr w:rsidR="00E07A23" w:rsidRPr="00F64EA4" w14:paraId="36341A9C" w14:textId="77777777" w:rsidTr="00C23650">
        <w:trPr>
          <w:cantSplit/>
        </w:trPr>
        <w:tc>
          <w:tcPr>
            <w:tcW w:w="2448" w:type="dxa"/>
            <w:tcBorders>
              <w:top w:val="single" w:sz="4" w:space="0" w:color="auto"/>
              <w:bottom w:val="single" w:sz="4" w:space="0" w:color="auto"/>
              <w:right w:val="single" w:sz="4" w:space="0" w:color="auto"/>
            </w:tcBorders>
          </w:tcPr>
          <w:p w14:paraId="009E4F79"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Mangal" w:hAnsi="Mangal" w:cs="Mangal" w:hint="default"/>
                <w:sz w:val="23"/>
                <w:szCs w:val="23"/>
              </w:rPr>
              <w:t>दायित्व (</w:t>
            </w:r>
            <w:r w:rsidRPr="00E55DB3">
              <w:rPr>
                <w:rFonts w:ascii="Times New Roman" w:hAnsi="Times New Roman" w:cs="Times New Roman" w:hint="default"/>
                <w:bCs/>
                <w:sz w:val="21"/>
                <w:szCs w:val="21"/>
              </w:rPr>
              <w:t>Liabilities</w:t>
            </w:r>
            <w:r w:rsidRPr="007A24B0">
              <w:rPr>
                <w:rFonts w:ascii="Times New Roman" w:hAnsi="Times New Roman" w:cs="Times New Roman" w:hint="default"/>
                <w:sz w:val="21"/>
                <w:szCs w:val="21"/>
              </w:rPr>
              <w:t>)</w:t>
            </w:r>
          </w:p>
        </w:tc>
        <w:tc>
          <w:tcPr>
            <w:tcW w:w="1170" w:type="dxa"/>
            <w:tcBorders>
              <w:top w:val="single" w:sz="4" w:space="0" w:color="auto"/>
              <w:left w:val="single" w:sz="4" w:space="0" w:color="auto"/>
              <w:bottom w:val="single" w:sz="4" w:space="0" w:color="auto"/>
              <w:right w:val="single" w:sz="4" w:space="0" w:color="auto"/>
            </w:tcBorders>
          </w:tcPr>
          <w:p w14:paraId="545B8E93"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c>
          <w:tcPr>
            <w:tcW w:w="1853" w:type="dxa"/>
            <w:tcBorders>
              <w:top w:val="single" w:sz="4" w:space="0" w:color="auto"/>
              <w:left w:val="single" w:sz="4" w:space="0" w:color="auto"/>
              <w:bottom w:val="single" w:sz="4" w:space="0" w:color="auto"/>
              <w:right w:val="single" w:sz="4" w:space="0" w:color="auto"/>
            </w:tcBorders>
          </w:tcPr>
          <w:p w14:paraId="57799164" w14:textId="12CB3959"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सम्पत् ि</w:t>
            </w:r>
            <w:r w:rsidR="007A24B0">
              <w:rPr>
                <w:rFonts w:ascii="Mangal" w:hAnsi="Mangal" w:cs="Mangal" w:hint="default"/>
                <w:sz w:val="23"/>
                <w:szCs w:val="23"/>
              </w:rPr>
              <w:t>ा</w:t>
            </w:r>
            <w:r w:rsidRPr="007A24B0">
              <w:rPr>
                <w:rFonts w:ascii="Mangal" w:hAnsi="Mangal" w:cs="Mangal" w:hint="default"/>
                <w:sz w:val="23"/>
                <w:szCs w:val="23"/>
              </w:rPr>
              <w:t>याॅ (</w:t>
            </w:r>
            <w:r w:rsidRPr="00E55DB3">
              <w:rPr>
                <w:rFonts w:ascii="Times New Roman" w:hAnsi="Times New Roman" w:cs="Times New Roman" w:hint="default"/>
                <w:bCs/>
                <w:sz w:val="21"/>
                <w:szCs w:val="21"/>
              </w:rPr>
              <w:t>Assets</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6DCB9586"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r>
      <w:tr w:rsidR="00E07A23" w:rsidRPr="00F64EA4" w14:paraId="7C12720D" w14:textId="77777777" w:rsidTr="00C23650">
        <w:trPr>
          <w:cantSplit/>
        </w:trPr>
        <w:tc>
          <w:tcPr>
            <w:tcW w:w="2448" w:type="dxa"/>
            <w:tcBorders>
              <w:top w:val="single" w:sz="4" w:space="0" w:color="auto"/>
              <w:bottom w:val="single" w:sz="4" w:space="0" w:color="auto"/>
              <w:right w:val="single" w:sz="4" w:space="0" w:color="auto"/>
            </w:tcBorders>
          </w:tcPr>
          <w:p w14:paraId="07ED9FE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लेनदार (</w:t>
            </w:r>
            <w:r w:rsidRPr="00E55DB3">
              <w:rPr>
                <w:rFonts w:ascii="Times New Roman" w:hAnsi="Times New Roman" w:cs="Times New Roman" w:hint="default"/>
                <w:bCs/>
                <w:sz w:val="21"/>
                <w:szCs w:val="21"/>
              </w:rPr>
              <w:t>Creditors</w:t>
            </w:r>
            <w:r w:rsidRPr="007A24B0">
              <w:rPr>
                <w:rFonts w:ascii="Times New Roman" w:hAnsi="Times New Roman" w:cs="Times New Roman" w:hint="default"/>
                <w:sz w:val="21"/>
                <w:szCs w:val="21"/>
              </w:rPr>
              <w:t>)</w:t>
            </w:r>
          </w:p>
          <w:p w14:paraId="421D04F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देय विपत्र (</w:t>
            </w:r>
            <w:r w:rsidRPr="00E55DB3">
              <w:rPr>
                <w:rFonts w:ascii="Times New Roman" w:hAnsi="Times New Roman" w:cs="Times New Roman" w:hint="default"/>
                <w:bCs/>
                <w:sz w:val="21"/>
                <w:szCs w:val="21"/>
              </w:rPr>
              <w:t>Bill Payable</w:t>
            </w:r>
            <w:r w:rsidRPr="007A24B0">
              <w:rPr>
                <w:rFonts w:ascii="Times New Roman" w:hAnsi="Times New Roman" w:cs="Times New Roman" w:hint="default"/>
                <w:sz w:val="21"/>
                <w:szCs w:val="21"/>
              </w:rPr>
              <w:t>)</w:t>
            </w:r>
          </w:p>
          <w:p w14:paraId="6E55391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अदत्त वेतन</w:t>
            </w:r>
          </w:p>
          <w:p w14:paraId="567C5018" w14:textId="77777777" w:rsidR="00E07A23" w:rsidRPr="00E55DB3" w:rsidRDefault="00E07A23" w:rsidP="00C23650">
            <w:pPr>
              <w:pStyle w:val="ListParagraph"/>
              <w:spacing w:after="0" w:line="312" w:lineRule="auto"/>
              <w:ind w:left="0" w:right="-86"/>
              <w:jc w:val="both"/>
              <w:rPr>
                <w:rFonts w:ascii="Times New Roman" w:hAnsi="Times New Roman" w:cs="Times New Roman" w:hint="default"/>
                <w:bCs/>
                <w:sz w:val="24"/>
                <w:szCs w:val="22"/>
              </w:rPr>
            </w:pPr>
            <w:r w:rsidRPr="00E55DB3">
              <w:rPr>
                <w:rFonts w:ascii="Times New Roman" w:hAnsi="Times New Roman" w:cs="Times New Roman" w:hint="default"/>
                <w:bCs/>
                <w:sz w:val="21"/>
                <w:szCs w:val="21"/>
              </w:rPr>
              <w:t>(Outstanding salary)</w:t>
            </w:r>
          </w:p>
          <w:p w14:paraId="7A1984A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पूंजी</w:t>
            </w:r>
            <w:r w:rsidRPr="00E55DB3">
              <w:rPr>
                <w:rFonts w:ascii="Times New Roman" w:hAnsi="Times New Roman" w:cs="Times New Roman" w:hint="default"/>
                <w:bCs/>
                <w:sz w:val="21"/>
                <w:szCs w:val="21"/>
              </w:rPr>
              <w:t>(Capital)</w:t>
            </w:r>
            <w:r w:rsidRPr="007A24B0">
              <w:rPr>
                <w:rFonts w:ascii="Times New Roman" w:hAnsi="Times New Roman" w:cs="Times New Roman" w:hint="default"/>
                <w:sz w:val="21"/>
                <w:szCs w:val="21"/>
              </w:rPr>
              <w:t xml:space="preserve"/>
            </w:r>
          </w:p>
          <w:p w14:paraId="4002F600" w14:textId="0A70A8F4"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ए</w:t>
            </w:r>
            <w:r w:rsidRPr="00E55DB3">
              <w:rPr>
                <w:rFonts w:ascii="Times New Roman" w:hAnsi="Times New Roman" w:cs="Times New Roman" w:hint="default"/>
                <w:bCs/>
                <w:sz w:val="21"/>
                <w:szCs w:val="21"/>
              </w:rPr>
              <w:t>A</w:t>
            </w:r>
            <w:r w:rsidR="00965F17">
              <w:rPr>
                <w:rFonts w:ascii="Times New Roman" w:hAnsi="Times New Roman" w:cs="Times New Roman" w:hint="default"/>
                <w:bCs/>
                <w:sz w:val="21"/>
                <w:szCs w:val="21"/>
              </w:rPr>
              <w:t xml:space="preserve"> </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2,00,000</w:t>
            </w:r>
          </w:p>
          <w:p w14:paraId="4CA4373D" w14:textId="77C4E48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बी</w:t>
            </w:r>
            <w:r w:rsidRPr="00E55DB3">
              <w:rPr>
                <w:rFonts w:ascii="Times New Roman" w:hAnsi="Times New Roman" w:cs="Times New Roman" w:hint="default"/>
                <w:bCs/>
                <w:sz w:val="21"/>
                <w:szCs w:val="21"/>
              </w:rPr>
              <w:t>B</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1,30,000</w:t>
            </w:r>
          </w:p>
        </w:tc>
        <w:tc>
          <w:tcPr>
            <w:tcW w:w="1170" w:type="dxa"/>
            <w:tcBorders>
              <w:top w:val="single" w:sz="4" w:space="0" w:color="auto"/>
              <w:left w:val="single" w:sz="4" w:space="0" w:color="auto"/>
              <w:bottom w:val="single" w:sz="4" w:space="0" w:color="auto"/>
              <w:right w:val="single" w:sz="4" w:space="0" w:color="auto"/>
            </w:tcBorders>
          </w:tcPr>
          <w:p w14:paraId="52E805D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28,000</w:t>
            </w:r>
          </w:p>
          <w:p w14:paraId="2A33D08F" w14:textId="77777777" w:rsidR="00E07A23"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5877910A" w14:textId="77777777" w:rsidR="00965F17" w:rsidRPr="007A24B0" w:rsidRDefault="00965F17" w:rsidP="00C23650">
            <w:pPr>
              <w:pStyle w:val="ListParagraph"/>
              <w:spacing w:after="0" w:line="312" w:lineRule="auto"/>
              <w:ind w:left="0" w:right="-86"/>
              <w:jc w:val="both"/>
              <w:rPr>
                <w:rFonts w:ascii="Mangal" w:hAnsi="Mangal" w:cs="Mangal" w:hint="default"/>
                <w:sz w:val="32"/>
              </w:rPr>
            </w:pPr>
          </w:p>
          <w:p w14:paraId="20D4C92E"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2,000</w:t>
            </w:r>
          </w:p>
          <w:p w14:paraId="1E36AB47"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325573CC" w14:textId="493150F0" w:rsidR="00E07A23" w:rsidRDefault="00E07A23" w:rsidP="00C23650">
            <w:pPr>
              <w:pStyle w:val="ListParagraph"/>
              <w:spacing w:after="0" w:line="312" w:lineRule="auto"/>
              <w:ind w:left="0" w:right="-86"/>
              <w:jc w:val="both"/>
              <w:rPr>
                <w:rFonts w:ascii="Mangal" w:hAnsi="Mangal" w:cs="Mangal" w:hint="default"/>
                <w:sz w:val="32"/>
              </w:rPr>
            </w:pPr>
          </w:p>
          <w:p w14:paraId="4A1EE0A5" w14:textId="77777777" w:rsidR="00965F17" w:rsidRDefault="00965F17" w:rsidP="00C23650">
            <w:pPr>
              <w:pStyle w:val="ListParagraph"/>
              <w:spacing w:after="0" w:line="312" w:lineRule="auto"/>
              <w:ind w:left="0" w:right="-86"/>
              <w:jc w:val="both"/>
              <w:rPr>
                <w:rFonts w:ascii="Mangal" w:hAnsi="Mangal" w:cs="Mangal" w:hint="default"/>
                <w:sz w:val="32"/>
              </w:rPr>
            </w:pPr>
          </w:p>
          <w:p w14:paraId="2C20F039" w14:textId="77777777" w:rsidR="00965F17" w:rsidRDefault="00965F17" w:rsidP="00C23650">
            <w:pPr>
              <w:pStyle w:val="ListParagraph"/>
              <w:spacing w:after="0" w:line="312" w:lineRule="auto"/>
              <w:ind w:left="0" w:right="-86"/>
              <w:jc w:val="both"/>
              <w:rPr>
                <w:rFonts w:ascii="Mangal" w:hAnsi="Mangal" w:cs="Mangal" w:hint="default"/>
                <w:sz w:val="32"/>
              </w:rPr>
            </w:pPr>
          </w:p>
          <w:p w14:paraId="22DA726B" w14:textId="77777777" w:rsidR="00965F17" w:rsidRPr="00965F17" w:rsidRDefault="00965F17" w:rsidP="00C23650">
            <w:pPr>
              <w:pStyle w:val="ListParagraph"/>
              <w:spacing w:after="0" w:line="312" w:lineRule="auto"/>
              <w:ind w:left="0" w:right="-86"/>
              <w:jc w:val="both"/>
              <w:rPr>
                <w:rFonts w:ascii="Mangal" w:hAnsi="Mangal" w:cs="Mangal" w:hint="default"/>
                <w:sz w:val="24"/>
                <w:szCs w:val="16"/>
              </w:rPr>
            </w:pPr>
          </w:p>
          <w:p w14:paraId="52A6B3A8" w14:textId="3513854F" w:rsidR="00E07A23" w:rsidRPr="007A24B0" w:rsidRDefault="00965F17" w:rsidP="00C23650">
            <w:pPr>
              <w:pStyle w:val="ListParagraph"/>
              <w:spacing w:after="0" w:line="312" w:lineRule="auto"/>
              <w:ind w:left="0" w:right="-86"/>
              <w:jc w:val="both"/>
              <w:rPr>
                <w:rFonts w:ascii="Mangal" w:hAnsi="Mangal" w:cs="Mangal" w:hint="default"/>
                <w:sz w:val="32"/>
              </w:rPr>
            </w:pPr>
            <w:r>
              <w:rPr>
                <w:rFonts w:ascii="Times New Roman" w:hAnsi="Times New Roman" w:cs="Times New Roman" w:hint="default"/>
                <w:sz w:val="21"/>
                <w:szCs w:val="21"/>
              </w:rPr>
              <w:t>3</w:t>
            </w:r>
            <w:r w:rsidR="00E07A23" w:rsidRPr="007A24B0">
              <w:rPr>
                <w:rFonts w:ascii="Times New Roman" w:hAnsi="Times New Roman" w:cs="Times New Roman" w:hint="default"/>
                <w:sz w:val="21"/>
                <w:szCs w:val="21"/>
              </w:rPr>
              <w:t>,30,000</w:t>
            </w:r>
          </w:p>
        </w:tc>
        <w:tc>
          <w:tcPr>
            <w:tcW w:w="1853" w:type="dxa"/>
            <w:tcBorders>
              <w:top w:val="single" w:sz="4" w:space="0" w:color="auto"/>
              <w:left w:val="single" w:sz="4" w:space="0" w:color="auto"/>
              <w:bottom w:val="single" w:sz="4" w:space="0" w:color="auto"/>
              <w:right w:val="single" w:sz="4" w:space="0" w:color="auto"/>
            </w:tcBorders>
          </w:tcPr>
          <w:p w14:paraId="60471C41"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बैक में रोकड</w:t>
            </w:r>
          </w:p>
          <w:p w14:paraId="2313DCD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w:t>
            </w:r>
            <w:r w:rsidRPr="00E55DB3">
              <w:rPr>
                <w:rFonts w:ascii="Times New Roman" w:hAnsi="Times New Roman" w:cs="Times New Roman" w:hint="default"/>
                <w:bCs/>
                <w:sz w:val="21"/>
                <w:szCs w:val="21"/>
              </w:rPr>
              <w:t>Cash at bank</w:t>
            </w:r>
            <w:r w:rsidRPr="007A24B0">
              <w:rPr>
                <w:rFonts w:ascii="Times New Roman" w:hAnsi="Times New Roman" w:cs="Times New Roman" w:hint="default"/>
                <w:sz w:val="21"/>
                <w:szCs w:val="21"/>
              </w:rPr>
              <w:t>)</w:t>
            </w:r>
          </w:p>
          <w:p w14:paraId="4C0C7EF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देनदार(</w:t>
            </w:r>
            <w:r w:rsidRPr="00E55DB3">
              <w:rPr>
                <w:rFonts w:ascii="Times New Roman" w:hAnsi="Times New Roman" w:cs="Times New Roman" w:hint="default"/>
                <w:bCs/>
                <w:sz w:val="21"/>
                <w:szCs w:val="21"/>
              </w:rPr>
              <w:t>Debtors</w:t>
            </w:r>
            <w:r w:rsidRPr="007A24B0">
              <w:rPr>
                <w:rFonts w:ascii="Times New Roman" w:hAnsi="Times New Roman" w:cs="Times New Roman" w:hint="default"/>
                <w:sz w:val="21"/>
                <w:szCs w:val="21"/>
              </w:rPr>
              <w:t>)</w:t>
            </w:r>
          </w:p>
          <w:p w14:paraId="166FDFE4"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स्टाॅक(</w:t>
            </w:r>
            <w:r w:rsidRPr="00E55DB3">
              <w:rPr>
                <w:rFonts w:ascii="Times New Roman" w:hAnsi="Times New Roman" w:cs="Times New Roman" w:hint="default"/>
                <w:bCs/>
                <w:sz w:val="21"/>
                <w:szCs w:val="21"/>
              </w:rPr>
              <w:t>Stock</w:t>
            </w:r>
            <w:r w:rsidRPr="007A24B0">
              <w:rPr>
                <w:rFonts w:ascii="Times New Roman" w:hAnsi="Times New Roman" w:cs="Times New Roman" w:hint="default"/>
                <w:sz w:val="21"/>
                <w:szCs w:val="21"/>
              </w:rPr>
              <w:t>)</w:t>
            </w:r>
          </w:p>
          <w:p w14:paraId="5CECE19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यंत्र(</w:t>
            </w:r>
            <w:r w:rsidRPr="00E55DB3">
              <w:rPr>
                <w:rFonts w:ascii="Times New Roman" w:hAnsi="Times New Roman" w:cs="Times New Roman" w:hint="default"/>
                <w:bCs/>
                <w:sz w:val="21"/>
                <w:szCs w:val="21"/>
              </w:rPr>
              <w:t>Plant</w:t>
            </w:r>
            <w:r w:rsidRPr="007A24B0">
              <w:rPr>
                <w:rFonts w:ascii="Times New Roman" w:hAnsi="Times New Roman" w:cs="Times New Roman" w:hint="default"/>
                <w:sz w:val="21"/>
                <w:szCs w:val="21"/>
              </w:rPr>
              <w:t>)</w:t>
            </w:r>
          </w:p>
          <w:p w14:paraId="0697BE7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भूमि व भवन</w:t>
            </w:r>
          </w:p>
          <w:p w14:paraId="0673B0A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w:t>
            </w:r>
            <w:r w:rsidRPr="00E55DB3">
              <w:rPr>
                <w:rFonts w:ascii="Times New Roman" w:hAnsi="Times New Roman" w:cs="Times New Roman" w:hint="default"/>
                <w:bCs/>
                <w:sz w:val="21"/>
                <w:szCs w:val="21"/>
              </w:rPr>
              <w:t>Land&amp; Building</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1F4DD2F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50,000</w:t>
            </w:r>
          </w:p>
          <w:p w14:paraId="07A1FEDB"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6CBADDD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60,000</w:t>
            </w:r>
          </w:p>
          <w:p w14:paraId="57DD697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64246E92"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1,00,000</w:t>
            </w:r>
          </w:p>
          <w:p w14:paraId="64B2BD8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1,50,000</w:t>
            </w:r>
          </w:p>
          <w:p w14:paraId="381E438E"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tc>
      </w:tr>
      <w:tr w:rsidR="00E07A23" w:rsidRPr="00F64EA4" w14:paraId="4B539725" w14:textId="77777777" w:rsidTr="00C23650">
        <w:trPr>
          <w:cantSplit/>
        </w:trPr>
        <w:tc>
          <w:tcPr>
            <w:tcW w:w="2448" w:type="dxa"/>
            <w:tcBorders>
              <w:top w:val="single" w:sz="4" w:space="0" w:color="auto"/>
              <w:bottom w:val="single" w:sz="4" w:space="0" w:color="auto"/>
              <w:right w:val="single" w:sz="4" w:space="0" w:color="auto"/>
            </w:tcBorders>
          </w:tcPr>
          <w:p w14:paraId="6AAE6A43"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170" w:type="dxa"/>
            <w:tcBorders>
              <w:top w:val="single" w:sz="4" w:space="0" w:color="auto"/>
              <w:left w:val="single" w:sz="4" w:space="0" w:color="auto"/>
              <w:bottom w:val="single" w:sz="4" w:space="0" w:color="auto"/>
              <w:right w:val="single" w:sz="4" w:space="0" w:color="auto"/>
            </w:tcBorders>
          </w:tcPr>
          <w:p w14:paraId="402F6AD3"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c>
          <w:tcPr>
            <w:tcW w:w="1853" w:type="dxa"/>
            <w:tcBorders>
              <w:top w:val="single" w:sz="4" w:space="0" w:color="auto"/>
              <w:left w:val="single" w:sz="4" w:space="0" w:color="auto"/>
              <w:bottom w:val="single" w:sz="4" w:space="0" w:color="auto"/>
              <w:right w:val="single" w:sz="4" w:space="0" w:color="auto"/>
            </w:tcBorders>
          </w:tcPr>
          <w:p w14:paraId="7621FC5D"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853" w:type="dxa"/>
            <w:tcBorders>
              <w:top w:val="single" w:sz="4" w:space="0" w:color="auto"/>
              <w:left w:val="single" w:sz="4" w:space="0" w:color="auto"/>
              <w:bottom w:val="single" w:sz="4" w:space="0" w:color="auto"/>
            </w:tcBorders>
          </w:tcPr>
          <w:p w14:paraId="10DB6237"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r>
      <w:tr w:rsidR="00E07A23" w:rsidRPr="00F64EA4" w14:paraId="10F4C1BB" w14:textId="77777777" w:rsidTr="00C23650">
        <w:trPr>
          <w:trHeight w:val="80"/>
          <w:cantSplit/>
        </w:trPr>
        <w:tc>
          <w:tcPr>
            <w:tcW w:w="2448" w:type="dxa"/>
            <w:tcBorders>
              <w:top w:val="single" w:sz="4" w:space="0" w:color="auto"/>
            </w:tcBorders>
          </w:tcPr>
          <w:p w14:paraId="60DA4500"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170" w:type="dxa"/>
            <w:tcBorders>
              <w:top w:val="single" w:sz="4" w:space="0" w:color="auto"/>
            </w:tcBorders>
          </w:tcPr>
          <w:p w14:paraId="3095F3AF"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03B23C85"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67C879C7"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r>
    </w:tbl>
    <w:tbl>
      <w:tblPr>
        <w:tblW w:w="8730" w:type="dxa"/>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58"/>
        <w:gridCol w:w="900"/>
        <w:gridCol w:w="2790"/>
        <w:gridCol w:w="1782"/>
      </w:tblGrid>
      <w:tr w:rsidR="00E07A23" w:rsidRPr="003263F5" w14:paraId="2783E07B" w14:textId="77777777" w:rsidTr="00C23650">
        <w:trPr>
          <w:cantSplit/>
        </w:trPr>
        <w:tc>
          <w:tcPr>
            <w:tcW w:w="3258" w:type="dxa"/>
          </w:tcPr>
          <w:p w14:paraId="43C7B827" w14:textId="77777777" w:rsidR="00E07A23" w:rsidRPr="00693157" w:rsidRDefault="00E07A23" w:rsidP="00C23650">
            <w:pPr>
              <w:pStyle w:val="ListParagraph"/>
              <w:spacing w:after="0" w:line="360" w:lineRule="auto"/>
              <w:ind w:left="0" w:right="-90"/>
              <w:jc w:val="both"/>
              <w:rPr>
                <w:rFonts w:ascii="Mangal" w:hAnsi="Mangal" w:cs="Mangal" w:hint="default"/>
                <w:bCs/>
                <w:sz w:val="28"/>
              </w:rPr>
            </w:pPr>
            <w:r w:rsidRPr="00693157">
              <w:rPr>
                <w:rFonts w:ascii="Mangal" w:hAnsi="Mangal" w:cs="Mangal" w:hint="default"/>
                <w:bCs/>
                <w:sz w:val="23"/>
                <w:szCs w:val="23"/>
              </w:rPr>
              <w:t xml:space="preserve">दायित्व</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Liabilities</w:t>
            </w:r>
            <w:r w:rsidRPr="00693157">
              <w:rPr>
                <w:rFonts w:ascii="Times New Roman" w:hAnsi="Times New Roman" w:cs="Times New Roman" w:hint="default"/>
                <w:bCs/>
                <w:sz w:val="21"/>
                <w:szCs w:val="21"/>
              </w:rPr>
              <w:t>)</w:t>
            </w:r>
          </w:p>
        </w:tc>
        <w:tc>
          <w:tcPr>
            <w:tcW w:w="900" w:type="dxa"/>
          </w:tcPr>
          <w:p w14:paraId="5FF08B0E"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c>
          <w:tcPr>
            <w:tcW w:w="2790" w:type="dxa"/>
          </w:tcPr>
          <w:p w14:paraId="2A137E97"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सम्पत् ि</w:t>
            </w:r>
            <w:r>
              <w:rPr>
                <w:rFonts w:ascii="Mangal" w:hAnsi="Mangal" w:cs="Mangal" w:hint="default"/>
                <w:bCs/>
                <w:sz w:val="23"/>
                <w:szCs w:val="23"/>
              </w:rPr>
              <w:t>ा</w:t>
            </w:r>
            <w:r w:rsidRPr="00693157">
              <w:rPr>
                <w:rFonts w:ascii="Mangal" w:hAnsi="Mangal" w:cs="Mangal" w:hint="default"/>
                <w:bCs/>
                <w:sz w:val="23"/>
                <w:szCs w:val="23"/>
              </w:rPr>
              <w:t xml:space="preserve">याॅ</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Assets</w:t>
            </w:r>
            <w:r w:rsidRPr="00693157">
              <w:rPr>
                <w:rFonts w:ascii="Times New Roman" w:hAnsi="Times New Roman" w:cs="Times New Roman" w:hint="default"/>
                <w:bCs/>
                <w:sz w:val="21"/>
                <w:szCs w:val="21"/>
              </w:rPr>
              <w:t>)</w:t>
            </w:r>
          </w:p>
        </w:tc>
        <w:tc>
          <w:tcPr>
            <w:tcW w:w="1782" w:type="dxa"/>
          </w:tcPr>
          <w:p w14:paraId="48EC2CEA"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r>
      <w:tr w:rsidR="00E07A23" w:rsidRPr="003263F5" w14:paraId="0F0275F6" w14:textId="77777777" w:rsidTr="00C23650">
        <w:trPr>
          <w:cantSplit/>
        </w:trPr>
        <w:tc>
          <w:tcPr>
            <w:tcW w:w="3258" w:type="dxa"/>
          </w:tcPr>
          <w:p w14:paraId="09478F80" w14:textId="77777777" w:rsidR="00E07A23" w:rsidRPr="00693157" w:rsidRDefault="00E07A23" w:rsidP="00C23650">
            <w:pPr>
              <w:pStyle w:val="ListParagraph"/>
              <w:spacing w:after="0" w:line="360" w:lineRule="auto"/>
              <w:ind w:left="0" w:right="-90"/>
              <w:jc w:val="both"/>
              <w:rPr>
                <w:rFonts w:ascii="Mangal" w:hAnsi="Mangal" w:cs="Mangal" w:hint="default"/>
                <w:bCs/>
                <w:sz w:val="32"/>
              </w:rPr>
            </w:pPr>
            <w:r w:rsidRPr="00693157">
              <w:rPr>
                <w:rFonts w:ascii="Mangal" w:hAnsi="Mangal" w:cs="Mangal" w:hint="default"/>
                <w:bCs/>
                <w:sz w:val="23"/>
                <w:szCs w:val="23"/>
              </w:rPr>
              <w:t>विनियोग उच्चावचन संचय</w:t>
            </w:r>
          </w:p>
          <w:p w14:paraId="1958D98D" w14:textId="77777777" w:rsidR="00E07A23" w:rsidRPr="003263F5" w:rsidRDefault="00E07A23" w:rsidP="00C23650">
            <w:pPr>
              <w:pStyle w:val="ListParagraph"/>
              <w:spacing w:after="0" w:line="360" w:lineRule="auto"/>
              <w:ind w:left="0" w:right="-90"/>
              <w:jc w:val="both"/>
              <w:rPr>
                <w:rFonts w:ascii="Mangal" w:hAnsi="Mangal" w:cs="Mangal" w:hint="default"/>
                <w:b/>
                <w:bCs/>
                <w:sz w:val="32"/>
                <w:szCs w:val="32"/>
              </w:rPr>
            </w:pPr>
            <w:r w:rsidRPr="003263F5">
              <w:rPr>
                <w:rFonts w:ascii="Times New Roman" w:hAnsi="Times New Roman" w:cs="Times New Roman" w:hint="default"/>
                <w:bCs/>
                <w:sz w:val="21"/>
                <w:szCs w:val="21"/>
              </w:rPr>
              <w:t>Investment Fluctuation Reserve</w:t>
            </w:r>
          </w:p>
        </w:tc>
        <w:tc>
          <w:tcPr>
            <w:tcW w:w="900" w:type="dxa"/>
          </w:tcPr>
          <w:p w14:paraId="009EA49C"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3,000</w:t>
            </w:r>
          </w:p>
        </w:tc>
        <w:tc>
          <w:tcPr>
            <w:tcW w:w="2790" w:type="dxa"/>
          </w:tcPr>
          <w:p w14:paraId="611D927E" w14:textId="77777777" w:rsidR="00E07A23" w:rsidRPr="00693157" w:rsidRDefault="00E07A23" w:rsidP="00C23650">
            <w:pPr>
              <w:pStyle w:val="ListParagraph"/>
              <w:spacing w:after="0" w:line="360" w:lineRule="auto"/>
              <w:ind w:left="0" w:right="-90"/>
              <w:jc w:val="center"/>
              <w:rPr>
                <w:rFonts w:ascii="Mangal" w:hAnsi="Mangal" w:cs="Mangal" w:hint="default"/>
                <w:bCs/>
                <w:sz w:val="32"/>
              </w:rPr>
            </w:pPr>
            <w:r w:rsidRPr="00693157">
              <w:rPr>
                <w:rFonts w:ascii="Mangal" w:hAnsi="Mangal" w:cs="Mangal" w:hint="default"/>
                <w:bCs/>
                <w:sz w:val="23"/>
                <w:szCs w:val="23"/>
              </w:rPr>
              <w:t>विनियोग (लागत पर)</w:t>
            </w:r>
          </w:p>
          <w:p w14:paraId="4689D0DA"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Investment (At cost)</w:t>
            </w:r>
          </w:p>
        </w:tc>
        <w:tc>
          <w:tcPr>
            <w:tcW w:w="1782" w:type="dxa"/>
          </w:tcPr>
          <w:p w14:paraId="301E21C6"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40,000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