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  <w:r>
        <w:rPr>
          <w:rFonts w:ascii="Aptos Display" w:hAnsi="Aptos Display"/>
          <w:b/>
          <w:color w:val="17365D"/>
          <w:sz w:val="58"/>
        </w:rPr>
        <w:t>LotNeeti Product Requirements Document</w:t>
      </w:r>
    </w:p>
    <w:p>
      <w:pPr>
        <w:jc w:val="center"/>
      </w:pPr>
      <w:r>
        <w:rPr>
          <w:color w:val="2F5597"/>
          <w:sz w:val="26"/>
        </w:rPr>
        <w:t>Website + Android APK for multi-PAN Indian IPO planning, tracking and profit</w:t>
      </w:r>
    </w:p>
    <w:p>
      <w:pPr>
        <w:jc w:val="center"/>
      </w:pPr>
      <w:r>
        <w:rPr>
          <w:color w:val="696969"/>
          <w:sz w:val="19"/>
        </w:rPr>
        <w:t>Version 2.1 • Approved Planner baseline • September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LotNeeti is a family/group IPO operations product for users who manage applications across multiple PAN holders, demat accounts, bank accounts and UPI handles. The product helps a user discover and review IPOs, create a funding-aware application plan, export broker-ready files, track blocks and allotments, and calculate realized profit after sale.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Approved product principle: </w:t>
            </w:r>
            <w:r>
              <w:rPr>
                <w:sz w:val="19"/>
              </w:rPr>
              <w:t>Automation proposes; the user decides. Every generated IPO selection and every application mapping remains editable before export. Planner Algorithm v2 and its companion test matrix are the authoritative source for planning behavior.</w:t>
            </w:r>
          </w:p>
        </w:tc>
      </w:tr>
    </w:tbl>
    <w:p>
      <w:pPr>
        <w:pStyle w:val="Heading2"/>
      </w:pPr>
      <w:r>
        <w:t>1.1 Success definition</w:t>
      </w:r>
    </w:p>
    <w:p>
      <w:pPr>
        <w:pStyle w:val="ListBullet"/>
      </w:pPr>
      <w:r>
        <w:t>A non-technical user can add investors, banks, demats and UPIs, generate a valid plan and export it without understanding optimizer internals.</w:t>
      </w:r>
    </w:p>
    <w:p>
      <w:pPr>
        <w:pStyle w:val="ListBullet"/>
      </w:pPr>
      <w:r>
        <w:t>The planner maximizes PAN coverage first, respects user priority and cash/UPI limits, and remains deterministic for identical inputs.</w:t>
      </w:r>
    </w:p>
    <w:p>
      <w:pPr>
        <w:pStyle w:val="ListBullet"/>
      </w:pPr>
      <w:r>
        <w:t>A user can change bank, UPI, demat, category or lots after planning and immediately see whether the row is valid.</w:t>
      </w:r>
    </w:p>
    <w:p>
      <w:pPr>
        <w:pStyle w:val="ListBullet"/>
      </w:pPr>
      <w:r>
        <w:t>Balance, blocked funds, planned funds, allotment and profit can be maintained with very simple actions rather than accounting workflows.</w:t>
      </w:r>
    </w:p>
    <w:p>
      <w:pPr>
        <w:pStyle w:val="ListBullet"/>
      </w:pPr>
      <w:r>
        <w:t>The founder can run the beta alone using a single platform-admin account and AWS student credits.</w:t>
      </w:r>
    </w:p>
    <w:p>
      <w:pPr>
        <w:pStyle w:val="Heading1"/>
      </w:pPr>
      <w:r>
        <w:t>2. Users, Workspaces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691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Primary need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Workspace Owner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Manage own/family investor data, planning, exports, tracking, settings and members.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Workspace Operator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Daily investor/bank/plan/tracking work without ownership/security administration.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Workspace Viewer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Read-only dashboards and reports with sensitive values masked unless permitted.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Founder Admin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Platform-wide administration during beta: IPO/GMP data, planner defaults, users, support and security.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Future platform staff roles</w:t>
            </w:r>
          </w:p>
        </w:tc>
        <w:tc>
          <w:tcPr>
            <w:tcW w:type="dxa" w:w="69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Data Editor, Planner Admin, Support and Security Admin can be separated later without changing workspace roles.</w:t>
            </w:r>
          </w:p>
        </w:tc>
      </w:tr>
    </w:tbl>
    <w:p>
      <w:r>
        <w:t>For beta, the founder account is both Founder Admin and Workspace Owner. Workspace Owner does not imply platform-wide access for public customers.</w:t>
      </w:r>
    </w:p>
    <w:p>
      <w:pPr>
        <w:pStyle w:val="Heading1"/>
      </w:pPr>
      <w:r>
        <w:t>3. V1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1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V1 requirement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Investor master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Create/edit investor, PAN, priority, active state and one or more demats/banks/UPIs.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Import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Import the supplied account master Excel format and report row-level errors.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IPO discovery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Show upcoming/open IPOs, GMP %, issue facts and a short company/financial summary.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IPO selection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Auto-select from a workspace GMP threshold; user may manually apply or skip any IPO.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Planning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Generate Retail/sHNI application mappings across PANs, banks and UPIs using Planner v2.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Plan editing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Change applicant, category, lots, demat, bank, UPI and lock/unlock rows before export.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Funding preferences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Per-beneficiary preferred cross-funding banks plus owner-cash protection.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Balance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+ Add Money, - Remove Money and Set Balance; scheduled recurring debits such as EMI.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Export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Excel/CSV adapters; first adapter maps to the uploaded account/broker template where applicable.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Tracking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Submitted, blocked, allotted/not allotted, debit/unblock and share credit state.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Profit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Record sale quantity/price/charges and show realized P&amp;L by IPO, investor and workspace.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Admin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Manage IPO/GMP content, provider health, planner policies, feature flags and AI summaries.</w:t>
            </w:r>
          </w:p>
        </w:tc>
      </w:tr>
    </w:tbl>
    <w:p>
      <w:pPr>
        <w:pStyle w:val="Heading2"/>
      </w:pPr>
      <w:r>
        <w:t>3.1 Explicitly out of V1</w:t>
      </w:r>
    </w:p>
    <w:p>
      <w:pPr>
        <w:pStyle w:val="ListBullet"/>
      </w:pPr>
      <w:r>
        <w:t>Automatic broker or bank login, OTP capture, mandate approval or IPO submission.</w:t>
      </w:r>
    </w:p>
    <w:p>
      <w:pPr>
        <w:pStyle w:val="ListBullet"/>
      </w:pPr>
      <w:r>
        <w:t>Bank-statement reconciliation, complex accounting or tax-return preparation.</w:t>
      </w:r>
    </w:p>
    <w:p>
      <w:pPr>
        <w:pStyle w:val="ListBullet"/>
      </w:pPr>
      <w:r>
        <w:t>Guaranteed investment recommendations or universal “apply” rules for all users.</w:t>
      </w:r>
    </w:p>
    <w:p>
      <w:pPr>
        <w:pStyle w:val="ListBullet"/>
      </w:pPr>
      <w:r>
        <w:t>Production microservices, Kubernetes or expensive high-availability infrastructure during beta.</w:t>
      </w:r>
    </w:p>
    <w:p>
      <w:pPr>
        <w:pStyle w:val="Heading1"/>
      </w:pPr>
      <w:r>
        <w:t>4. Core User Journey</w:t>
      </w:r>
    </w:p>
    <w:p>
      <w:r>
        <w:t>1.  Create workspace and add/import investors, demats, banks and UPIs.</w:t>
      </w:r>
    </w:p>
    <w:p>
      <w:r>
        <w:t>2.  Set each bank balance using Set Balance, then maintain changes with + or - when convenient.</w:t>
      </w:r>
    </w:p>
    <w:p>
      <w:r>
        <w:t>3.  Optionally set recurring debits such as EMI and preferred cross-funding banks for beneficiaries.</w:t>
      </w:r>
    </w:p>
    <w:p>
      <w:r>
        <w:t>4.  Review open/upcoming IPOs. Workspace GMP threshold produces the draft selection.</w:t>
      </w:r>
    </w:p>
    <w:p>
      <w:r>
        <w:t>5.  Manually select a below-threshold IPO or unselect an above-threshold IPO if desired.</w:t>
      </w:r>
    </w:p>
    <w:p>
      <w:r>
        <w:t>6.  Choose each selected IPO mode: Retail Only, Retail + sHNI, sHNI Preferred, or Custom.</w:t>
      </w:r>
    </w:p>
    <w:p>
      <w:r>
        <w:t>7.  Generate the plan. Review explanations, warnings, owner protection and funding mappings.</w:t>
      </w:r>
    </w:p>
    <w:p>
      <w:r>
        <w:t>8.  Edit any mapping, validate immediately, lock important rows and re-plan unlocked rows if needed.</w:t>
      </w:r>
    </w:p>
    <w:p>
      <w:r>
        <w:t>9.  Export the final broker-ready file and mark applications submitted/blocked.</w:t>
      </w:r>
    </w:p>
    <w:p>
      <w:r>
        <w:t>10.  On allotment, record allotted/not allotted. The system performs debit/unblock automatically.</w:t>
      </w:r>
    </w:p>
    <w:p>
      <w:r>
        <w:t>11.  After sale, enter sale details and review realized profit.</w:t>
      </w:r>
    </w:p>
    <w:p>
      <w:pPr>
        <w:pStyle w:val="Heading1"/>
      </w:pPr>
      <w:r>
        <w:t>5. Approved Planner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Authority: </w:t>
            </w:r>
            <w:r>
              <w:rPr>
                <w:sz w:val="19"/>
              </w:rPr>
              <w:t>The detailed Planner Algorithm v2 Specification controls implementation if this PRD is ambiguous.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741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Approved behavior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One PAN per IPO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At most one application per PAN per IPO; category is Retail OR sHNI, never both.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Primary objective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Maximize eligible PAN coverage within the current higher-priority selected IPO before using remaining resources for lower-priority selected IPOs.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Retail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Default one lot.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sHNI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Minimum whole-lot quote strictly above ₹2,00,000; do not add extra lots just to spend cash.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sHNI Preferred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After baseline coverage, create as many feasible minimum-sHNI upgrades as possible.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Applicant priority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Direct numeric priority 1, 2, 3...; lower number wins when resources are scarce. No tax ranking.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Same-name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Strong preference for own/same-name bank/UPI; cross-funding remains permitted when enabled.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Preferred funder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Beneficiary may have ordered preferred funding banks for cross-funding.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Owner protection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Before cross-funding, reserve the bank owner’s own baseline needs across overlapping selected IPOs.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GMP selection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Workspace threshold creates draft selection; founder default 20%. Manual APPLY/SKIP overrides persist.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IPO competition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Among final selected IPOs competing for scarce resources, higher GMP is prioritized.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Expected reuse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Funds are assumed reusable from the next calendar day after allotment date; actual allotment state supersedes the assumption.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Limits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24-hour rolling window; default 6 applications and ₹5,00,000 per UPI and bank account.</w:t>
            </w:r>
          </w:p>
        </w:tc>
      </w:tr>
    </w:tbl>
    <w:p>
      <w:pPr>
        <w:pStyle w:val="Heading1"/>
      </w:pPr>
      <w:r>
        <w:t>6. User-Facing Money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0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Number</w:t>
            </w:r>
          </w:p>
        </w:tc>
        <w:tc>
          <w:tcPr>
            <w:tcW w:type="dxa" w:w="748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Balance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What the user says is currently in the bank.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Blocked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Money tied up in current IPO mandates/applications.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Planned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Money reserved by a plan but not yet submitted/blocked.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Available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Balance minus blocked minus planned for “now”; future planning also considers scheduled debits and expected releases.</w:t>
            </w:r>
          </w:p>
        </w:tc>
      </w:tr>
    </w:tbl>
    <w:p>
      <w:r>
        <w:t>Bank balance maintenance must be simple: + Add Money, - Remove Money, or Set Balance. A small history is kept internally so mistakes can be understood, but no reconciliation workflow is exposed.</w:t>
      </w:r>
    </w:p>
    <w:p>
      <w:pPr>
        <w:pStyle w:val="Heading2"/>
      </w:pPr>
      <w:r>
        <w:t>6.1 Allotment behavior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Outcome</w:t>
            </w:r>
          </w:p>
        </w:tc>
        <w:tc>
          <w:tcPr>
            <w:tcW w:type="dxa" w:w="7632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System action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Not allotted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Release the full block; Balance does not change.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Allotted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Deduct actual allotted cost from Balance and release the full application block.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Partial allotment</w:t>
            </w:r>
          </w:p>
        </w:tc>
        <w:tc>
          <w:tcPr>
            <w:tcW w:type="dxa" w:w="76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Deduct actual allotted cost and release the remainder of the block.</w:t>
            </w:r>
          </w:p>
        </w:tc>
      </w:tr>
    </w:tbl>
    <w:p>
      <w:pPr>
        <w:pStyle w:val="Heading2"/>
      </w:pPr>
      <w:r>
        <w:t>6.2 Recurring debit behavior</w:t>
      </w:r>
    </w:p>
    <w:p>
      <w:r>
        <w:t>Users can create a recurring debit with Bank, Name, Amount, Frequency, Day/Date, Start Date, optional End Date and Active/Paused state. The future planner subtracts a due debit before a later IPO cutoff, and on the due date the debit creates a normal negative balance change.</w:t>
      </w:r>
    </w:p>
    <w:p>
      <w:pPr>
        <w:pStyle w:val="Heading1"/>
      </w:pPr>
      <w:r>
        <w:t>7. IPO Discovery and Analysis</w:t>
      </w:r>
    </w:p>
    <w:p>
      <w:r>
        <w:t>The product should replace the need for random five-minute research by presenting a concise factual view: company description, revenue/PAT trend, key ratios, issue structure, use of proceeds, important risks, price/lot/dates and GMP history. AI is used for summarization and extraction, while numeric planning inputs remain deterministic.</w:t>
      </w:r>
    </w:p>
    <w:p>
      <w:pPr>
        <w:pStyle w:val="Heading2"/>
      </w:pPr>
      <w:r>
        <w:t>7.1 GMP behavior</w:t>
      </w:r>
    </w:p>
    <w:p>
      <w:pPr>
        <w:pStyle w:val="ListBullet"/>
      </w:pPr>
      <w:r>
        <w:t>GMP is an unofficial market indicator and must be source-attributed in the product.</w:t>
      </w:r>
    </w:p>
    <w:p>
      <w:pPr>
        <w:pStyle w:val="ListBullet"/>
      </w:pPr>
      <w:r>
        <w:t>Store time-series observations rather than only one current number.</w:t>
      </w:r>
    </w:p>
    <w:p>
      <w:pPr>
        <w:pStyle w:val="ListBullet"/>
      </w:pPr>
      <w:r>
        <w:t>Provider architecture supports ManualGMPProvider during beta and licensed/permitted providers later.</w:t>
      </w:r>
    </w:p>
    <w:p>
      <w:pPr>
        <w:pStyle w:val="ListBullet"/>
      </w:pPr>
      <w:r>
        <w:t>A workspace may configure its auto-select threshold; manual APPLY/SKIP always wins until Reset to automatic.</w:t>
      </w:r>
    </w:p>
    <w:p>
      <w:pPr>
        <w:pStyle w:val="Heading1"/>
      </w:pPr>
      <w:r>
        <w:t>8. Data Ingestion and Admin</w:t>
      </w:r>
    </w:p>
    <w:p>
      <w:r>
        <w:t>Running the product should be exception management, not manual data entry. IPO/GMP sources are implemented behind adapters. During development and private beta, manual/test providers are acceptable. Before public redistribution, permitted/licensed production feeds must be confirmed.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Admin capability</w:t>
            </w:r>
          </w:p>
        </w:tc>
        <w:tc>
          <w:tcPr>
            <w:tcW w:type="dxa" w:w="7344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IPO master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Correct dates, price band, lot, allotment/listing date, status, issue type, source links and publication state.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Field overrides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Store source value and manual override separately so a sync cannot silently overwrite an intentional correction.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GMP sources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Enable/disable source, view freshness/errors, correct observation, set temporary override with reason/expiry.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AI content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Review/edit generated company summary, financial summary and risk summary with version history.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Planner policy</w:t>
            </w:r>
          </w:p>
        </w:tc>
        <w:tc>
          <w:tcPr>
            <w:tcW w:type="dxa" w:w="73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Edit effective-dated global defaults and bank policies with reason/audit trail.</w:t>
            </w:r>
          </w:p>
        </w:tc>
      </w:tr>
    </w:tbl>
    <w:p>
      <w:pPr>
        <w:pStyle w:val="Heading1"/>
      </w:pPr>
      <w:r>
        <w:t>9. Dashboard Requirements</w:t>
      </w:r>
    </w:p>
    <w:p>
      <w:r>
        <w:t>The beta dashboard should follow the simple card direction already preferred in the prototype: Total Balance/Portfolio Capital, Blocked, Planned/In-Flight, Available, Active IPOs, Total Applications, Pending Mandates, Allotment Wins and Realized Gains.</w:t>
      </w:r>
    </w:p>
    <w:p>
      <w:pPr>
        <w:pStyle w:val="Heading1"/>
      </w:pPr>
      <w:r>
        <w:t>10.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7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7416"/>
            <w:vAlign w:val="center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Target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Usability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Core planning flow usable by a non-technical Indian retail user without optimizer knowledge.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Determinism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Identical approved inputs/settings produce the same logical plan.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Performance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Typical 20-PAN / 10-bank workspace plan generation target &lt; 3 seconds in beta.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Security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Tenant isolation, masked sensitive identifiers, encryption, admin MFA, audit trail and private backups.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Availability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Beta may use a single server; graceful error messages and verified backups are mandatory.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Explainability</w:t>
            </w:r>
          </w:p>
        </w:tc>
        <w:tc>
          <w:tcPr>
            <w:tcW w:type="dxa" w:w="74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Each automatic row includes human-readable reasons and all blocking conflicts are visible before export.</w:t>
            </w:r>
          </w:p>
        </w:tc>
      </w:tr>
    </w:tbl>
    <w:p>
      <w:pPr>
        <w:pStyle w:val="Heading1"/>
      </w:pPr>
      <w:r>
        <w:t>11. Beta Release Strategy</w:t>
      </w:r>
    </w:p>
    <w:p>
      <w:r>
        <w:t>1.  Beta 0: founder workspace with the real 17-PAN operating setup and historical golden scenarios.</w:t>
      </w:r>
    </w:p>
    <w:p>
      <w:r>
        <w:t>2.  Beta 1: 10-20 invited family/friend workspaces; focus on setup and planning usability.</w:t>
      </w:r>
    </w:p>
    <w:p>
      <w:r>
        <w:t>3.  Beta 2: invitation-only public beta around 100 users; measure activation, plan generation, edits, exports and tracking completion.</w:t>
      </w:r>
    </w:p>
    <w:p>
      <w:r>
        <w:t>4.  Public launch only after data-source rights, privacy/terms, deletion/export, backups, monitoring, admin MFA and support workflow are ready.</w:t>
      </w:r>
    </w:p>
    <w:p>
      <w:pPr>
        <w:pStyle w:val="Heading1"/>
      </w:pPr>
      <w:r>
        <w:t>12. Product Decisions Still Open</w:t>
      </w:r>
    </w:p>
    <w:p>
      <w:pPr>
        <w:pStyle w:val="ListBullet"/>
      </w:pPr>
      <w:r>
        <w:t>Final public brand/domain. LotNeeti is the working codename; domain purchase is postponed until public beta readiness.</w:t>
      </w:r>
    </w:p>
    <w:p>
      <w:pPr>
        <w:pStyle w:val="ListBullet"/>
      </w:pPr>
      <w:r>
        <w:t>Production IPO/GMP licensed data providers and redistribution terms.</w:t>
      </w:r>
    </w:p>
    <w:p>
      <w:pPr>
        <w:pStyle w:val="ListBullet"/>
      </w:pPr>
      <w:r>
        <w:t>Monetization model and free/paid workspace limits.</w:t>
      </w:r>
    </w:p>
    <w:p>
      <w:pPr>
        <w:pStyle w:val="ListBullet"/>
      </w:pPr>
      <w:r>
        <w:t>Exact Android store release timing; private beta may use a temporary application ID/build.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LotNeeti • Product Requirements Document • v2.1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F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 w:val="0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/>
    </w:pPr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