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7365D"/>
          <w:sz w:val="58"/>
        </w:rPr>
        <w:t>LotNeeti Technical Architecture</w:t>
      </w:r>
    </w:p>
    <w:p>
      <w:pPr>
        <w:jc w:val="center"/>
      </w:pPr>
      <w:r>
        <w:rPr>
          <w:color w:val="2F5597"/>
          <w:sz w:val="26"/>
        </w:rPr>
        <w:t>Python/Django backend with a lean AWS beta and production upgrade path</w:t>
      </w:r>
    </w:p>
    <w:p>
      <w:pPr>
        <w:jc w:val="center"/>
      </w:pPr>
      <w:r>
        <w:rPr>
          <w:color w:val="696969"/>
          <w:sz w:val="19"/>
        </w:rPr>
        <w:t>Version 2.1 • Approved Planner baseline • September 2026</w:t>
      </w:r>
    </w:p>
    <w:p>
      <w:r>
        <w:br w:type="page"/>
      </w:r>
    </w:p>
    <w:p>
      <w:pPr>
        <w:pStyle w:val="Heading1"/>
      </w:pPr>
      <w:r>
        <w:t>1. Architecture Goals</w:t>
      </w:r>
    </w:p>
    <w:p>
      <w:pPr>
        <w:pStyle w:val="ListBullet"/>
      </w:pPr>
      <w:r>
        <w:t>Keep business rules in a deterministic Python domain layer that is testable without Django ORM or HTTP.</w:t>
      </w:r>
    </w:p>
    <w:p>
      <w:pPr>
        <w:pStyle w:val="ListBullet"/>
      </w:pPr>
      <w:r>
        <w:t>Support website and Android APK from one primary frontend codebase.</w:t>
      </w:r>
    </w:p>
    <w:p>
      <w:pPr>
        <w:pStyle w:val="ListBullet"/>
      </w:pPr>
      <w:r>
        <w:t>Keep beta cost inside the founder’s AWS credits by avoiding unnecessary managed services.</w:t>
      </w:r>
    </w:p>
    <w:p>
      <w:pPr>
        <w:pStyle w:val="ListBullet"/>
      </w:pPr>
      <w:r>
        <w:t>Allow production migration to managed AWS components without rewriting planner/domain logic.</w:t>
      </w:r>
    </w:p>
    <w:p>
      <w:pPr>
        <w:pStyle w:val="ListBullet"/>
      </w:pPr>
      <w:r>
        <w:t>Use adapters for IPO/GMP/AI/export integrations so external providers can change independently.</w:t>
      </w:r>
    </w:p>
    <w:p>
      <w:pPr>
        <w:pStyle w:val="Heading1"/>
      </w:pPr>
      <w:r>
        <w:t>2. Recommended Stack</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2232"/>
            <w:vAlign w:val="center"/>
            <w:shd w:fill="17365D"/>
            <w:tcMar>
              <w:top w:w="80" w:type="dxa"/>
              <w:start w:w="90" w:type="dxa"/>
              <w:bottom w:w="80" w:type="dxa"/>
              <w:end w:w="90" w:type="dxa"/>
            </w:tcMar>
          </w:tcPr>
          <w:p>
            <w:r/>
            <w:r>
              <w:rPr>
                <w:rFonts w:ascii="Aptos" w:hAnsi="Aptos"/>
                <w:b/>
                <w:color w:val="FFFFFF"/>
                <w:sz w:val="17"/>
              </w:rPr>
              <w:t>Layer</w:t>
            </w:r>
          </w:p>
        </w:tc>
        <w:tc>
          <w:tcPr>
            <w:tcW w:type="dxa" w:w="7560"/>
            <w:vAlign w:val="center"/>
            <w:shd w:fill="17365D"/>
            <w:tcMar>
              <w:top w:w="80" w:type="dxa"/>
              <w:start w:w="90" w:type="dxa"/>
              <w:bottom w:w="80" w:type="dxa"/>
              <w:end w:w="90" w:type="dxa"/>
            </w:tcMar>
          </w:tcPr>
          <w:p>
            <w:r/>
            <w:r>
              <w:rPr>
                <w:rFonts w:ascii="Aptos" w:hAnsi="Aptos"/>
                <w:b/>
                <w:color w:val="FFFFFF"/>
                <w:sz w:val="17"/>
              </w:rPr>
              <w:t>Technology</w:t>
            </w:r>
          </w:p>
        </w:tc>
      </w:tr>
      <w:tr>
        <w:trPr>
          <w:cantSplit w:val="true"/>
        </w:trPr>
        <w:tc>
          <w:tcPr>
            <w:tcW w:type="dxa" w:w="2232"/>
            <w:vAlign w:val="center"/>
            <w:tcMar>
              <w:top w:w="80" w:type="dxa"/>
              <w:start w:w="90" w:type="dxa"/>
              <w:bottom w:w="80" w:type="dxa"/>
              <w:end w:w="90" w:type="dxa"/>
            </w:tcMar>
          </w:tcPr>
          <w:p>
            <w:r/>
            <w:r>
              <w:rPr>
                <w:rFonts w:ascii="Aptos" w:hAnsi="Aptos"/>
                <w:b w:val="0"/>
                <w:sz w:val="17"/>
              </w:rPr>
              <w:t>Backend</w:t>
            </w:r>
          </w:p>
        </w:tc>
        <w:tc>
          <w:tcPr>
            <w:tcW w:type="dxa" w:w="7560"/>
            <w:vAlign w:val="center"/>
            <w:tcMar>
              <w:top w:w="80" w:type="dxa"/>
              <w:start w:w="90" w:type="dxa"/>
              <w:bottom w:w="80" w:type="dxa"/>
              <w:end w:w="90" w:type="dxa"/>
            </w:tcMar>
          </w:tcPr>
          <w:p>
            <w:r/>
            <w:r>
              <w:rPr>
                <w:rFonts w:ascii="Aptos" w:hAnsi="Aptos"/>
                <w:b w:val="0"/>
                <w:sz w:val="17"/>
              </w:rPr>
              <w:t>Python 3.12+, Django, Django REST Framework.</w:t>
            </w:r>
          </w:p>
        </w:tc>
      </w:tr>
      <w:tr>
        <w:trPr>
          <w:cantSplit w:val="true"/>
        </w:trPr>
        <w:tc>
          <w:tcPr>
            <w:tcW w:type="dxa" w:w="2232"/>
            <w:vAlign w:val="center"/>
            <w:tcMar>
              <w:top w:w="80" w:type="dxa"/>
              <w:start w:w="90" w:type="dxa"/>
              <w:bottom w:w="80" w:type="dxa"/>
              <w:end w:w="90" w:type="dxa"/>
            </w:tcMar>
            <w:shd w:fill="F4F7FA"/>
          </w:tcPr>
          <w:p>
            <w:r/>
            <w:r>
              <w:rPr>
                <w:rFonts w:ascii="Aptos" w:hAnsi="Aptos"/>
                <w:b w:val="0"/>
                <w:sz w:val="17"/>
              </w:rPr>
              <w:t>Planner</w:t>
            </w:r>
          </w:p>
        </w:tc>
        <w:tc>
          <w:tcPr>
            <w:tcW w:type="dxa" w:w="7560"/>
            <w:vAlign w:val="center"/>
            <w:tcMar>
              <w:top w:w="80" w:type="dxa"/>
              <w:start w:w="90" w:type="dxa"/>
              <w:bottom w:w="80" w:type="dxa"/>
              <w:end w:w="90" w:type="dxa"/>
            </w:tcMar>
            <w:shd w:fill="F4F7FA"/>
          </w:tcPr>
          <w:p>
            <w:r/>
            <w:r>
              <w:rPr>
                <w:rFonts w:ascii="Aptos" w:hAnsi="Aptos"/>
                <w:b w:val="0"/>
                <w:sz w:val="17"/>
              </w:rPr>
              <w:t>Pure Python domain package inside the Django repository; no ORM calls inside core selection functions.</w:t>
            </w:r>
          </w:p>
        </w:tc>
      </w:tr>
      <w:tr>
        <w:trPr>
          <w:cantSplit w:val="true"/>
        </w:trPr>
        <w:tc>
          <w:tcPr>
            <w:tcW w:type="dxa" w:w="2232"/>
            <w:vAlign w:val="center"/>
            <w:tcMar>
              <w:top w:w="80" w:type="dxa"/>
              <w:start w:w="90" w:type="dxa"/>
              <w:bottom w:w="80" w:type="dxa"/>
              <w:end w:w="90" w:type="dxa"/>
            </w:tcMar>
          </w:tcPr>
          <w:p>
            <w:r/>
            <w:r>
              <w:rPr>
                <w:rFonts w:ascii="Aptos" w:hAnsi="Aptos"/>
                <w:b w:val="0"/>
                <w:sz w:val="17"/>
              </w:rPr>
              <w:t>Background jobs</w:t>
            </w:r>
          </w:p>
        </w:tc>
        <w:tc>
          <w:tcPr>
            <w:tcW w:type="dxa" w:w="7560"/>
            <w:vAlign w:val="center"/>
            <w:tcMar>
              <w:top w:w="80" w:type="dxa"/>
              <w:start w:w="90" w:type="dxa"/>
              <w:bottom w:w="80" w:type="dxa"/>
              <w:end w:w="90" w:type="dxa"/>
            </w:tcMar>
          </w:tcPr>
          <w:p>
            <w:r/>
            <w:r>
              <w:rPr>
                <w:rFonts w:ascii="Aptos" w:hAnsi="Aptos"/>
                <w:b w:val="0"/>
                <w:sz w:val="17"/>
              </w:rPr>
              <w:t>Celery + Redis; Celery Beat for scheduled providers, recurring debits and maintenance.</w:t>
            </w:r>
          </w:p>
        </w:tc>
      </w:tr>
      <w:tr>
        <w:trPr>
          <w:cantSplit w:val="true"/>
        </w:trPr>
        <w:tc>
          <w:tcPr>
            <w:tcW w:type="dxa" w:w="2232"/>
            <w:vAlign w:val="center"/>
            <w:tcMar>
              <w:top w:w="80" w:type="dxa"/>
              <w:start w:w="90" w:type="dxa"/>
              <w:bottom w:w="80" w:type="dxa"/>
              <w:end w:w="90" w:type="dxa"/>
            </w:tcMar>
            <w:shd w:fill="F4F7FA"/>
          </w:tcPr>
          <w:p>
            <w:r/>
            <w:r>
              <w:rPr>
                <w:rFonts w:ascii="Aptos" w:hAnsi="Aptos"/>
                <w:b w:val="0"/>
                <w:sz w:val="17"/>
              </w:rPr>
              <w:t>Database</w:t>
            </w:r>
          </w:p>
        </w:tc>
        <w:tc>
          <w:tcPr>
            <w:tcW w:type="dxa" w:w="7560"/>
            <w:vAlign w:val="center"/>
            <w:tcMar>
              <w:top w:w="80" w:type="dxa"/>
              <w:start w:w="90" w:type="dxa"/>
              <w:bottom w:w="80" w:type="dxa"/>
              <w:end w:w="90" w:type="dxa"/>
            </w:tcMar>
            <w:shd w:fill="F4F7FA"/>
          </w:tcPr>
          <w:p>
            <w:r/>
            <w:r>
              <w:rPr>
                <w:rFonts w:ascii="Aptos" w:hAnsi="Aptos"/>
                <w:b w:val="0"/>
                <w:sz w:val="17"/>
              </w:rPr>
              <w:t>PostgreSQL.</w:t>
            </w:r>
          </w:p>
        </w:tc>
      </w:tr>
      <w:tr>
        <w:trPr>
          <w:cantSplit w:val="true"/>
        </w:trPr>
        <w:tc>
          <w:tcPr>
            <w:tcW w:type="dxa" w:w="2232"/>
            <w:vAlign w:val="center"/>
            <w:tcMar>
              <w:top w:w="80" w:type="dxa"/>
              <w:start w:w="90" w:type="dxa"/>
              <w:bottom w:w="80" w:type="dxa"/>
              <w:end w:w="90" w:type="dxa"/>
            </w:tcMar>
          </w:tcPr>
          <w:p>
            <w:r/>
            <w:r>
              <w:rPr>
                <w:rFonts w:ascii="Aptos" w:hAnsi="Aptos"/>
                <w:b w:val="0"/>
                <w:sz w:val="17"/>
              </w:rPr>
              <w:t>Frontend</w:t>
            </w:r>
          </w:p>
        </w:tc>
        <w:tc>
          <w:tcPr>
            <w:tcW w:type="dxa" w:w="7560"/>
            <w:vAlign w:val="center"/>
            <w:tcMar>
              <w:top w:w="80" w:type="dxa"/>
              <w:start w:w="90" w:type="dxa"/>
              <w:bottom w:w="80" w:type="dxa"/>
              <w:end w:w="90" w:type="dxa"/>
            </w:tcMar>
          </w:tcPr>
          <w:p>
            <w:r/>
            <w:r>
              <w:rPr>
                <w:rFonts w:ascii="Aptos" w:hAnsi="Aptos"/>
                <w:b w:val="0"/>
                <w:sz w:val="17"/>
              </w:rPr>
              <w:t>Next.js/React + TypeScript; responsive web-first.</w:t>
            </w:r>
          </w:p>
        </w:tc>
      </w:tr>
      <w:tr>
        <w:trPr>
          <w:cantSplit w:val="true"/>
        </w:trPr>
        <w:tc>
          <w:tcPr>
            <w:tcW w:type="dxa" w:w="2232"/>
            <w:vAlign w:val="center"/>
            <w:tcMar>
              <w:top w:w="80" w:type="dxa"/>
              <w:start w:w="90" w:type="dxa"/>
              <w:bottom w:w="80" w:type="dxa"/>
              <w:end w:w="90" w:type="dxa"/>
            </w:tcMar>
            <w:shd w:fill="F4F7FA"/>
          </w:tcPr>
          <w:p>
            <w:r/>
            <w:r>
              <w:rPr>
                <w:rFonts w:ascii="Aptos" w:hAnsi="Aptos"/>
                <w:b w:val="0"/>
                <w:sz w:val="17"/>
              </w:rPr>
              <w:t>Android</w:t>
            </w:r>
          </w:p>
        </w:tc>
        <w:tc>
          <w:tcPr>
            <w:tcW w:type="dxa" w:w="7560"/>
            <w:vAlign w:val="center"/>
            <w:tcMar>
              <w:top w:w="80" w:type="dxa"/>
              <w:start w:w="90" w:type="dxa"/>
              <w:bottom w:w="80" w:type="dxa"/>
              <w:end w:w="90" w:type="dxa"/>
            </w:tcMar>
            <w:shd w:fill="F4F7FA"/>
          </w:tcPr>
          <w:p>
            <w:r/>
            <w:r>
              <w:rPr>
                <w:rFonts w:ascii="Aptos" w:hAnsi="Aptos"/>
                <w:b w:val="0"/>
                <w:sz w:val="17"/>
              </w:rPr>
              <w:t>Capacitor wrapper over the web application for beta/public Android app; native modules only when needed.</w:t>
            </w:r>
          </w:p>
        </w:tc>
      </w:tr>
      <w:tr>
        <w:trPr>
          <w:cantSplit w:val="true"/>
        </w:trPr>
        <w:tc>
          <w:tcPr>
            <w:tcW w:type="dxa" w:w="2232"/>
            <w:vAlign w:val="center"/>
            <w:tcMar>
              <w:top w:w="80" w:type="dxa"/>
              <w:start w:w="90" w:type="dxa"/>
              <w:bottom w:w="80" w:type="dxa"/>
              <w:end w:w="90" w:type="dxa"/>
            </w:tcMar>
          </w:tcPr>
          <w:p>
            <w:r/>
            <w:r>
              <w:rPr>
                <w:rFonts w:ascii="Aptos" w:hAnsi="Aptos"/>
                <w:b w:val="0"/>
                <w:sz w:val="17"/>
              </w:rPr>
              <w:t>Files</w:t>
            </w:r>
          </w:p>
        </w:tc>
        <w:tc>
          <w:tcPr>
            <w:tcW w:type="dxa" w:w="7560"/>
            <w:vAlign w:val="center"/>
            <w:tcMar>
              <w:top w:w="80" w:type="dxa"/>
              <w:start w:w="90" w:type="dxa"/>
              <w:bottom w:w="80" w:type="dxa"/>
              <w:end w:w="90" w:type="dxa"/>
            </w:tcMar>
          </w:tcPr>
          <w:p>
            <w:r/>
            <w:r>
              <w:rPr>
                <w:rFonts w:ascii="Aptos" w:hAnsi="Aptos"/>
                <w:b w:val="0"/>
                <w:sz w:val="17"/>
              </w:rPr>
              <w:t>Amazon S3 for private exports/backups/documents.</w:t>
            </w:r>
          </w:p>
        </w:tc>
      </w:tr>
      <w:tr>
        <w:trPr>
          <w:cantSplit w:val="true"/>
        </w:trPr>
        <w:tc>
          <w:tcPr>
            <w:tcW w:type="dxa" w:w="2232"/>
            <w:vAlign w:val="center"/>
            <w:tcMar>
              <w:top w:w="80" w:type="dxa"/>
              <w:start w:w="90" w:type="dxa"/>
              <w:bottom w:w="80" w:type="dxa"/>
              <w:end w:w="90" w:type="dxa"/>
            </w:tcMar>
            <w:shd w:fill="F4F7FA"/>
          </w:tcPr>
          <w:p>
            <w:r/>
            <w:r>
              <w:rPr>
                <w:rFonts w:ascii="Aptos" w:hAnsi="Aptos"/>
                <w:b w:val="0"/>
                <w:sz w:val="17"/>
              </w:rPr>
              <w:t>Email</w:t>
            </w:r>
          </w:p>
        </w:tc>
        <w:tc>
          <w:tcPr>
            <w:tcW w:type="dxa" w:w="7560"/>
            <w:vAlign w:val="center"/>
            <w:tcMar>
              <w:top w:w="80" w:type="dxa"/>
              <w:start w:w="90" w:type="dxa"/>
              <w:bottom w:w="80" w:type="dxa"/>
              <w:end w:w="90" w:type="dxa"/>
            </w:tcMar>
            <w:shd w:fill="F4F7FA"/>
          </w:tcPr>
          <w:p>
            <w:r/>
            <w:r>
              <w:rPr>
                <w:rFonts w:ascii="Aptos" w:hAnsi="Aptos"/>
                <w:b w:val="0"/>
                <w:sz w:val="17"/>
              </w:rPr>
              <w:t>AWS SES for transactional email when required.</w:t>
            </w:r>
          </w:p>
        </w:tc>
      </w:tr>
      <w:tr>
        <w:trPr>
          <w:cantSplit w:val="true"/>
        </w:trPr>
        <w:tc>
          <w:tcPr>
            <w:tcW w:type="dxa" w:w="2232"/>
            <w:vAlign w:val="center"/>
            <w:tcMar>
              <w:top w:w="80" w:type="dxa"/>
              <w:start w:w="90" w:type="dxa"/>
              <w:bottom w:w="80" w:type="dxa"/>
              <w:end w:w="90" w:type="dxa"/>
            </w:tcMar>
          </w:tcPr>
          <w:p>
            <w:r/>
            <w:r>
              <w:rPr>
                <w:rFonts w:ascii="Aptos" w:hAnsi="Aptos"/>
                <w:b w:val="0"/>
                <w:sz w:val="17"/>
              </w:rPr>
              <w:t>Observability</w:t>
            </w:r>
          </w:p>
        </w:tc>
        <w:tc>
          <w:tcPr>
            <w:tcW w:type="dxa" w:w="7560"/>
            <w:vAlign w:val="center"/>
            <w:tcMar>
              <w:top w:w="80" w:type="dxa"/>
              <w:start w:w="90" w:type="dxa"/>
              <w:bottom w:w="80" w:type="dxa"/>
              <w:end w:w="90" w:type="dxa"/>
            </w:tcMar>
          </w:tcPr>
          <w:p>
            <w:r/>
            <w:r>
              <w:rPr>
                <w:rFonts w:ascii="Aptos" w:hAnsi="Aptos"/>
                <w:b w:val="0"/>
                <w:sz w:val="17"/>
              </w:rPr>
              <w:t>Django structured logs + CloudWatch/basic alarms during beta.</w:t>
            </w:r>
          </w:p>
        </w:tc>
      </w:tr>
    </w:tbl>
    <w:p>
      <w:pPr>
        <w:pStyle w:val="Heading1"/>
      </w:pPr>
      <w:r>
        <w:t>3. Beta AWS Topology</w:t>
      </w:r>
    </w:p>
    <w:p>
      <w:pPr>
        <w:pStyle w:val="CodeBlock"/>
      </w:pPr>
      <w:r>
        <w:t>Internet</w:t>
        <w:br/>
        <w:t xml:space="preserve">   |</w:t>
        <w:br/>
        <w:t xml:space="preserve">   +--&gt; Frontend (Amplify/static deployment or Nginx-served Next.js)</w:t>
        <w:br/>
        <w:t xml:space="preserve">   |</w:t>
        <w:br/>
        <w:t xml:space="preserve">   +--&gt; HTTPS / Nginx</w:t>
        <w:br/>
        <w:t xml:space="preserve">           |</w:t>
        <w:br/>
        <w:t xml:space="preserve">           +--&gt; Django + DRF</w:t>
        <w:br/>
        <w:t xml:space="preserve">           +--&gt; Celery worker</w:t>
        <w:br/>
        <w:t xml:space="preserve">           +--&gt; Celery Beat</w:t>
        <w:br/>
        <w:t xml:space="preserve">           +--&gt; Redis</w:t>
        <w:br/>
        <w:t xml:space="preserve">           +--&gt; PostgreSQL</w:t>
        <w:br/>
        <w:t xml:space="preserve">                    |</w:t>
        <w:br/>
        <w:t xml:space="preserve">                    +--&gt; private S3 backups / exports</w:t>
      </w:r>
    </w:p>
    <w:p>
      <w:r>
        <w:t>For Beta 0-2, PostgreSQL, Redis, Django and Celery may share one modest EC2 instance. Do not add ALB, ECS, ElastiCache, NAT Gateway or RDS until metrics justify the recurring cost. Nightly encrypted PostgreSQL backups go to private S3.</w:t>
      </w:r>
    </w:p>
    <w:p>
      <w:pPr>
        <w:pStyle w:val="Heading2"/>
      </w:pPr>
      <w:r>
        <w:t>3.1 Production evolution</w:t>
      </w:r>
    </w:p>
    <w:p>
      <w:pPr>
        <w:pStyle w:val="CodeBlock"/>
      </w:pPr>
      <w:r>
        <w:t>CloudFront / WAF</w:t>
        <w:br/>
        <w:t xml:space="preserve">      |</w:t>
        <w:br/>
        <w:t xml:space="preserve">     ALB</w:t>
        <w:br/>
        <w:t xml:space="preserve">      |</w:t>
        <w:br/>
        <w:t xml:space="preserve"> ECS Fargate (Django web + Celery)</w:t>
        <w:br/>
        <w:t xml:space="preserve">      |</w:t>
        <w:br/>
        <w:t xml:space="preserve"> RDS PostgreSQL  +  ElastiCache Redis</w:t>
        <w:br/>
        <w:t xml:space="preserve">      |</w:t>
        <w:br/>
        <w:t xml:space="preserve">      S3</w:t>
      </w:r>
    </w:p>
    <w:p>
      <w:r>
        <w:t>Migration is operational rather than architectural because PostgreSQL and the Django application remain the same logical components.</w:t>
      </w:r>
    </w:p>
    <w:p>
      <w:pPr>
        <w:pStyle w:val="Heading1"/>
      </w:pPr>
      <w:r>
        <w:t>4. Django Modular Monolith</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2448"/>
            <w:vAlign w:val="center"/>
            <w:shd w:fill="17365D"/>
            <w:tcMar>
              <w:top w:w="80" w:type="dxa"/>
              <w:start w:w="90" w:type="dxa"/>
              <w:bottom w:w="80" w:type="dxa"/>
              <w:end w:w="90" w:type="dxa"/>
            </w:tcMar>
          </w:tcPr>
          <w:p>
            <w:r/>
            <w:r>
              <w:rPr>
                <w:rFonts w:ascii="Aptos" w:hAnsi="Aptos"/>
                <w:b/>
                <w:color w:val="FFFFFF"/>
                <w:sz w:val="16"/>
              </w:rPr>
              <w:t>Django app/package</w:t>
            </w:r>
          </w:p>
        </w:tc>
        <w:tc>
          <w:tcPr>
            <w:tcW w:type="dxa" w:w="7344"/>
            <w:vAlign w:val="center"/>
            <w:shd w:fill="17365D"/>
            <w:tcMar>
              <w:top w:w="80" w:type="dxa"/>
              <w:start w:w="90" w:type="dxa"/>
              <w:bottom w:w="80" w:type="dxa"/>
              <w:end w:w="90" w:type="dxa"/>
            </w:tcMar>
          </w:tcPr>
          <w:p>
            <w:r/>
            <w:r>
              <w:rPr>
                <w:rFonts w:ascii="Aptos" w:hAnsi="Aptos"/>
                <w:b/>
                <w:color w:val="FFFFFF"/>
                <w:sz w:val="16"/>
              </w:rPr>
              <w:t>Responsibility</w:t>
            </w:r>
          </w:p>
        </w:tc>
      </w:tr>
      <w:tr>
        <w:trPr>
          <w:cantSplit w:val="true"/>
        </w:trPr>
        <w:tc>
          <w:tcPr>
            <w:tcW w:type="dxa" w:w="2448"/>
            <w:vAlign w:val="center"/>
            <w:tcMar>
              <w:top w:w="80" w:type="dxa"/>
              <w:start w:w="90" w:type="dxa"/>
              <w:bottom w:w="80" w:type="dxa"/>
              <w:end w:w="90" w:type="dxa"/>
            </w:tcMar>
          </w:tcPr>
          <w:p>
            <w:r/>
            <w:r>
              <w:rPr>
                <w:rFonts w:ascii="Aptos" w:hAnsi="Aptos"/>
                <w:b w:val="0"/>
                <w:sz w:val="16"/>
              </w:rPr>
              <w:t>accounts</w:t>
            </w:r>
          </w:p>
        </w:tc>
        <w:tc>
          <w:tcPr>
            <w:tcW w:type="dxa" w:w="7344"/>
            <w:vAlign w:val="center"/>
            <w:tcMar>
              <w:top w:w="80" w:type="dxa"/>
              <w:start w:w="90" w:type="dxa"/>
              <w:bottom w:w="80" w:type="dxa"/>
              <w:end w:w="90" w:type="dxa"/>
            </w:tcMar>
          </w:tcPr>
          <w:p>
            <w:r/>
            <w:r>
              <w:rPr>
                <w:rFonts w:ascii="Aptos" w:hAnsi="Aptos"/>
                <w:b w:val="0"/>
                <w:sz w:val="16"/>
              </w:rPr>
              <w:t>User, workspace, membership, authentication hooks.</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investors</w:t>
            </w:r>
          </w:p>
        </w:tc>
        <w:tc>
          <w:tcPr>
            <w:tcW w:type="dxa" w:w="7344"/>
            <w:vAlign w:val="center"/>
            <w:tcMar>
              <w:top w:w="80" w:type="dxa"/>
              <w:start w:w="90" w:type="dxa"/>
              <w:bottom w:w="80" w:type="dxa"/>
              <w:end w:w="90" w:type="dxa"/>
            </w:tcMar>
            <w:shd w:fill="F4F7FA"/>
          </w:tcPr>
          <w:p>
            <w:r/>
            <w:r>
              <w:rPr>
                <w:rFonts w:ascii="Aptos" w:hAnsi="Aptos"/>
                <w:b w:val="0"/>
                <w:sz w:val="16"/>
              </w:rPr>
              <w:t>Investor, PAN metadata, applicant priority, demats.</w:t>
            </w:r>
          </w:p>
        </w:tc>
      </w:tr>
      <w:tr>
        <w:trPr>
          <w:cantSplit w:val="true"/>
        </w:trPr>
        <w:tc>
          <w:tcPr>
            <w:tcW w:type="dxa" w:w="2448"/>
            <w:vAlign w:val="center"/>
            <w:tcMar>
              <w:top w:w="80" w:type="dxa"/>
              <w:start w:w="90" w:type="dxa"/>
              <w:bottom w:w="80" w:type="dxa"/>
              <w:end w:w="90" w:type="dxa"/>
            </w:tcMar>
          </w:tcPr>
          <w:p>
            <w:r/>
            <w:r>
              <w:rPr>
                <w:rFonts w:ascii="Aptos" w:hAnsi="Aptos"/>
                <w:b w:val="0"/>
                <w:sz w:val="16"/>
              </w:rPr>
              <w:t>funding</w:t>
            </w:r>
          </w:p>
        </w:tc>
        <w:tc>
          <w:tcPr>
            <w:tcW w:type="dxa" w:w="7344"/>
            <w:vAlign w:val="center"/>
            <w:tcMar>
              <w:top w:w="80" w:type="dxa"/>
              <w:start w:w="90" w:type="dxa"/>
              <w:bottom w:w="80" w:type="dxa"/>
              <w:end w:w="90" w:type="dxa"/>
            </w:tcMar>
          </w:tcPr>
          <w:p>
            <w:r/>
            <w:r>
              <w:rPr>
                <w:rFonts w:ascii="Aptos" w:hAnsi="Aptos"/>
                <w:b w:val="0"/>
                <w:sz w:val="16"/>
              </w:rPr>
              <w:t>Bank accounts, UPI handles, balances, funding preferences, recurring debits.</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ipos</w:t>
            </w:r>
          </w:p>
        </w:tc>
        <w:tc>
          <w:tcPr>
            <w:tcW w:type="dxa" w:w="7344"/>
            <w:vAlign w:val="center"/>
            <w:tcMar>
              <w:top w:w="80" w:type="dxa"/>
              <w:start w:w="90" w:type="dxa"/>
              <w:bottom w:w="80" w:type="dxa"/>
              <w:end w:w="90" w:type="dxa"/>
            </w:tcMar>
            <w:shd w:fill="F4F7FA"/>
          </w:tcPr>
          <w:p>
            <w:r/>
            <w:r>
              <w:rPr>
                <w:rFonts w:ascii="Aptos" w:hAnsi="Aptos"/>
                <w:b w:val="0"/>
                <w:sz w:val="16"/>
              </w:rPr>
              <w:t>IPO master, issue facts, GMP observations, source metadata, publication state.</w:t>
            </w:r>
          </w:p>
        </w:tc>
      </w:tr>
      <w:tr>
        <w:trPr>
          <w:cantSplit w:val="true"/>
        </w:trPr>
        <w:tc>
          <w:tcPr>
            <w:tcW w:type="dxa" w:w="2448"/>
            <w:vAlign w:val="center"/>
            <w:tcMar>
              <w:top w:w="80" w:type="dxa"/>
              <w:start w:w="90" w:type="dxa"/>
              <w:bottom w:w="80" w:type="dxa"/>
              <w:end w:w="90" w:type="dxa"/>
            </w:tcMar>
          </w:tcPr>
          <w:p>
            <w:r/>
            <w:r>
              <w:rPr>
                <w:rFonts w:ascii="Aptos" w:hAnsi="Aptos"/>
                <w:b w:val="0"/>
                <w:sz w:val="16"/>
              </w:rPr>
              <w:t>planner</w:t>
            </w:r>
          </w:p>
        </w:tc>
        <w:tc>
          <w:tcPr>
            <w:tcW w:type="dxa" w:w="7344"/>
            <w:vAlign w:val="center"/>
            <w:tcMar>
              <w:top w:w="80" w:type="dxa"/>
              <w:start w:w="90" w:type="dxa"/>
              <w:bottom w:w="80" w:type="dxa"/>
              <w:end w:w="90" w:type="dxa"/>
            </w:tcMar>
          </w:tcPr>
          <w:p>
            <w:r/>
            <w:r>
              <w:rPr>
                <w:rFonts w:ascii="Aptos" w:hAnsi="Aptos"/>
                <w:b w:val="0"/>
                <w:sz w:val="16"/>
              </w:rPr>
              <w:t>Planner snapshots, policy resolution, plan runs, rows, explanations and audit.</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applications</w:t>
            </w:r>
          </w:p>
        </w:tc>
        <w:tc>
          <w:tcPr>
            <w:tcW w:type="dxa" w:w="7344"/>
            <w:vAlign w:val="center"/>
            <w:tcMar>
              <w:top w:w="80" w:type="dxa"/>
              <w:start w:w="90" w:type="dxa"/>
              <w:bottom w:w="80" w:type="dxa"/>
              <w:end w:w="90" w:type="dxa"/>
            </w:tcMar>
            <w:shd w:fill="F4F7FA"/>
          </w:tcPr>
          <w:p>
            <w:r/>
            <w:r>
              <w:rPr>
                <w:rFonts w:ascii="Aptos" w:hAnsi="Aptos"/>
                <w:b w:val="0"/>
                <w:sz w:val="16"/>
              </w:rPr>
              <w:t>Submitted applications, blocks, statuses, allotments and release state.</w:t>
            </w:r>
          </w:p>
        </w:tc>
      </w:tr>
      <w:tr>
        <w:trPr>
          <w:cantSplit w:val="true"/>
        </w:trPr>
        <w:tc>
          <w:tcPr>
            <w:tcW w:type="dxa" w:w="2448"/>
            <w:vAlign w:val="center"/>
            <w:tcMar>
              <w:top w:w="80" w:type="dxa"/>
              <w:start w:w="90" w:type="dxa"/>
              <w:bottom w:w="80" w:type="dxa"/>
              <w:end w:w="90" w:type="dxa"/>
            </w:tcMar>
          </w:tcPr>
          <w:p>
            <w:r/>
            <w:r>
              <w:rPr>
                <w:rFonts w:ascii="Aptos" w:hAnsi="Aptos"/>
                <w:b w:val="0"/>
                <w:sz w:val="16"/>
              </w:rPr>
              <w:t>portfolio</w:t>
            </w:r>
          </w:p>
        </w:tc>
        <w:tc>
          <w:tcPr>
            <w:tcW w:type="dxa" w:w="7344"/>
            <w:vAlign w:val="center"/>
            <w:tcMar>
              <w:top w:w="80" w:type="dxa"/>
              <w:start w:w="90" w:type="dxa"/>
              <w:bottom w:w="80" w:type="dxa"/>
              <w:end w:w="90" w:type="dxa"/>
            </w:tcMar>
          </w:tcPr>
          <w:p>
            <w:r/>
            <w:r>
              <w:rPr>
                <w:rFonts w:ascii="Aptos" w:hAnsi="Aptos"/>
                <w:b w:val="0"/>
                <w:sz w:val="16"/>
              </w:rPr>
              <w:t>Share credits, sales, charges and realized P&amp;L.</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exports</w:t>
            </w:r>
          </w:p>
        </w:tc>
        <w:tc>
          <w:tcPr>
            <w:tcW w:type="dxa" w:w="7344"/>
            <w:vAlign w:val="center"/>
            <w:tcMar>
              <w:top w:w="80" w:type="dxa"/>
              <w:start w:w="90" w:type="dxa"/>
              <w:bottom w:w="80" w:type="dxa"/>
              <w:end w:w="90" w:type="dxa"/>
            </w:tcMar>
            <w:shd w:fill="F4F7FA"/>
          </w:tcPr>
          <w:p>
            <w:r/>
            <w:r>
              <w:rPr>
                <w:rFonts w:ascii="Aptos" w:hAnsi="Aptos"/>
                <w:b w:val="0"/>
                <w:sz w:val="16"/>
              </w:rPr>
              <w:t>Broker/template adapters and generated files.</w:t>
            </w:r>
          </w:p>
        </w:tc>
      </w:tr>
      <w:tr>
        <w:trPr>
          <w:cantSplit w:val="true"/>
        </w:trPr>
        <w:tc>
          <w:tcPr>
            <w:tcW w:type="dxa" w:w="2448"/>
            <w:vAlign w:val="center"/>
            <w:tcMar>
              <w:top w:w="80" w:type="dxa"/>
              <w:start w:w="90" w:type="dxa"/>
              <w:bottom w:w="80" w:type="dxa"/>
              <w:end w:w="90" w:type="dxa"/>
            </w:tcMar>
          </w:tcPr>
          <w:p>
            <w:r/>
            <w:r>
              <w:rPr>
                <w:rFonts w:ascii="Aptos" w:hAnsi="Aptos"/>
                <w:b w:val="0"/>
                <w:sz w:val="16"/>
              </w:rPr>
              <w:t>integrations</w:t>
            </w:r>
          </w:p>
        </w:tc>
        <w:tc>
          <w:tcPr>
            <w:tcW w:type="dxa" w:w="7344"/>
            <w:vAlign w:val="center"/>
            <w:tcMar>
              <w:top w:w="80" w:type="dxa"/>
              <w:start w:w="90" w:type="dxa"/>
              <w:bottom w:w="80" w:type="dxa"/>
              <w:end w:w="90" w:type="dxa"/>
            </w:tcMar>
          </w:tcPr>
          <w:p>
            <w:r/>
            <w:r>
              <w:rPr>
                <w:rFonts w:ascii="Aptos" w:hAnsi="Aptos"/>
                <w:b w:val="0"/>
                <w:sz w:val="16"/>
              </w:rPr>
              <w:t>IPO/GMP provider adapters, AI summarizer, notifications.</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platform_admin</w:t>
            </w:r>
          </w:p>
        </w:tc>
        <w:tc>
          <w:tcPr>
            <w:tcW w:type="dxa" w:w="7344"/>
            <w:vAlign w:val="center"/>
            <w:tcMar>
              <w:top w:w="80" w:type="dxa"/>
              <w:start w:w="90" w:type="dxa"/>
              <w:bottom w:w="80" w:type="dxa"/>
              <w:end w:w="90" w:type="dxa"/>
            </w:tcMar>
            <w:shd w:fill="F4F7FA"/>
          </w:tcPr>
          <w:p>
            <w:r/>
            <w:r>
              <w:rPr>
                <w:rFonts w:ascii="Aptos" w:hAnsi="Aptos"/>
                <w:b w:val="0"/>
                <w:sz w:val="16"/>
              </w:rPr>
              <w:t>Platform policies, provider health, AI/content overrides, feature flags.</w:t>
            </w:r>
          </w:p>
        </w:tc>
      </w:tr>
    </w:tbl>
    <w:p>
      <w:pPr>
        <w:pStyle w:val="Heading1"/>
      </w:pPr>
      <w:r>
        <w:t>5. Core Data Model</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2448"/>
            <w:vAlign w:val="center"/>
            <w:shd w:fill="17365D"/>
            <w:tcMar>
              <w:top w:w="80" w:type="dxa"/>
              <w:start w:w="90" w:type="dxa"/>
              <w:bottom w:w="80" w:type="dxa"/>
              <w:end w:w="90" w:type="dxa"/>
            </w:tcMar>
          </w:tcPr>
          <w:p>
            <w:r/>
            <w:r>
              <w:rPr>
                <w:rFonts w:ascii="Aptos" w:hAnsi="Aptos"/>
                <w:b/>
                <w:color w:val="FFFFFF"/>
                <w:sz w:val="16"/>
              </w:rPr>
              <w:t>Model</w:t>
            </w:r>
          </w:p>
        </w:tc>
        <w:tc>
          <w:tcPr>
            <w:tcW w:type="dxa" w:w="7344"/>
            <w:vAlign w:val="center"/>
            <w:shd w:fill="17365D"/>
            <w:tcMar>
              <w:top w:w="80" w:type="dxa"/>
              <w:start w:w="90" w:type="dxa"/>
              <w:bottom w:w="80" w:type="dxa"/>
              <w:end w:w="90" w:type="dxa"/>
            </w:tcMar>
          </w:tcPr>
          <w:p>
            <w:r/>
            <w:r>
              <w:rPr>
                <w:rFonts w:ascii="Aptos" w:hAnsi="Aptos"/>
                <w:b/>
                <w:color w:val="FFFFFF"/>
                <w:sz w:val="16"/>
              </w:rPr>
              <w:t>Key fields / purpose</w:t>
            </w:r>
          </w:p>
        </w:tc>
      </w:tr>
      <w:tr>
        <w:trPr>
          <w:cantSplit w:val="true"/>
        </w:trPr>
        <w:tc>
          <w:tcPr>
            <w:tcW w:type="dxa" w:w="2448"/>
            <w:vAlign w:val="center"/>
            <w:tcMar>
              <w:top w:w="80" w:type="dxa"/>
              <w:start w:w="90" w:type="dxa"/>
              <w:bottom w:w="80" w:type="dxa"/>
              <w:end w:w="90" w:type="dxa"/>
            </w:tcMar>
          </w:tcPr>
          <w:p>
            <w:r/>
            <w:r>
              <w:rPr>
                <w:rFonts w:ascii="Aptos" w:hAnsi="Aptos"/>
                <w:b w:val="0"/>
                <w:sz w:val="16"/>
              </w:rPr>
              <w:t>Workspace</w:t>
            </w:r>
          </w:p>
        </w:tc>
        <w:tc>
          <w:tcPr>
            <w:tcW w:type="dxa" w:w="7344"/>
            <w:vAlign w:val="center"/>
            <w:tcMar>
              <w:top w:w="80" w:type="dxa"/>
              <w:start w:w="90" w:type="dxa"/>
              <w:bottom w:w="80" w:type="dxa"/>
              <w:end w:w="90" w:type="dxa"/>
            </w:tcMar>
          </w:tcPr>
          <w:p>
            <w:r/>
            <w:r>
              <w:rPr>
                <w:rFonts w:ascii="Aptos" w:hAnsi="Aptos"/>
                <w:b w:val="0"/>
                <w:sz w:val="16"/>
              </w:rPr>
              <w:t>owner, settings, GMP auto-select threshold, cross-funding defaults.</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WorkspaceMembership</w:t>
            </w:r>
          </w:p>
        </w:tc>
        <w:tc>
          <w:tcPr>
            <w:tcW w:type="dxa" w:w="7344"/>
            <w:vAlign w:val="center"/>
            <w:tcMar>
              <w:top w:w="80" w:type="dxa"/>
              <w:start w:w="90" w:type="dxa"/>
              <w:bottom w:w="80" w:type="dxa"/>
              <w:end w:w="90" w:type="dxa"/>
            </w:tcMar>
            <w:shd w:fill="F4F7FA"/>
          </w:tcPr>
          <w:p>
            <w:r/>
            <w:r>
              <w:rPr>
                <w:rFonts w:ascii="Aptos" w:hAnsi="Aptos"/>
                <w:b w:val="0"/>
                <w:sz w:val="16"/>
              </w:rPr>
              <w:t>user, workspace, OWNER/OPERATOR/VIEWER.</w:t>
            </w:r>
          </w:p>
        </w:tc>
      </w:tr>
      <w:tr>
        <w:trPr>
          <w:cantSplit w:val="true"/>
        </w:trPr>
        <w:tc>
          <w:tcPr>
            <w:tcW w:type="dxa" w:w="2448"/>
            <w:vAlign w:val="center"/>
            <w:tcMar>
              <w:top w:w="80" w:type="dxa"/>
              <w:start w:w="90" w:type="dxa"/>
              <w:bottom w:w="80" w:type="dxa"/>
              <w:end w:w="90" w:type="dxa"/>
            </w:tcMar>
          </w:tcPr>
          <w:p>
            <w:r/>
            <w:r>
              <w:rPr>
                <w:rFonts w:ascii="Aptos" w:hAnsi="Aptos"/>
                <w:b w:val="0"/>
                <w:sz w:val="16"/>
              </w:rPr>
              <w:t>Investor</w:t>
            </w:r>
          </w:p>
        </w:tc>
        <w:tc>
          <w:tcPr>
            <w:tcW w:type="dxa" w:w="7344"/>
            <w:vAlign w:val="center"/>
            <w:tcMar>
              <w:top w:w="80" w:type="dxa"/>
              <w:start w:w="90" w:type="dxa"/>
              <w:bottom w:w="80" w:type="dxa"/>
              <w:end w:w="90" w:type="dxa"/>
            </w:tcMar>
          </w:tcPr>
          <w:p>
            <w:r/>
            <w:r>
              <w:rPr>
                <w:rFonts w:ascii="Aptos" w:hAnsi="Aptos"/>
                <w:b w:val="0"/>
                <w:sz w:val="16"/>
              </w:rPr>
              <w:t>workspace, name, PAN encrypted/hash lookup, priority, active.</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DematAccount</w:t>
            </w:r>
          </w:p>
        </w:tc>
        <w:tc>
          <w:tcPr>
            <w:tcW w:type="dxa" w:w="7344"/>
            <w:vAlign w:val="center"/>
            <w:tcMar>
              <w:top w:w="80" w:type="dxa"/>
              <w:start w:w="90" w:type="dxa"/>
              <w:bottom w:w="80" w:type="dxa"/>
              <w:end w:w="90" w:type="dxa"/>
            </w:tcMar>
            <w:shd w:fill="F4F7FA"/>
          </w:tcPr>
          <w:p>
            <w:r/>
            <w:r>
              <w:rPr>
                <w:rFonts w:ascii="Aptos" w:hAnsi="Aptos"/>
                <w:b w:val="0"/>
                <w:sz w:val="16"/>
              </w:rPr>
              <w:t>investor, depository, DP ID, client ID/BO ID, broker, active.</w:t>
            </w:r>
          </w:p>
        </w:tc>
      </w:tr>
      <w:tr>
        <w:trPr>
          <w:cantSplit w:val="true"/>
        </w:trPr>
        <w:tc>
          <w:tcPr>
            <w:tcW w:type="dxa" w:w="2448"/>
            <w:vAlign w:val="center"/>
            <w:tcMar>
              <w:top w:w="80" w:type="dxa"/>
              <w:start w:w="90" w:type="dxa"/>
              <w:bottom w:w="80" w:type="dxa"/>
              <w:end w:w="90" w:type="dxa"/>
            </w:tcMar>
          </w:tcPr>
          <w:p>
            <w:r/>
            <w:r>
              <w:rPr>
                <w:rFonts w:ascii="Aptos" w:hAnsi="Aptos"/>
                <w:b w:val="0"/>
                <w:sz w:val="16"/>
              </w:rPr>
              <w:t>BankAccount</w:t>
            </w:r>
          </w:p>
        </w:tc>
        <w:tc>
          <w:tcPr>
            <w:tcW w:type="dxa" w:w="7344"/>
            <w:vAlign w:val="center"/>
            <w:tcMar>
              <w:top w:w="80" w:type="dxa"/>
              <w:start w:w="90" w:type="dxa"/>
              <w:bottom w:w="80" w:type="dxa"/>
              <w:end w:w="90" w:type="dxa"/>
            </w:tcMar>
          </w:tcPr>
          <w:p>
            <w:r/>
            <w:r>
              <w:rPr>
                <w:rFonts w:ascii="Aptos" w:hAnsi="Aptos"/>
                <w:b w:val="0"/>
                <w:sz w:val="16"/>
              </w:rPr>
              <w:t>workspace, owner investor, bank, masked/encrypted account number, current_balance, active, cross-funding policy.</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UPIHandle</w:t>
            </w:r>
          </w:p>
        </w:tc>
        <w:tc>
          <w:tcPr>
            <w:tcW w:type="dxa" w:w="7344"/>
            <w:vAlign w:val="center"/>
            <w:tcMar>
              <w:top w:w="80" w:type="dxa"/>
              <w:start w:w="90" w:type="dxa"/>
              <w:bottom w:w="80" w:type="dxa"/>
              <w:end w:w="90" w:type="dxa"/>
            </w:tcMar>
            <w:shd w:fill="F4F7FA"/>
          </w:tcPr>
          <w:p>
            <w:r/>
            <w:r>
              <w:rPr>
                <w:rFonts w:ascii="Aptos" w:hAnsi="Aptos"/>
                <w:b w:val="0"/>
                <w:sz w:val="16"/>
              </w:rPr>
              <w:t>bank account, holder investor/name, handle, verified, active, optional limit overrides.</w:t>
            </w:r>
          </w:p>
        </w:tc>
      </w:tr>
      <w:tr>
        <w:trPr>
          <w:cantSplit w:val="true"/>
        </w:trPr>
        <w:tc>
          <w:tcPr>
            <w:tcW w:type="dxa" w:w="2448"/>
            <w:vAlign w:val="center"/>
            <w:tcMar>
              <w:top w:w="80" w:type="dxa"/>
              <w:start w:w="90" w:type="dxa"/>
              <w:bottom w:w="80" w:type="dxa"/>
              <w:end w:w="90" w:type="dxa"/>
            </w:tcMar>
          </w:tcPr>
          <w:p>
            <w:r/>
            <w:r>
              <w:rPr>
                <w:rFonts w:ascii="Aptos" w:hAnsi="Aptos"/>
                <w:b w:val="0"/>
                <w:sz w:val="16"/>
              </w:rPr>
              <w:t>FundingPreference</w:t>
            </w:r>
          </w:p>
        </w:tc>
        <w:tc>
          <w:tcPr>
            <w:tcW w:type="dxa" w:w="7344"/>
            <w:vAlign w:val="center"/>
            <w:tcMar>
              <w:top w:w="80" w:type="dxa"/>
              <w:start w:w="90" w:type="dxa"/>
              <w:bottom w:w="80" w:type="dxa"/>
              <w:end w:w="90" w:type="dxa"/>
            </w:tcMar>
          </w:tcPr>
          <w:p>
            <w:r/>
            <w:r>
              <w:rPr>
                <w:rFonts w:ascii="Aptos" w:hAnsi="Aptos"/>
                <w:b w:val="0"/>
                <w:sz w:val="16"/>
              </w:rPr>
              <w:t>beneficiary investor, bank account, priority, enabled.</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BalanceChange</w:t>
            </w:r>
          </w:p>
        </w:tc>
        <w:tc>
          <w:tcPr>
            <w:tcW w:type="dxa" w:w="7344"/>
            <w:vAlign w:val="center"/>
            <w:tcMar>
              <w:top w:w="80" w:type="dxa"/>
              <w:start w:w="90" w:type="dxa"/>
              <w:bottom w:w="80" w:type="dxa"/>
              <w:end w:w="90" w:type="dxa"/>
            </w:tcMar>
            <w:shd w:fill="F4F7FA"/>
          </w:tcPr>
          <w:p>
            <w:r/>
            <w:r>
              <w:rPr>
                <w:rFonts w:ascii="Aptos" w:hAnsi="Aptos"/>
                <w:b w:val="0"/>
                <w:sz w:val="16"/>
              </w:rPr>
              <w:t>bank, delta or set operation, balance_after, type, note, actor, timestamp.</w:t>
            </w:r>
          </w:p>
        </w:tc>
      </w:tr>
      <w:tr>
        <w:trPr>
          <w:cantSplit w:val="true"/>
        </w:trPr>
        <w:tc>
          <w:tcPr>
            <w:tcW w:type="dxa" w:w="2448"/>
            <w:vAlign w:val="center"/>
            <w:tcMar>
              <w:top w:w="80" w:type="dxa"/>
              <w:start w:w="90" w:type="dxa"/>
              <w:bottom w:w="80" w:type="dxa"/>
              <w:end w:w="90" w:type="dxa"/>
            </w:tcMar>
          </w:tcPr>
          <w:p>
            <w:r/>
            <w:r>
              <w:rPr>
                <w:rFonts w:ascii="Aptos" w:hAnsi="Aptos"/>
                <w:b w:val="0"/>
                <w:sz w:val="16"/>
              </w:rPr>
              <w:t>RecurringDebit</w:t>
            </w:r>
          </w:p>
        </w:tc>
        <w:tc>
          <w:tcPr>
            <w:tcW w:type="dxa" w:w="7344"/>
            <w:vAlign w:val="center"/>
            <w:tcMar>
              <w:top w:w="80" w:type="dxa"/>
              <w:start w:w="90" w:type="dxa"/>
              <w:bottom w:w="80" w:type="dxa"/>
              <w:end w:w="90" w:type="dxa"/>
            </w:tcMar>
          </w:tcPr>
          <w:p>
            <w:r/>
            <w:r>
              <w:rPr>
                <w:rFonts w:ascii="Aptos" w:hAnsi="Aptos"/>
                <w:b w:val="0"/>
                <w:sz w:val="16"/>
              </w:rPr>
              <w:t>bank, name, amount, recurrence, next_due_date, active/paused.</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IPO</w:t>
            </w:r>
          </w:p>
        </w:tc>
        <w:tc>
          <w:tcPr>
            <w:tcW w:type="dxa" w:w="7344"/>
            <w:vAlign w:val="center"/>
            <w:tcMar>
              <w:top w:w="80" w:type="dxa"/>
              <w:start w:w="90" w:type="dxa"/>
              <w:bottom w:w="80" w:type="dxa"/>
              <w:end w:w="90" w:type="dxa"/>
            </w:tcMar>
            <w:shd w:fill="F4F7FA"/>
          </w:tcPr>
          <w:p>
            <w:r/>
            <w:r>
              <w:rPr>
                <w:rFonts w:ascii="Aptos" w:hAnsi="Aptos"/>
                <w:b w:val="0"/>
                <w:sz w:val="16"/>
              </w:rPr>
              <w:t>issue facts, dates, lot/price, allotment date, status, source provenance.</w:t>
            </w:r>
          </w:p>
        </w:tc>
      </w:tr>
      <w:tr>
        <w:trPr>
          <w:cantSplit w:val="true"/>
        </w:trPr>
        <w:tc>
          <w:tcPr>
            <w:tcW w:type="dxa" w:w="2448"/>
            <w:vAlign w:val="center"/>
            <w:tcMar>
              <w:top w:w="80" w:type="dxa"/>
              <w:start w:w="90" w:type="dxa"/>
              <w:bottom w:w="80" w:type="dxa"/>
              <w:end w:w="90" w:type="dxa"/>
            </w:tcMar>
          </w:tcPr>
          <w:p>
            <w:r/>
            <w:r>
              <w:rPr>
                <w:rFonts w:ascii="Aptos" w:hAnsi="Aptos"/>
                <w:b w:val="0"/>
                <w:sz w:val="16"/>
              </w:rPr>
              <w:t>GMPObservation</w:t>
            </w:r>
          </w:p>
        </w:tc>
        <w:tc>
          <w:tcPr>
            <w:tcW w:type="dxa" w:w="7344"/>
            <w:vAlign w:val="center"/>
            <w:tcMar>
              <w:top w:w="80" w:type="dxa"/>
              <w:start w:w="90" w:type="dxa"/>
              <w:bottom w:w="80" w:type="dxa"/>
              <w:end w:w="90" w:type="dxa"/>
            </w:tcMar>
          </w:tcPr>
          <w:p>
            <w:r/>
            <w:r>
              <w:rPr>
                <w:rFonts w:ascii="Aptos" w:hAnsi="Aptos"/>
                <w:b w:val="0"/>
                <w:sz w:val="16"/>
              </w:rPr>
              <w:t>IPO, provider, value, observed/fetched times, source URL/hash.</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IPOUserDecision</w:t>
            </w:r>
          </w:p>
        </w:tc>
        <w:tc>
          <w:tcPr>
            <w:tcW w:type="dxa" w:w="7344"/>
            <w:vAlign w:val="center"/>
            <w:tcMar>
              <w:top w:w="80" w:type="dxa"/>
              <w:start w:w="90" w:type="dxa"/>
              <w:bottom w:w="80" w:type="dxa"/>
              <w:end w:w="90" w:type="dxa"/>
            </w:tcMar>
            <w:shd w:fill="F4F7FA"/>
          </w:tcPr>
          <w:p>
            <w:r/>
            <w:r>
              <w:rPr>
                <w:rFonts w:ascii="Aptos" w:hAnsi="Aptos"/>
                <w:b w:val="0"/>
                <w:sz w:val="16"/>
              </w:rPr>
              <w:t>workspace, IPO, DEFAULT/APPLY/SKIP, optional mode override.</w:t>
            </w:r>
          </w:p>
        </w:tc>
      </w:tr>
      <w:tr>
        <w:trPr>
          <w:cantSplit w:val="true"/>
        </w:trPr>
        <w:tc>
          <w:tcPr>
            <w:tcW w:type="dxa" w:w="2448"/>
            <w:vAlign w:val="center"/>
            <w:tcMar>
              <w:top w:w="80" w:type="dxa"/>
              <w:start w:w="90" w:type="dxa"/>
              <w:bottom w:w="80" w:type="dxa"/>
              <w:end w:w="90" w:type="dxa"/>
            </w:tcMar>
          </w:tcPr>
          <w:p>
            <w:r/>
            <w:r>
              <w:rPr>
                <w:rFonts w:ascii="Aptos" w:hAnsi="Aptos"/>
                <w:b w:val="0"/>
                <w:sz w:val="16"/>
              </w:rPr>
              <w:t>PlanRun</w:t>
            </w:r>
          </w:p>
        </w:tc>
        <w:tc>
          <w:tcPr>
            <w:tcW w:type="dxa" w:w="7344"/>
            <w:vAlign w:val="center"/>
            <w:tcMar>
              <w:top w:w="80" w:type="dxa"/>
              <w:start w:w="90" w:type="dxa"/>
              <w:bottom w:w="80" w:type="dxa"/>
              <w:end w:w="90" w:type="dxa"/>
            </w:tcMar>
          </w:tcPr>
          <w:p>
            <w:r/>
            <w:r>
              <w:rPr>
                <w:rFonts w:ascii="Aptos" w:hAnsi="Aptos"/>
                <w:b w:val="0"/>
                <w:sz w:val="16"/>
              </w:rPr>
              <w:t>workspace, planner_version, input hash/snapshot, status, generated_at.</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PlanRow</w:t>
            </w:r>
          </w:p>
        </w:tc>
        <w:tc>
          <w:tcPr>
            <w:tcW w:type="dxa" w:w="7344"/>
            <w:vAlign w:val="center"/>
            <w:tcMar>
              <w:top w:w="80" w:type="dxa"/>
              <w:start w:w="90" w:type="dxa"/>
              <w:bottom w:w="80" w:type="dxa"/>
              <w:end w:w="90" w:type="dxa"/>
            </w:tcMar>
            <w:shd w:fill="F4F7FA"/>
          </w:tcPr>
          <w:p>
            <w:r/>
            <w:r>
              <w:rPr>
                <w:rFonts w:ascii="Aptos" w:hAnsi="Aptos"/>
                <w:b w:val="0"/>
                <w:sz w:val="16"/>
              </w:rPr>
              <w:t>IPO, investor, category, lots, amount, demat, bank, UPI, lock state, warnings/explanation.</w:t>
            </w:r>
          </w:p>
        </w:tc>
      </w:tr>
      <w:tr>
        <w:trPr>
          <w:cantSplit w:val="true"/>
        </w:trPr>
        <w:tc>
          <w:tcPr>
            <w:tcW w:type="dxa" w:w="2448"/>
            <w:vAlign w:val="center"/>
            <w:tcMar>
              <w:top w:w="80" w:type="dxa"/>
              <w:start w:w="90" w:type="dxa"/>
              <w:bottom w:w="80" w:type="dxa"/>
              <w:end w:w="90" w:type="dxa"/>
            </w:tcMar>
          </w:tcPr>
          <w:p>
            <w:r/>
            <w:r>
              <w:rPr>
                <w:rFonts w:ascii="Aptos" w:hAnsi="Aptos"/>
                <w:b w:val="0"/>
                <w:sz w:val="16"/>
              </w:rPr>
              <w:t>Application</w:t>
            </w:r>
          </w:p>
        </w:tc>
        <w:tc>
          <w:tcPr>
            <w:tcW w:type="dxa" w:w="7344"/>
            <w:vAlign w:val="center"/>
            <w:tcMar>
              <w:top w:w="80" w:type="dxa"/>
              <w:start w:w="90" w:type="dxa"/>
              <w:bottom w:w="80" w:type="dxa"/>
              <w:end w:w="90" w:type="dxa"/>
            </w:tcMar>
          </w:tcPr>
          <w:p>
            <w:r/>
            <w:r>
              <w:rPr>
                <w:rFonts w:ascii="Aptos" w:hAnsi="Aptos"/>
                <w:b w:val="0"/>
                <w:sz w:val="16"/>
              </w:rPr>
              <w:t>plan row link, submitted time, bank/UPI, amount, application status.</w:t>
            </w:r>
          </w:p>
        </w:tc>
      </w:tr>
      <w:tr>
        <w:trPr>
          <w:cantSplit w:val="true"/>
        </w:trPr>
        <w:tc>
          <w:tcPr>
            <w:tcW w:type="dxa" w:w="2448"/>
            <w:vAlign w:val="center"/>
            <w:tcMar>
              <w:top w:w="80" w:type="dxa"/>
              <w:start w:w="90" w:type="dxa"/>
              <w:bottom w:w="80" w:type="dxa"/>
              <w:end w:w="90" w:type="dxa"/>
            </w:tcMar>
            <w:shd w:fill="F4F7FA"/>
          </w:tcPr>
          <w:p>
            <w:r/>
            <w:r>
              <w:rPr>
                <w:rFonts w:ascii="Aptos" w:hAnsi="Aptos"/>
                <w:b w:val="0"/>
                <w:sz w:val="16"/>
              </w:rPr>
              <w:t>Allotment</w:t>
            </w:r>
          </w:p>
        </w:tc>
        <w:tc>
          <w:tcPr>
            <w:tcW w:type="dxa" w:w="7344"/>
            <w:vAlign w:val="center"/>
            <w:tcMar>
              <w:top w:w="80" w:type="dxa"/>
              <w:start w:w="90" w:type="dxa"/>
              <w:bottom w:w="80" w:type="dxa"/>
              <w:end w:w="90" w:type="dxa"/>
            </w:tcMar>
            <w:shd w:fill="F4F7FA"/>
          </w:tcPr>
          <w:p>
            <w:r/>
            <w:r>
              <w:rPr>
                <w:rFonts w:ascii="Aptos" w:hAnsi="Aptos"/>
                <w:b w:val="0"/>
                <w:sz w:val="16"/>
              </w:rPr>
              <w:t>application, allotted quantity/cost, result, recorded_at.</w:t>
            </w:r>
          </w:p>
        </w:tc>
      </w:tr>
      <w:tr>
        <w:trPr>
          <w:cantSplit w:val="true"/>
        </w:trPr>
        <w:tc>
          <w:tcPr>
            <w:tcW w:type="dxa" w:w="2448"/>
            <w:vAlign w:val="center"/>
            <w:tcMar>
              <w:top w:w="80" w:type="dxa"/>
              <w:start w:w="90" w:type="dxa"/>
              <w:bottom w:w="80" w:type="dxa"/>
              <w:end w:w="90" w:type="dxa"/>
            </w:tcMar>
          </w:tcPr>
          <w:p>
            <w:r/>
            <w:r>
              <w:rPr>
                <w:rFonts w:ascii="Aptos" w:hAnsi="Aptos"/>
                <w:b w:val="0"/>
                <w:sz w:val="16"/>
              </w:rPr>
              <w:t>Sale</w:t>
            </w:r>
          </w:p>
        </w:tc>
        <w:tc>
          <w:tcPr>
            <w:tcW w:type="dxa" w:w="7344"/>
            <w:vAlign w:val="center"/>
            <w:tcMar>
              <w:top w:w="80" w:type="dxa"/>
              <w:start w:w="90" w:type="dxa"/>
              <w:bottom w:w="80" w:type="dxa"/>
              <w:end w:w="90" w:type="dxa"/>
            </w:tcMar>
          </w:tcPr>
          <w:p>
            <w:r/>
            <w:r>
              <w:rPr>
                <w:rFonts w:ascii="Aptos" w:hAnsi="Aptos"/>
                <w:b w:val="0"/>
                <w:sz w:val="16"/>
              </w:rPr>
              <w:t>investor/IPO, quantity, price, charges, realized result.</w:t>
            </w:r>
          </w:p>
        </w:tc>
      </w:tr>
    </w:tbl>
    <w:p>
      <w:pPr>
        <w:pStyle w:val="Heading2"/>
      </w:pPr>
      <w:r>
        <w:t>5.1 Sensitive field strategy</w:t>
      </w:r>
    </w:p>
    <w:p>
      <w:pPr>
        <w:pStyle w:val="ListBullet"/>
      </w:pPr>
      <w:r>
        <w:t>PAN and bank account numbers are encrypted at rest at application level and displayed masked by default.</w:t>
      </w:r>
    </w:p>
    <w:p>
      <w:pPr>
        <w:pStyle w:val="ListBullet"/>
      </w:pPr>
      <w:r>
        <w:t>Store normalized hashes for exact-match/duplicate lookup without exposing plaintext in query indexes.</w:t>
      </w:r>
    </w:p>
    <w:p>
      <w:pPr>
        <w:pStyle w:val="ListBullet"/>
      </w:pPr>
      <w:r>
        <w:t>Never store banking passwords, UPI PINs, broker passwords, TPINs or OTP secrets.</w:t>
      </w:r>
    </w:p>
    <w:p>
      <w:pPr>
        <w:pStyle w:val="ListBullet"/>
      </w:pPr>
      <w:r>
        <w:t>Use opaque public IDs/UUIDs in APIs rather than sequential internal IDs where exposure matters.</w:t>
      </w:r>
    </w:p>
    <w:p>
      <w:pPr>
        <w:pStyle w:val="Heading1"/>
      </w:pPr>
      <w:r>
        <w:t>6. Planner Architecture</w:t>
      </w:r>
    </w:p>
    <w:tbl>
      <w:tblPr>
        <w:tblW w:type="auto" w:w="0"/>
        <w:jc w:val="center"/>
        <w:tblLook w:firstColumn="1" w:firstRow="1" w:lastColumn="0" w:lastRow="0" w:noHBand="0" w:noVBand="1" w:val="04A0"/>
      </w:tblPr>
      <w:tblGrid>
        <w:gridCol w:w="10224"/>
      </w:tblGrid>
      <w:tr>
        <w:tc>
          <w:tcPr>
            <w:tcW w:type="dxa" w:w="10224"/>
            <w:shd w:fill="E2F0D9"/>
            <w:tcMar>
              <w:top w:w="110" w:type="dxa"/>
              <w:start w:w="130" w:type="dxa"/>
              <w:bottom w:w="110" w:type="dxa"/>
              <w:end w:w="130" w:type="dxa"/>
            </w:tcMar>
          </w:tcPr>
          <w:p>
            <w:r>
              <w:rPr>
                <w:b/>
                <w:color w:val="17365D"/>
                <w:sz w:val="19"/>
              </w:rPr>
              <w:t xml:space="preserve">Planner authority: </w:t>
            </w:r>
            <w:r>
              <w:rPr>
                <w:sz w:val="19"/>
              </w:rPr>
              <w:t>Planner Algorithm v2 Specification is the implementation contract. The 120-case test matrix plus founder golden cases gate release.</w:t>
            </w:r>
          </w:p>
        </w:tc>
      </w:tr>
    </w:tbl>
    <w:p>
      <w:pPr>
        <w:pStyle w:val="CodeBlock"/>
      </w:pPr>
      <w:r>
        <w:t>Django ORM -&gt; build PlannerInputSnapshot (immutable DTOs)</w:t>
        <w:br/>
        <w:t xml:space="preserve">                   |</w:t>
        <w:br/>
        <w:t xml:space="preserve">                   v</w:t>
        <w:br/>
        <w:t xml:space="preserve">             Planner v2 engine</w:t>
        <w:br/>
        <w:t xml:space="preserve">        [selection -&gt; coverage -&gt; sHNI -&gt; repair -&gt; audit]</w:t>
        <w:br/>
        <w:t xml:space="preserve">                   |</w:t>
        <w:br/>
        <w:t xml:space="preserve">                   v</w:t>
        <w:br/>
        <w:t xml:space="preserve">             PlannerResult DTO</w:t>
        <w:br/>
        <w:t xml:space="preserve">                   |</w:t>
        <w:br/>
        <w:t xml:space="preserve">                   v</w:t>
        <w:br/>
        <w:t xml:space="preserve"> Django transaction -&gt; persist PlanRun + PlanRows</w:t>
      </w:r>
    </w:p>
    <w:p>
      <w:pPr>
        <w:pStyle w:val="Heading2"/>
      </w:pPr>
      <w:r>
        <w:t>6.1 Policy resolution</w:t>
      </w:r>
    </w:p>
    <w:p>
      <w:r>
        <w:t>Resolve settings before the planner runs. The effective cross-funding decision follows platform default → bank/account override → workspace preference → plan override → explicit locked row. Applicant Priority and Funding Preference are separate concepts.</w:t>
      </w:r>
    </w:p>
    <w:p>
      <w:pPr>
        <w:pStyle w:val="Heading2"/>
      </w:pPr>
      <w:r>
        <w:t>6.2 Cash-at-cutoff service</w:t>
      </w:r>
    </w:p>
    <w:p>
      <w:pPr>
        <w:pStyle w:val="CodeBlock"/>
      </w:pPr>
      <w:r>
        <w:t>available_at(cutoff) =</w:t>
        <w:br/>
        <w:t xml:space="preserve">    current_balance</w:t>
        <w:br/>
        <w:t xml:space="preserve">    - active_blocks_at(cutoff)</w:t>
        <w:br/>
        <w:t xml:space="preserve">    - provisional_plan_allocations_at(cutoff)</w:t>
        <w:br/>
        <w:t xml:space="preserve">    - recurring_debits_due_on_or_before(cutoff)</w:t>
        <w:br/>
        <w:t xml:space="preserve">    + expected_releases_before(cutoff)</w:t>
      </w:r>
    </w:p>
    <w:p>
      <w:r>
        <w:t>The user-facing model remains Balance / Blocked / Planned / Available. The backend can derive timeline values without exposing reconciliation/accounting concepts.</w:t>
      </w:r>
    </w:p>
    <w:p>
      <w:pPr>
        <w:pStyle w:val="Heading2"/>
      </w:pPr>
      <w:r>
        <w:t>6.3 Determinism and concurrency</w:t>
      </w:r>
    </w:p>
    <w:p>
      <w:pPr>
        <w:pStyle w:val="ListBullet"/>
      </w:pPr>
      <w:r>
        <w:t>All sort orders end with stable IDs.</w:t>
      </w:r>
    </w:p>
    <w:p>
      <w:pPr>
        <w:pStyle w:val="ListBullet"/>
      </w:pPr>
      <w:r>
        <w:t>Persist planner version, policy version and input snapshot hash on every run.</w:t>
      </w:r>
    </w:p>
    <w:p>
      <w:pPr>
        <w:pStyle w:val="ListBullet"/>
      </w:pPr>
      <w:r>
        <w:t>Use a database transaction when accepting/finalizing a plan and row-level locking on relevant bank/workspace records to prevent concurrent plan commits from overspending the same balance.</w:t>
      </w:r>
    </w:p>
    <w:p>
      <w:pPr>
        <w:pStyle w:val="ListBullet"/>
      </w:pPr>
      <w:r>
        <w:t>The planner itself does not mutate ORM state; it only returns a proposal.</w:t>
      </w:r>
    </w:p>
    <w:p>
      <w:pPr>
        <w:pStyle w:val="Heading1"/>
      </w:pPr>
      <w:r>
        <w:t>7. API Design</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2592"/>
            <w:vAlign w:val="center"/>
            <w:shd w:fill="17365D"/>
            <w:tcMar>
              <w:top w:w="80" w:type="dxa"/>
              <w:start w:w="90" w:type="dxa"/>
              <w:bottom w:w="80" w:type="dxa"/>
              <w:end w:w="90" w:type="dxa"/>
            </w:tcMar>
          </w:tcPr>
          <w:p>
            <w:r/>
            <w:r>
              <w:rPr>
                <w:rFonts w:ascii="Aptos" w:hAnsi="Aptos"/>
                <w:b/>
                <w:color w:val="FFFFFF"/>
                <w:sz w:val="16"/>
              </w:rPr>
              <w:t>Endpoint family</w:t>
            </w:r>
          </w:p>
        </w:tc>
        <w:tc>
          <w:tcPr>
            <w:tcW w:type="dxa" w:w="7200"/>
            <w:vAlign w:val="center"/>
            <w:shd w:fill="17365D"/>
            <w:tcMar>
              <w:top w:w="80" w:type="dxa"/>
              <w:start w:w="90" w:type="dxa"/>
              <w:bottom w:w="80" w:type="dxa"/>
              <w:end w:w="90" w:type="dxa"/>
            </w:tcMar>
          </w:tcPr>
          <w:p>
            <w:r/>
            <w:r>
              <w:rPr>
                <w:rFonts w:ascii="Aptos" w:hAnsi="Aptos"/>
                <w:b/>
                <w:color w:val="FFFFFF"/>
                <w:sz w:val="16"/>
              </w:rPr>
              <w:t>Examples</w:t>
            </w:r>
          </w:p>
        </w:tc>
      </w:tr>
      <w:tr>
        <w:trPr>
          <w:cantSplit w:val="true"/>
        </w:trPr>
        <w:tc>
          <w:tcPr>
            <w:tcW w:type="dxa" w:w="2592"/>
            <w:vAlign w:val="center"/>
            <w:tcMar>
              <w:top w:w="80" w:type="dxa"/>
              <w:start w:w="90" w:type="dxa"/>
              <w:bottom w:w="80" w:type="dxa"/>
              <w:end w:w="90" w:type="dxa"/>
            </w:tcMar>
          </w:tcPr>
          <w:p>
            <w:r/>
            <w:r>
              <w:rPr>
                <w:rFonts w:ascii="Aptos" w:hAnsi="Aptos"/>
                <w:b w:val="0"/>
                <w:sz w:val="16"/>
              </w:rPr>
              <w:t>Auth/workspace</w:t>
            </w:r>
          </w:p>
        </w:tc>
        <w:tc>
          <w:tcPr>
            <w:tcW w:type="dxa" w:w="7200"/>
            <w:vAlign w:val="center"/>
            <w:tcMar>
              <w:top w:w="80" w:type="dxa"/>
              <w:start w:w="90" w:type="dxa"/>
              <w:bottom w:w="80" w:type="dxa"/>
              <w:end w:w="90" w:type="dxa"/>
            </w:tcMar>
          </w:tcPr>
          <w:p>
            <w:r/>
            <w:r>
              <w:rPr>
                <w:rFonts w:ascii="Aptos" w:hAnsi="Aptos"/>
                <w:b w:val="0"/>
                <w:sz w:val="16"/>
              </w:rPr>
              <w:t>/api/v1/me, /workspaces, /memberships</w:t>
            </w:r>
          </w:p>
        </w:tc>
      </w:tr>
      <w:tr>
        <w:trPr>
          <w:cantSplit w:val="true"/>
        </w:trPr>
        <w:tc>
          <w:tcPr>
            <w:tcW w:type="dxa" w:w="2592"/>
            <w:vAlign w:val="center"/>
            <w:tcMar>
              <w:top w:w="80" w:type="dxa"/>
              <w:start w:w="90" w:type="dxa"/>
              <w:bottom w:w="80" w:type="dxa"/>
              <w:end w:w="90" w:type="dxa"/>
            </w:tcMar>
            <w:shd w:fill="F4F7FA"/>
          </w:tcPr>
          <w:p>
            <w:r/>
            <w:r>
              <w:rPr>
                <w:rFonts w:ascii="Aptos" w:hAnsi="Aptos"/>
                <w:b w:val="0"/>
                <w:sz w:val="16"/>
              </w:rPr>
              <w:t>Investors</w:t>
            </w:r>
          </w:p>
        </w:tc>
        <w:tc>
          <w:tcPr>
            <w:tcW w:type="dxa" w:w="7200"/>
            <w:vAlign w:val="center"/>
            <w:tcMar>
              <w:top w:w="80" w:type="dxa"/>
              <w:start w:w="90" w:type="dxa"/>
              <w:bottom w:w="80" w:type="dxa"/>
              <w:end w:w="90" w:type="dxa"/>
            </w:tcMar>
            <w:shd w:fill="F4F7FA"/>
          </w:tcPr>
          <w:p>
            <w:r/>
            <w:r>
              <w:rPr>
                <w:rFonts w:ascii="Aptos" w:hAnsi="Aptos"/>
                <w:b w:val="0"/>
                <w:sz w:val="16"/>
              </w:rPr>
              <w:t>/investors, /demats, /account-imports</w:t>
            </w:r>
          </w:p>
        </w:tc>
      </w:tr>
      <w:tr>
        <w:trPr>
          <w:cantSplit w:val="true"/>
        </w:trPr>
        <w:tc>
          <w:tcPr>
            <w:tcW w:type="dxa" w:w="2592"/>
            <w:vAlign w:val="center"/>
            <w:tcMar>
              <w:top w:w="80" w:type="dxa"/>
              <w:start w:w="90" w:type="dxa"/>
              <w:bottom w:w="80" w:type="dxa"/>
              <w:end w:w="90" w:type="dxa"/>
            </w:tcMar>
          </w:tcPr>
          <w:p>
            <w:r/>
            <w:r>
              <w:rPr>
                <w:rFonts w:ascii="Aptos" w:hAnsi="Aptos"/>
                <w:b w:val="0"/>
                <w:sz w:val="16"/>
              </w:rPr>
              <w:t>Funding</w:t>
            </w:r>
          </w:p>
        </w:tc>
        <w:tc>
          <w:tcPr>
            <w:tcW w:type="dxa" w:w="7200"/>
            <w:vAlign w:val="center"/>
            <w:tcMar>
              <w:top w:w="80" w:type="dxa"/>
              <w:start w:w="90" w:type="dxa"/>
              <w:bottom w:w="80" w:type="dxa"/>
              <w:end w:w="90" w:type="dxa"/>
            </w:tcMar>
          </w:tcPr>
          <w:p>
            <w:r/>
            <w:r>
              <w:rPr>
                <w:rFonts w:ascii="Aptos" w:hAnsi="Aptos"/>
                <w:b w:val="0"/>
                <w:sz w:val="16"/>
              </w:rPr>
              <w:t>/banks, /banks/{id}/balance-changes, /upis, /funding-preferences, /recurring-debits</w:t>
            </w:r>
          </w:p>
        </w:tc>
      </w:tr>
      <w:tr>
        <w:trPr>
          <w:cantSplit w:val="true"/>
        </w:trPr>
        <w:tc>
          <w:tcPr>
            <w:tcW w:type="dxa" w:w="2592"/>
            <w:vAlign w:val="center"/>
            <w:tcMar>
              <w:top w:w="80" w:type="dxa"/>
              <w:start w:w="90" w:type="dxa"/>
              <w:bottom w:w="80" w:type="dxa"/>
              <w:end w:w="90" w:type="dxa"/>
            </w:tcMar>
            <w:shd w:fill="F4F7FA"/>
          </w:tcPr>
          <w:p>
            <w:r/>
            <w:r>
              <w:rPr>
                <w:rFonts w:ascii="Aptos" w:hAnsi="Aptos"/>
                <w:b w:val="0"/>
                <w:sz w:val="16"/>
              </w:rPr>
              <w:t>IPOs</w:t>
            </w:r>
          </w:p>
        </w:tc>
        <w:tc>
          <w:tcPr>
            <w:tcW w:type="dxa" w:w="7200"/>
            <w:vAlign w:val="center"/>
            <w:tcMar>
              <w:top w:w="80" w:type="dxa"/>
              <w:start w:w="90" w:type="dxa"/>
              <w:bottom w:w="80" w:type="dxa"/>
              <w:end w:w="90" w:type="dxa"/>
            </w:tcMar>
            <w:shd w:fill="F4F7FA"/>
          </w:tcPr>
          <w:p>
            <w:r/>
            <w:r>
              <w:rPr>
                <w:rFonts w:ascii="Aptos" w:hAnsi="Aptos"/>
                <w:b w:val="0"/>
                <w:sz w:val="16"/>
              </w:rPr>
              <w:t>/ipos, /ipos/{id}, /ipo-decisions, /gmp-history</w:t>
            </w:r>
          </w:p>
        </w:tc>
      </w:tr>
      <w:tr>
        <w:trPr>
          <w:cantSplit w:val="true"/>
        </w:trPr>
        <w:tc>
          <w:tcPr>
            <w:tcW w:type="dxa" w:w="2592"/>
            <w:vAlign w:val="center"/>
            <w:tcMar>
              <w:top w:w="80" w:type="dxa"/>
              <w:start w:w="90" w:type="dxa"/>
              <w:bottom w:w="80" w:type="dxa"/>
              <w:end w:w="90" w:type="dxa"/>
            </w:tcMar>
          </w:tcPr>
          <w:p>
            <w:r/>
            <w:r>
              <w:rPr>
                <w:rFonts w:ascii="Aptos" w:hAnsi="Aptos"/>
                <w:b w:val="0"/>
                <w:sz w:val="16"/>
              </w:rPr>
              <w:t>Planner</w:t>
            </w:r>
          </w:p>
        </w:tc>
        <w:tc>
          <w:tcPr>
            <w:tcW w:type="dxa" w:w="7200"/>
            <w:vAlign w:val="center"/>
            <w:tcMar>
              <w:top w:w="80" w:type="dxa"/>
              <w:start w:w="90" w:type="dxa"/>
              <w:bottom w:w="80" w:type="dxa"/>
              <w:end w:w="90" w:type="dxa"/>
            </w:tcMar>
          </w:tcPr>
          <w:p>
            <w:r/>
            <w:r>
              <w:rPr>
                <w:rFonts w:ascii="Aptos" w:hAnsi="Aptos"/>
                <w:b w:val="0"/>
                <w:sz w:val="16"/>
              </w:rPr>
              <w:t>/plans/preview, /plans/{id}, /plans/{id}/rows/{row_id}, /plans/{id}/replan, /plans/{id}/finalize</w:t>
            </w:r>
          </w:p>
        </w:tc>
      </w:tr>
      <w:tr>
        <w:trPr>
          <w:cantSplit w:val="true"/>
        </w:trPr>
        <w:tc>
          <w:tcPr>
            <w:tcW w:type="dxa" w:w="2592"/>
            <w:vAlign w:val="center"/>
            <w:tcMar>
              <w:top w:w="80" w:type="dxa"/>
              <w:start w:w="90" w:type="dxa"/>
              <w:bottom w:w="80" w:type="dxa"/>
              <w:end w:w="90" w:type="dxa"/>
            </w:tcMar>
            <w:shd w:fill="F4F7FA"/>
          </w:tcPr>
          <w:p>
            <w:r/>
            <w:r>
              <w:rPr>
                <w:rFonts w:ascii="Aptos" w:hAnsi="Aptos"/>
                <w:b w:val="0"/>
                <w:sz w:val="16"/>
              </w:rPr>
              <w:t>Exports</w:t>
            </w:r>
          </w:p>
        </w:tc>
        <w:tc>
          <w:tcPr>
            <w:tcW w:type="dxa" w:w="7200"/>
            <w:vAlign w:val="center"/>
            <w:tcMar>
              <w:top w:w="80" w:type="dxa"/>
              <w:start w:w="90" w:type="dxa"/>
              <w:bottom w:w="80" w:type="dxa"/>
              <w:end w:w="90" w:type="dxa"/>
            </w:tcMar>
            <w:shd w:fill="F4F7FA"/>
          </w:tcPr>
          <w:p>
            <w:r/>
            <w:r>
              <w:rPr>
                <w:rFonts w:ascii="Aptos" w:hAnsi="Aptos"/>
                <w:b w:val="0"/>
                <w:sz w:val="16"/>
              </w:rPr>
              <w:t>/plans/{id}/exports, /export-formats</w:t>
            </w:r>
          </w:p>
        </w:tc>
      </w:tr>
      <w:tr>
        <w:trPr>
          <w:cantSplit w:val="true"/>
        </w:trPr>
        <w:tc>
          <w:tcPr>
            <w:tcW w:type="dxa" w:w="2592"/>
            <w:vAlign w:val="center"/>
            <w:tcMar>
              <w:top w:w="80" w:type="dxa"/>
              <w:start w:w="90" w:type="dxa"/>
              <w:bottom w:w="80" w:type="dxa"/>
              <w:end w:w="90" w:type="dxa"/>
            </w:tcMar>
          </w:tcPr>
          <w:p>
            <w:r/>
            <w:r>
              <w:rPr>
                <w:rFonts w:ascii="Aptos" w:hAnsi="Aptos"/>
                <w:b w:val="0"/>
                <w:sz w:val="16"/>
              </w:rPr>
              <w:t>Tracking</w:t>
            </w:r>
          </w:p>
        </w:tc>
        <w:tc>
          <w:tcPr>
            <w:tcW w:type="dxa" w:w="7200"/>
            <w:vAlign w:val="center"/>
            <w:tcMar>
              <w:top w:w="80" w:type="dxa"/>
              <w:start w:w="90" w:type="dxa"/>
              <w:bottom w:w="80" w:type="dxa"/>
              <w:end w:w="90" w:type="dxa"/>
            </w:tcMar>
          </w:tcPr>
          <w:p>
            <w:r/>
            <w:r>
              <w:rPr>
                <w:rFonts w:ascii="Aptos" w:hAnsi="Aptos"/>
                <w:b w:val="0"/>
                <w:sz w:val="16"/>
              </w:rPr>
              <w:t>/applications, /applications/{id}/status, /allotments</w:t>
            </w:r>
          </w:p>
        </w:tc>
      </w:tr>
      <w:tr>
        <w:trPr>
          <w:cantSplit w:val="true"/>
        </w:trPr>
        <w:tc>
          <w:tcPr>
            <w:tcW w:type="dxa" w:w="2592"/>
            <w:vAlign w:val="center"/>
            <w:tcMar>
              <w:top w:w="80" w:type="dxa"/>
              <w:start w:w="90" w:type="dxa"/>
              <w:bottom w:w="80" w:type="dxa"/>
              <w:end w:w="90" w:type="dxa"/>
            </w:tcMar>
            <w:shd w:fill="F4F7FA"/>
          </w:tcPr>
          <w:p>
            <w:r/>
            <w:r>
              <w:rPr>
                <w:rFonts w:ascii="Aptos" w:hAnsi="Aptos"/>
                <w:b w:val="0"/>
                <w:sz w:val="16"/>
              </w:rPr>
              <w:t>Portfolio</w:t>
            </w:r>
          </w:p>
        </w:tc>
        <w:tc>
          <w:tcPr>
            <w:tcW w:type="dxa" w:w="7200"/>
            <w:vAlign w:val="center"/>
            <w:tcMar>
              <w:top w:w="80" w:type="dxa"/>
              <w:start w:w="90" w:type="dxa"/>
              <w:bottom w:w="80" w:type="dxa"/>
              <w:end w:w="90" w:type="dxa"/>
            </w:tcMar>
            <w:shd w:fill="F4F7FA"/>
          </w:tcPr>
          <w:p>
            <w:r/>
            <w:r>
              <w:rPr>
                <w:rFonts w:ascii="Aptos" w:hAnsi="Aptos"/>
                <w:b w:val="0"/>
                <w:sz w:val="16"/>
              </w:rPr>
              <w:t>/sales, /pnl, /reports</w:t>
            </w:r>
          </w:p>
        </w:tc>
      </w:tr>
      <w:tr>
        <w:trPr>
          <w:cantSplit w:val="true"/>
        </w:trPr>
        <w:tc>
          <w:tcPr>
            <w:tcW w:type="dxa" w:w="2592"/>
            <w:vAlign w:val="center"/>
            <w:tcMar>
              <w:top w:w="80" w:type="dxa"/>
              <w:start w:w="90" w:type="dxa"/>
              <w:bottom w:w="80" w:type="dxa"/>
              <w:end w:w="90" w:type="dxa"/>
            </w:tcMar>
          </w:tcPr>
          <w:p>
            <w:r/>
            <w:r>
              <w:rPr>
                <w:rFonts w:ascii="Aptos" w:hAnsi="Aptos"/>
                <w:b w:val="0"/>
                <w:sz w:val="16"/>
              </w:rPr>
              <w:t>Admin</w:t>
            </w:r>
          </w:p>
        </w:tc>
        <w:tc>
          <w:tcPr>
            <w:tcW w:type="dxa" w:w="7200"/>
            <w:vAlign w:val="center"/>
            <w:tcMar>
              <w:top w:w="80" w:type="dxa"/>
              <w:start w:w="90" w:type="dxa"/>
              <w:bottom w:w="80" w:type="dxa"/>
              <w:end w:w="90" w:type="dxa"/>
            </w:tcMar>
          </w:tcPr>
          <w:p>
            <w:r/>
            <w:r>
              <w:rPr>
                <w:rFonts w:ascii="Aptos" w:hAnsi="Aptos"/>
                <w:b w:val="0"/>
                <w:sz w:val="16"/>
              </w:rPr>
              <w:t>/platform/providers, /platform/ipo-overrides, /platform/policies, /platform/ai-content</w:t>
            </w:r>
          </w:p>
        </w:tc>
      </w:tr>
    </w:tbl>
    <w:p>
      <w:pPr>
        <w:pStyle w:val="Heading1"/>
      </w:pPr>
      <w:r>
        <w:t>8. Provider / Adapter Architecture</w:t>
      </w:r>
    </w:p>
    <w:p>
      <w:pPr>
        <w:pStyle w:val="CodeBlock"/>
      </w:pPr>
      <w:r>
        <w:t>IPOProvider</w:t>
        <w:br/>
        <w:t xml:space="preserve">  - ManualIPOProvider (beta)</w:t>
        <w:br/>
        <w:t xml:space="preserve">  - TestFixtureIPOProvider</w:t>
        <w:br/>
        <w:t xml:space="preserve">  - Future permitted/licensed exchange/data provider</w:t>
        <w:br/>
        <w:br/>
        <w:t>GMPProvider</w:t>
        <w:br/>
        <w:t xml:space="preserve">  - ManualGMPProvider (beta)</w:t>
        <w:br/>
        <w:t xml:space="preserve">  - Future licensed/permitted GMP provider(s)</w:t>
        <w:br/>
        <w:br/>
        <w:t>ExportAdapter</w:t>
        <w:br/>
        <w:t xml:space="preserve">  - Generic CSV</w:t>
        <w:br/>
        <w:t xml:space="preserve">  - Account/broker template adapter</w:t>
        <w:br/>
        <w:t xml:space="preserve">  - Future broker-specific adapters</w:t>
      </w:r>
    </w:p>
    <w:p>
      <w:r>
        <w:t>Production must not depend directly on undocumented website endpoints. Adapters normalize all external data into canonical models and retain source provenance/freshness.</w:t>
      </w:r>
    </w:p>
    <w:p>
      <w:pPr>
        <w:pStyle w:val="Heading1"/>
      </w:pPr>
      <w:r>
        <w:t>9. AI Pipeline</w:t>
      </w:r>
    </w:p>
    <w:p>
      <w:r>
        <w:t>1.  On new/updated IPO document, queue extraction/summarization job.</w:t>
      </w:r>
    </w:p>
    <w:p>
      <w:r>
        <w:t>2.  Extract deterministic fields with parser/rules where possible; AI produces company/business/financial/risk summaries.</w:t>
      </w:r>
    </w:p>
    <w:p>
      <w:r>
        <w:t>3.  Store generated content and prompt/model metadata once; serve cached results to all users.</w:t>
      </w:r>
    </w:p>
    <w:p>
      <w:r>
        <w:t>4.  Allow Data Editor/Founder Admin to edit published summary while retaining original draft/history.</w:t>
      </w:r>
    </w:p>
    <w:p>
      <w:pPr>
        <w:pStyle w:val="Heading1"/>
      </w:pPr>
      <w:r>
        <w:t>10. Authentication</w:t>
      </w:r>
    </w:p>
    <w:p>
      <w:pPr>
        <w:pStyle w:val="ListBullet"/>
      </w:pPr>
      <w:r>
        <w:t>Beta end users: email OTP/magic link and/or Google sign-in; avoid paid SMS OTP during early testing.</w:t>
      </w:r>
    </w:p>
    <w:p>
      <w:pPr>
        <w:pStyle w:val="ListBullet"/>
      </w:pPr>
      <w:r>
        <w:t>Founder/admin: strong password or SSO plus authenticator-app TOTP MFA.</w:t>
      </w:r>
    </w:p>
    <w:p>
      <w:pPr>
        <w:pStyle w:val="ListBullet"/>
      </w:pPr>
      <w:r>
        <w:t>Mobile OTP may be added for public launch through an approved provider after India production requirements are confirmed.</w:t>
      </w:r>
    </w:p>
    <w:p>
      <w:pPr>
        <w:pStyle w:val="Heading1"/>
      </w:pPr>
      <w:r>
        <w:t>11. Backups and Operations</w:t>
      </w:r>
    </w:p>
    <w:p>
      <w:pPr>
        <w:pStyle w:val="ListBullet"/>
      </w:pPr>
      <w:r>
        <w:t>Nightly pg_dump -&gt; compressed/encrypted -&gt; private S3. Keep 7 daily, 4 weekly, 3 monthly during beta.</w:t>
      </w:r>
    </w:p>
    <w:p>
      <w:pPr>
        <w:pStyle w:val="ListBullet"/>
      </w:pPr>
      <w:r>
        <w:t>Test restore periodically; a backup not tested is not considered valid.</w:t>
      </w:r>
    </w:p>
    <w:p>
      <w:pPr>
        <w:pStyle w:val="ListBullet"/>
      </w:pPr>
      <w:r>
        <w:t>S3 exports use short-lived signed URLs; no public buckets.</w:t>
      </w:r>
    </w:p>
    <w:p>
      <w:pPr>
        <w:pStyle w:val="ListBullet"/>
      </w:pPr>
      <w:r>
        <w:t>AWS Budgets alerts should be configured early to protect student credits.</w:t>
      </w:r>
    </w:p>
    <w:p>
      <w:pPr>
        <w:pStyle w:val="Heading1"/>
      </w:pPr>
      <w:r>
        <w:t>12. Testing Strategy</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2304"/>
            <w:vAlign w:val="center"/>
            <w:shd w:fill="17365D"/>
            <w:tcMar>
              <w:top w:w="80" w:type="dxa"/>
              <w:start w:w="90" w:type="dxa"/>
              <w:bottom w:w="80" w:type="dxa"/>
              <w:end w:w="90" w:type="dxa"/>
            </w:tcMar>
          </w:tcPr>
          <w:p>
            <w:r/>
            <w:r>
              <w:rPr>
                <w:rFonts w:ascii="Aptos" w:hAnsi="Aptos"/>
                <w:b/>
                <w:color w:val="FFFFFF"/>
                <w:sz w:val="17"/>
              </w:rPr>
              <w:t>Layer</w:t>
            </w:r>
          </w:p>
        </w:tc>
        <w:tc>
          <w:tcPr>
            <w:tcW w:type="dxa" w:w="7488"/>
            <w:vAlign w:val="center"/>
            <w:shd w:fill="17365D"/>
            <w:tcMar>
              <w:top w:w="80" w:type="dxa"/>
              <w:start w:w="90" w:type="dxa"/>
              <w:bottom w:w="80" w:type="dxa"/>
              <w:end w:w="90" w:type="dxa"/>
            </w:tcMar>
          </w:tcPr>
          <w:p>
            <w:r/>
            <w:r>
              <w:rPr>
                <w:rFonts w:ascii="Aptos" w:hAnsi="Aptos"/>
                <w:b/>
                <w:color w:val="FFFFFF"/>
                <w:sz w:val="17"/>
              </w:rPr>
              <w:t>Tests</w:t>
            </w:r>
          </w:p>
        </w:tc>
      </w:tr>
      <w:tr>
        <w:trPr>
          <w:cantSplit w:val="true"/>
        </w:trPr>
        <w:tc>
          <w:tcPr>
            <w:tcW w:type="dxa" w:w="2304"/>
            <w:vAlign w:val="center"/>
            <w:tcMar>
              <w:top w:w="80" w:type="dxa"/>
              <w:start w:w="90" w:type="dxa"/>
              <w:bottom w:w="80" w:type="dxa"/>
              <w:end w:w="90" w:type="dxa"/>
            </w:tcMar>
          </w:tcPr>
          <w:p>
            <w:r/>
            <w:r>
              <w:rPr>
                <w:rFonts w:ascii="Aptos" w:hAnsi="Aptos"/>
                <w:b w:val="0"/>
                <w:sz w:val="17"/>
              </w:rPr>
              <w:t>Domain planner</w:t>
            </w:r>
          </w:p>
        </w:tc>
        <w:tc>
          <w:tcPr>
            <w:tcW w:type="dxa" w:w="7488"/>
            <w:vAlign w:val="center"/>
            <w:tcMar>
              <w:top w:w="80" w:type="dxa"/>
              <w:start w:w="90" w:type="dxa"/>
              <w:bottom w:w="80" w:type="dxa"/>
              <w:end w:w="90" w:type="dxa"/>
            </w:tcMar>
          </w:tcPr>
          <w:p>
            <w:r/>
            <w:r>
              <w:rPr>
                <w:rFonts w:ascii="Aptos" w:hAnsi="Aptos"/>
                <w:b w:val="0"/>
                <w:sz w:val="17"/>
              </w:rPr>
              <w:t>120 matrix scenarios + 15-25 founder golden historical cases.</w:t>
            </w:r>
          </w:p>
        </w:tc>
      </w:tr>
      <w:tr>
        <w:trPr>
          <w:cantSplit w:val="true"/>
        </w:trPr>
        <w:tc>
          <w:tcPr>
            <w:tcW w:type="dxa" w:w="2304"/>
            <w:vAlign w:val="center"/>
            <w:tcMar>
              <w:top w:w="80" w:type="dxa"/>
              <w:start w:w="90" w:type="dxa"/>
              <w:bottom w:w="80" w:type="dxa"/>
              <w:end w:w="90" w:type="dxa"/>
            </w:tcMar>
            <w:shd w:fill="F4F7FA"/>
          </w:tcPr>
          <w:p>
            <w:r/>
            <w:r>
              <w:rPr>
                <w:rFonts w:ascii="Aptos" w:hAnsi="Aptos"/>
                <w:b w:val="0"/>
                <w:sz w:val="17"/>
              </w:rPr>
              <w:t>Model/service</w:t>
            </w:r>
          </w:p>
        </w:tc>
        <w:tc>
          <w:tcPr>
            <w:tcW w:type="dxa" w:w="7488"/>
            <w:vAlign w:val="center"/>
            <w:tcMar>
              <w:top w:w="80" w:type="dxa"/>
              <w:start w:w="90" w:type="dxa"/>
              <w:bottom w:w="80" w:type="dxa"/>
              <w:end w:w="90" w:type="dxa"/>
            </w:tcMar>
            <w:shd w:fill="F4F7FA"/>
          </w:tcPr>
          <w:p>
            <w:r/>
            <w:r>
              <w:rPr>
                <w:rFonts w:ascii="Aptos" w:hAnsi="Aptos"/>
                <w:b w:val="0"/>
                <w:sz w:val="17"/>
              </w:rPr>
              <w:t>Balance changes, recurring debit generation, allotment debit/unblock, provider normalization.</w:t>
            </w:r>
          </w:p>
        </w:tc>
      </w:tr>
      <w:tr>
        <w:trPr>
          <w:cantSplit w:val="true"/>
        </w:trPr>
        <w:tc>
          <w:tcPr>
            <w:tcW w:type="dxa" w:w="2304"/>
            <w:vAlign w:val="center"/>
            <w:tcMar>
              <w:top w:w="80" w:type="dxa"/>
              <w:start w:w="90" w:type="dxa"/>
              <w:bottom w:w="80" w:type="dxa"/>
              <w:end w:w="90" w:type="dxa"/>
            </w:tcMar>
          </w:tcPr>
          <w:p>
            <w:r/>
            <w:r>
              <w:rPr>
                <w:rFonts w:ascii="Aptos" w:hAnsi="Aptos"/>
                <w:b w:val="0"/>
                <w:sz w:val="17"/>
              </w:rPr>
              <w:t>API</w:t>
            </w:r>
          </w:p>
        </w:tc>
        <w:tc>
          <w:tcPr>
            <w:tcW w:type="dxa" w:w="7488"/>
            <w:vAlign w:val="center"/>
            <w:tcMar>
              <w:top w:w="80" w:type="dxa"/>
              <w:start w:w="90" w:type="dxa"/>
              <w:bottom w:w="80" w:type="dxa"/>
              <w:end w:w="90" w:type="dxa"/>
            </w:tcMar>
          </w:tcPr>
          <w:p>
            <w:r/>
            <w:r>
              <w:rPr>
                <w:rFonts w:ascii="Aptos" w:hAnsi="Aptos"/>
                <w:b w:val="0"/>
                <w:sz w:val="17"/>
              </w:rPr>
              <w:t>Tenant isolation, permissions, validation, idempotency, concurrency.</w:t>
            </w:r>
          </w:p>
        </w:tc>
      </w:tr>
      <w:tr>
        <w:trPr>
          <w:cantSplit w:val="true"/>
        </w:trPr>
        <w:tc>
          <w:tcPr>
            <w:tcW w:type="dxa" w:w="2304"/>
            <w:vAlign w:val="center"/>
            <w:tcMar>
              <w:top w:w="80" w:type="dxa"/>
              <w:start w:w="90" w:type="dxa"/>
              <w:bottom w:w="80" w:type="dxa"/>
              <w:end w:w="90" w:type="dxa"/>
            </w:tcMar>
            <w:shd w:fill="F4F7FA"/>
          </w:tcPr>
          <w:p>
            <w:r/>
            <w:r>
              <w:rPr>
                <w:rFonts w:ascii="Aptos" w:hAnsi="Aptos"/>
                <w:b w:val="0"/>
                <w:sz w:val="17"/>
              </w:rPr>
              <w:t>Frontend</w:t>
            </w:r>
          </w:p>
        </w:tc>
        <w:tc>
          <w:tcPr>
            <w:tcW w:type="dxa" w:w="7488"/>
            <w:vAlign w:val="center"/>
            <w:tcMar>
              <w:top w:w="80" w:type="dxa"/>
              <w:start w:w="90" w:type="dxa"/>
              <w:bottom w:w="80" w:type="dxa"/>
              <w:end w:w="90" w:type="dxa"/>
            </w:tcMar>
            <w:shd w:fill="F4F7FA"/>
          </w:tcPr>
          <w:p>
            <w:r/>
            <w:r>
              <w:rPr>
                <w:rFonts w:ascii="Aptos" w:hAnsi="Aptos"/>
                <w:b w:val="0"/>
                <w:sz w:val="17"/>
              </w:rPr>
              <w:t>Critical flows: onboarding, plan generation/edit, balance change, export, allotment.</w:t>
            </w:r>
          </w:p>
        </w:tc>
      </w:tr>
      <w:tr>
        <w:trPr>
          <w:cantSplit w:val="true"/>
        </w:trPr>
        <w:tc>
          <w:tcPr>
            <w:tcW w:type="dxa" w:w="2304"/>
            <w:vAlign w:val="center"/>
            <w:tcMar>
              <w:top w:w="80" w:type="dxa"/>
              <w:start w:w="90" w:type="dxa"/>
              <w:bottom w:w="80" w:type="dxa"/>
              <w:end w:w="90" w:type="dxa"/>
            </w:tcMar>
          </w:tcPr>
          <w:p>
            <w:r/>
            <w:r>
              <w:rPr>
                <w:rFonts w:ascii="Aptos" w:hAnsi="Aptos"/>
                <w:b w:val="0"/>
                <w:sz w:val="17"/>
              </w:rPr>
              <w:t>End-to-end</w:t>
            </w:r>
          </w:p>
        </w:tc>
        <w:tc>
          <w:tcPr>
            <w:tcW w:type="dxa" w:w="7488"/>
            <w:vAlign w:val="center"/>
            <w:tcMar>
              <w:top w:w="80" w:type="dxa"/>
              <w:start w:w="90" w:type="dxa"/>
              <w:bottom w:w="80" w:type="dxa"/>
              <w:end w:w="90" w:type="dxa"/>
            </w:tcMar>
          </w:tcPr>
          <w:p>
            <w:r/>
            <w:r>
              <w:rPr>
                <w:rFonts w:ascii="Aptos" w:hAnsi="Aptos"/>
                <w:b w:val="0"/>
                <w:sz w:val="17"/>
              </w:rPr>
              <w:t>17-PAN realistic plan through export and allotment/P&amp;L.</w:t>
            </w:r>
          </w:p>
        </w:tc>
      </w:tr>
    </w:tbl>
    <w:p>
      <w:pPr>
        <w:pStyle w:val="Heading1"/>
      </w:pPr>
      <w:r>
        <w:t>13. Deployment Sequence</w:t>
      </w:r>
    </w:p>
    <w:p>
      <w:r>
        <w:t>1.  Local Docker Compose for PostgreSQL/Redis and deterministic fixture data.</w:t>
      </w:r>
    </w:p>
    <w:p>
      <w:r>
        <w:t>2.  CI runs lint/type/unit/planner tests and builds frontend/backend artifacts.</w:t>
      </w:r>
    </w:p>
    <w:p>
      <w:r>
        <w:t>3.  Beta EC2 deploy with Nginx, Django, Celery, Redis and PostgreSQL; S3 backups.</w:t>
      </w:r>
    </w:p>
    <w:p>
      <w:r>
        <w:t>4.  Invite-only testing and metrics.</w:t>
      </w:r>
    </w:p>
    <w:p>
      <w:r>
        <w:t>5.  If response justifies spend: buy final domain, separate database to RDS, then scale app/worker independently.</w:t>
      </w:r>
    </w:p>
    <w:p>
      <w:pPr>
        <w:pStyle w:val="Heading1"/>
      </w:pPr>
      <w:r>
        <w:t>14. Technical Decisions to Avoid</w:t>
      </w:r>
    </w:p>
    <w:p>
      <w:pPr>
        <w:pStyle w:val="ListBullet"/>
      </w:pPr>
      <w:r>
        <w:t>Do not embed planner rules in Django views or React components.</w:t>
      </w:r>
    </w:p>
    <w:p>
      <w:pPr>
        <w:pStyle w:val="ListBullet"/>
      </w:pPr>
      <w:r>
        <w:t>Do not maintain balance by hidden arithmetic without a BalanceChange history.</w:t>
      </w:r>
    </w:p>
    <w:p>
      <w:pPr>
        <w:pStyle w:val="ListBullet"/>
      </w:pPr>
      <w:r>
        <w:t>Do not let AI choose numeric wallet mappings.</w:t>
      </w:r>
    </w:p>
    <w:p>
      <w:pPr>
        <w:pStyle w:val="ListBullet"/>
      </w:pPr>
      <w:r>
        <w:t>Do not hard-code the founder’s 20% GMP rule for all customers.</w:t>
      </w:r>
    </w:p>
    <w:p>
      <w:pPr>
        <w:pStyle w:val="ListBullet"/>
      </w:pPr>
      <w:r>
        <w:t>Do not add production-grade distributed infrastructure before beta metrics justify it.</w:t>
      </w:r>
    </w:p>
    <w:p>
      <w:pPr>
        <w:pStyle w:val="ListBullet"/>
      </w:pPr>
      <w:r>
        <w:t>Do not scrape or redistribute external market data without confirming permitted use.</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LotNeeti • Technical Architecture • v2.1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F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