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ptos Display" w:hAnsi="Aptos Display"/>
          <w:b/>
          <w:color w:val="17365D"/>
          <w:sz w:val="58"/>
        </w:rPr>
        <w:t>LotNeeti Security, Access &amp; Admin Specification</w:t>
      </w:r>
    </w:p>
    <w:p>
      <w:pPr>
        <w:jc w:val="center"/>
      </w:pPr>
      <w:r>
        <w:rPr>
          <w:color w:val="2F5597"/>
          <w:sz w:val="26"/>
        </w:rPr>
        <w:t>Security model for a solo-founder beta that can grow into public multi-tenant use</w:t>
      </w:r>
    </w:p>
    <w:p>
      <w:pPr>
        <w:jc w:val="center"/>
      </w:pPr>
      <w:r>
        <w:rPr>
          <w:color w:val="696969"/>
          <w:sz w:val="19"/>
        </w:rPr>
        <w:t>Version 2.1 • Approved Planner baseline • September 2026</w:t>
      </w:r>
    </w:p>
    <w:p>
      <w:r>
        <w:br w:type="page"/>
      </w:r>
    </w:p>
    <w:p>
      <w:pPr>
        <w:pStyle w:val="Heading1"/>
      </w:pPr>
      <w:r>
        <w:t>1. Security Objectives</w:t>
      </w:r>
    </w:p>
    <w:p>
      <w:pPr>
        <w:pStyle w:val="ListBullet"/>
      </w:pPr>
      <w:r>
        <w:t>Protect PAN, demat, bank and UPI data while keeping the product easy for non-technical users.</w:t>
      </w:r>
    </w:p>
    <w:p>
      <w:pPr>
        <w:pStyle w:val="ListBullet"/>
      </w:pPr>
      <w:r>
        <w:t>Ensure one workspace cannot read or change another workspace’s private data.</w:t>
      </w:r>
    </w:p>
    <w:p>
      <w:pPr>
        <w:pStyle w:val="ListBullet"/>
      </w:pPr>
      <w:r>
        <w:t>Keep platform administration powerful for the founder but auditable and separable into roles later.</w:t>
      </w:r>
    </w:p>
    <w:p>
      <w:pPr>
        <w:pStyle w:val="ListBullet"/>
      </w:pPr>
      <w:r>
        <w:t>Prevent planner/admin automation from silently changing user-locked choices or critical source data.</w:t>
      </w:r>
    </w:p>
    <w:p>
      <w:pPr>
        <w:pStyle w:val="ListBullet"/>
      </w:pPr>
      <w:r>
        <w:t>Minimize stored secrets; the product never stores broker/bank passwords, UPI PINs, TPINs or OTPs.</w:t>
      </w:r>
    </w:p>
    <w:p>
      <w:pPr>
        <w:pStyle w:val="Heading1"/>
      </w:pPr>
      <w:r>
        <w:t>2. Role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9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9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permissions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Workspace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Owner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All own workspace data/settings/exports, member management, deletion/export request.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Workspace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Operator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Manage investors, banks, plans, tracking and exports; no ownership/security/billing settings.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Workspace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Read-only dashboards/reports; sensitive fields masked unless separately permitted.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Platform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Founder Admin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Everything needed to operate beta; full platform control. Use MFA and audit all privileged actions.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Platform future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Data Editor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IPO/GMP/public content and AI corrections; no private workspace financial data.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Platform future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Planner Admin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Global planner defaults/bank policies/feature flags; reason and audit required.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Platform future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Support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Search metadata and redacted diagnostics; private values masked by default.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Platform future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Security Admin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Lockout/MFA reset/incident tools; no business-data edits.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Emergency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Break-glass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Short-lived emergency elevation, MFA, reason and alerting.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Beta simplification: </w:t>
            </w:r>
            <w:r>
              <w:rPr>
                <w:sz w:val="19"/>
              </w:rPr>
              <w:t>One founder login may hold Founder Admin plus Workspace Owner. Do not duplicate accounts for each future role. Permissions remain modeled separately so staff access can be split later.</w:t>
            </w:r>
          </w:p>
        </w:tc>
      </w:tr>
    </w:tbl>
    <w:p>
      <w:pPr>
        <w:pStyle w:val="Heading1"/>
      </w:pPr>
      <w:r>
        <w:t>3.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0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74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Beta authentication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End user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Email OTP/magic link and/or Google sign-in. Persistent trusted sessions to avoid repeated authentication.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Founder Admin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Strong password/SSO + authenticator-app TOTP MFA. SMS alone is not sufficient for platform admin.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Future public mobile OTP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Add after production sender/provider requirements and abuse controls are ready.</w:t>
            </w:r>
          </w:p>
        </w:tc>
      </w:tr>
    </w:tbl>
    <w:p>
      <w:pPr>
        <w:pStyle w:val="Heading1"/>
      </w:pPr>
      <w:r>
        <w:t>4. Authorization and Tenant Isolation</w:t>
      </w:r>
    </w:p>
    <w:p>
      <w:pPr>
        <w:pStyle w:val="ListBullet"/>
      </w:pPr>
      <w:r>
        <w:t>Every private object carries workspace ownership directly or through a parent relation.</w:t>
      </w:r>
    </w:p>
    <w:p>
      <w:pPr>
        <w:pStyle w:val="ListBullet"/>
      </w:pPr>
      <w:r>
        <w:t>API querysets must always scope by current workspace before object lookup; do not rely only on UI hiding.</w:t>
      </w:r>
    </w:p>
    <w:p>
      <w:pPr>
        <w:pStyle w:val="ListBullet"/>
      </w:pPr>
      <w:r>
        <w:t>Object-level mutations require explicit permission checks for workspace role and object ownership.</w:t>
      </w:r>
    </w:p>
    <w:p>
      <w:pPr>
        <w:pStyle w:val="ListBullet"/>
      </w:pPr>
      <w:r>
        <w:t>Platform admin endpoints live under a separate permission namespace and are not implied by Workspace Owner.</w:t>
      </w:r>
    </w:p>
    <w:p>
      <w:pPr>
        <w:pStyle w:val="ListBullet"/>
      </w:pPr>
      <w:r>
        <w:t>Use automated tests that attempt cross-workspace read/update/delete for every sensitive endpoint family.</w:t>
      </w:r>
    </w:p>
    <w:p>
      <w:pPr>
        <w:pStyle w:val="Heading1"/>
      </w:pPr>
      <w:r>
        <w:t>5. Sensitive Data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73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PAN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Application-level encryption; normalized hash for duplicate/exact lookup; UI masked except when explicitly revealed by authorized user.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Bank account number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Encrypted; show last 4 digits by default.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UPI ID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Treat as sensitive contact/payment identifier; mask where appropriate in shared/viewer contexts.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Demat identifiers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Encrypt or restrict based on sensitivity; never expose another workspace’s values.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Exports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Private S3 object; short-lived signed download; authorization rechecked before generation/download.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Backups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Encrypted storage, private bucket, restricted IAM, retention policy and restore testing.</w:t>
            </w:r>
          </w:p>
        </w:tc>
      </w:tr>
    </w:tbl>
    <w:p>
      <w:pPr>
        <w:pStyle w:val="Heading1"/>
      </w:pPr>
      <w:r>
        <w:t>6. Admin Site Design</w:t>
      </w:r>
    </w:p>
    <w:p>
      <w:r>
        <w:t>Use a dedicated staff/admin surface. Django Admin may be used internally for basic master data, but high-risk workflows should use custom admin pages with validation, reason capture and audit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Admin area</w:t>
            </w:r>
          </w:p>
        </w:tc>
        <w:tc>
          <w:tcPr>
            <w:tcW w:type="dxa" w:w="73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Capabilities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IPO data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Review source values, manual overrides, freshness and publication state.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GMP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Provider health, enable/disable, observation corrections, temporary manual override with expiry/reason.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AI content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View original draft/source metadata, edit published summary, retain version history.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Planner policies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Edit effective-dated defaults and bank overrides; preview impact; require reason.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Users/workspaces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Suspend/reactivate, metadata lookup, data export/delete workflow; sensitive reveal controlled.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MFA reset flow, forced logout, incident notes, rate-limit/abuse controls.</w:t>
            </w:r>
          </w:p>
        </w:tc>
      </w:tr>
    </w:tbl>
    <w:p>
      <w:pPr>
        <w:pStyle w:val="Heading1"/>
      </w:pPr>
      <w:r>
        <w:t>7. Planner and Cross-Funding Controls</w:t>
      </w:r>
    </w:p>
    <w:p>
      <w:pPr>
        <w:pStyle w:val="ListBullet"/>
      </w:pPr>
      <w:r>
        <w:t>Cross-funding is configurable rather than globally forbidden: platform default, bank override, workspace preference, plan override and explicit locked row.</w:t>
      </w:r>
    </w:p>
    <w:p>
      <w:pPr>
        <w:pStyle w:val="ListBullet"/>
      </w:pPr>
      <w:r>
        <w:t>Same-name mapping is a strong preference, not a hidden hard block.</w:t>
      </w:r>
    </w:p>
    <w:p>
      <w:pPr>
        <w:pStyle w:val="ListBullet"/>
      </w:pPr>
      <w:r>
        <w:t>Cross-funded rows display a clear warning and explanation.</w:t>
      </w:r>
    </w:p>
    <w:p>
      <w:pPr>
        <w:pStyle w:val="ListBullet"/>
      </w:pPr>
      <w:r>
        <w:t>Bank-owner protection is calculated by the planner; manual locked rows are preserved but may receive blocking warnings.</w:t>
      </w:r>
    </w:p>
    <w:p>
      <w:pPr>
        <w:pStyle w:val="ListBullet"/>
      </w:pPr>
      <w:r>
        <w:t>A locked infeasible row stays visible; export/finalization is blocked until user resolves or explicitly changes it.</w:t>
      </w:r>
    </w:p>
    <w:p>
      <w:pPr>
        <w:pStyle w:val="Heading1"/>
      </w:pPr>
      <w:r>
        <w:t>8. Balance and Financial Integrity</w:t>
      </w:r>
    </w:p>
    <w:p>
      <w:pPr>
        <w:pStyle w:val="ListBullet"/>
      </w:pPr>
      <w:r>
        <w:t>User sees simple +, -, Set Balance actions. Every action writes a small immutable history record containing old/new or delta, actor and timestamp.</w:t>
      </w:r>
    </w:p>
    <w:p>
      <w:pPr>
        <w:pStyle w:val="ListBullet"/>
      </w:pPr>
      <w:r>
        <w:t>IPO blocks do not directly reduce Balance; they reduce Available.</w:t>
      </w:r>
    </w:p>
    <w:p>
      <w:pPr>
        <w:pStyle w:val="ListBullet"/>
      </w:pPr>
      <w:r>
        <w:t>Allotment recording is the single user event that deducts actual allotted cost and releases the application block.</w:t>
      </w:r>
    </w:p>
    <w:p>
      <w:pPr>
        <w:pStyle w:val="ListBullet"/>
      </w:pPr>
      <w:r>
        <w:t>Recurring debit execution is idempotent: the same due occurrence cannot be posted twice.</w:t>
      </w:r>
    </w:p>
    <w:p>
      <w:pPr>
        <w:pStyle w:val="ListBullet"/>
      </w:pPr>
      <w:r>
        <w:t>Plan finalization and application status transitions use database transactions to prevent double-spend state.</w:t>
      </w:r>
    </w:p>
    <w:p>
      <w:pPr>
        <w:pStyle w:val="Heading1"/>
      </w:pPr>
      <w:r>
        <w:t>9. Audit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5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Event class</w:t>
            </w:r>
          </w:p>
        </w:tc>
        <w:tc>
          <w:tcPr>
            <w:tcW w:type="dxa" w:w="720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Admin login, MFA reset, failed login threshold, session revoke.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Sensitive data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PAN/bank reveal, export generation/download, account import.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Planner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Plan run, locked-row change, policy override, finalization, export.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Financial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Balance + / - / Set, recurring debit execution, allotment debit/unblock, sale entry.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Admin content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IPO override, GMP override/source disable, AI summary edit, planner default change.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Access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Member invitation/role change, workspace suspension, user deletion/export request.</w:t>
            </w:r>
          </w:p>
        </w:tc>
      </w:tr>
    </w:tbl>
    <w:p>
      <w:pPr>
        <w:pStyle w:val="Heading1"/>
      </w:pPr>
      <w:r>
        <w:t>10. Web/API Security Baseline</w:t>
      </w:r>
    </w:p>
    <w:p>
      <w:pPr>
        <w:pStyle w:val="ListBullet"/>
      </w:pPr>
      <w:r>
        <w:t>HTTPS only; secure/HttpOnly/SameSite cookies or equivalent token storage pattern.</w:t>
      </w:r>
    </w:p>
    <w:p>
      <w:pPr>
        <w:pStyle w:val="ListBullet"/>
      </w:pPr>
      <w:r>
        <w:t>CSRF protection for cookie-authenticated mutations, strict CORS, security headers and input validation.</w:t>
      </w:r>
    </w:p>
    <w:p>
      <w:pPr>
        <w:pStyle w:val="ListBullet"/>
      </w:pPr>
      <w:r>
        <w:t>Rate limits on login/OTP, imports, exports, expensive planner runs and admin endpoints.</w:t>
      </w:r>
    </w:p>
    <w:p>
      <w:pPr>
        <w:pStyle w:val="ListBullet"/>
      </w:pPr>
      <w:r>
        <w:t>Malware/content-type validation for uploads; never execute uploaded spreadsheets/documents.</w:t>
      </w:r>
    </w:p>
    <w:p>
      <w:pPr>
        <w:pStyle w:val="ListBullet"/>
      </w:pPr>
      <w:r>
        <w:t>Parameterized ORM queries; no raw SQL from user input.</w:t>
      </w:r>
    </w:p>
    <w:p>
      <w:pPr>
        <w:pStyle w:val="ListBullet"/>
      </w:pPr>
      <w:r>
        <w:t>Secrets in AWS environment/secret storage, never in Git repository or frontend bundles.</w:t>
      </w:r>
    </w:p>
    <w:p>
      <w:pPr>
        <w:pStyle w:val="Heading1"/>
      </w:pPr>
      <w:r>
        <w:t>11. Privacy and User Controls</w:t>
      </w:r>
    </w:p>
    <w:p>
      <w:pPr>
        <w:pStyle w:val="ListBullet"/>
      </w:pPr>
      <w:r>
        <w:t>Explain why PAN/demat/bank data is required at collection time.</w:t>
      </w:r>
    </w:p>
    <w:p>
      <w:pPr>
        <w:pStyle w:val="ListBullet"/>
      </w:pPr>
      <w:r>
        <w:t>Allow workspace data export and deletion request workflows before public launch.</w:t>
      </w:r>
    </w:p>
    <w:p>
      <w:pPr>
        <w:pStyle w:val="ListBullet"/>
      </w:pPr>
      <w:r>
        <w:t>Collect only fields needed for planning/tracking; do not ask for bank credentials.</w:t>
      </w:r>
    </w:p>
    <w:p>
      <w:pPr>
        <w:pStyle w:val="ListBullet"/>
      </w:pPr>
      <w:r>
        <w:t>Use masked defaults and explicit reveal actions for sensitive values.</w:t>
      </w:r>
    </w:p>
    <w:p>
      <w:pPr>
        <w:pStyle w:val="ListBullet"/>
      </w:pPr>
      <w:r>
        <w:t>Publish privacy policy and terms before public beta beyond invited testers.</w:t>
      </w:r>
    </w:p>
    <w:p>
      <w:pPr>
        <w:pStyle w:val="Heading1"/>
      </w:pPr>
      <w:r>
        <w:t>12. Incident and Recovery</w:t>
      </w:r>
    </w:p>
    <w:p>
      <w:r>
        <w:t>1.  Detect unusual access/provider/admin activity through logs and alerts.</w:t>
      </w:r>
    </w:p>
    <w:p>
      <w:r>
        <w:t>2.  Contain by disabling account/provider, rotating credentials or revoking sessions.</w:t>
      </w:r>
    </w:p>
    <w:p>
      <w:r>
        <w:t>3.  Preserve audit evidence and determine affected workspaces/data.</w:t>
      </w:r>
    </w:p>
    <w:p>
      <w:r>
        <w:t>4.  Recover from verified backups and test critical planner/balance invariants.</w:t>
      </w:r>
    </w:p>
    <w:p>
      <w:r>
        <w:t>5.  Communicate appropriately based on impact and legal obligations.</w:t>
      </w:r>
    </w:p>
    <w:p>
      <w:pPr>
        <w:pStyle w:val="Heading1"/>
      </w:pPr>
      <w:r>
        <w:t>13. Public Launch Security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32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46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Required before public launch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Admin MFA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Tenant isolation tests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Encrypted sensitive fields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Private tested backups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Data export/delete workflow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Privacy/Terms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Audit trail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Rate limiting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Permitted production data feeds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 w:val="true"/>
        </w:trPr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Support/incident email and procedure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LotNeeti • Security, Access &amp; Admin Specification • v2.1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F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