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pPr>
      <w:r>
        <w:rPr>
          <w:rFonts w:ascii="DejaVu Sans" w:hAnsi="DejaVu Sans" w:eastAsia="DejaVu Sans"/>
          <w:b/>
          <w:i w:val="0"/>
          <w:color w:val="167D78"/>
          <w:sz w:val="19"/>
        </w:rPr>
        <w:t>LOKTA BUILD CHALLENGE</w:t>
      </w:r>
    </w:p>
    <w:p>
      <w:pPr>
        <w:pStyle w:val="Title"/>
        <w:jc w:val="left"/>
      </w:pPr>
      <w:r>
        <w:t>Borrower Copilot</w:t>
      </w:r>
    </w:p>
    <w:p>
      <w:pPr>
        <w:pStyle w:val="Subtitle"/>
      </w:pPr>
      <w:r>
        <w:t>End-to-End Product, UX and Technical Architecture</w:t>
      </w:r>
    </w:p>
    <w:p>
      <w:pPr>
        <w:spacing w:before="0" w:after="360" w:line="288" w:lineRule="auto"/>
      </w:pPr>
      <w:r>
        <w:rPr>
          <w:rFonts w:ascii="DejaVu Sans" w:hAnsi="DejaVu Sans" w:eastAsia="DejaVu Sans"/>
          <w:b w:val="0"/>
          <w:i w:val="0"/>
          <w:color w:val="17202A"/>
          <w:sz w:val="24"/>
        </w:rPr>
        <w:t>A frontend-only, explainable self-assessment that helps an Indian borrower decide whether to borrow, how much to carry safely, what rate is fair and which EMI to accept.</w:t>
      </w:r>
    </w:p>
    <w:tbl>
      <w:tblPr>
        <w:tblW w:type="dxa" w:w="9360"/>
        <w:jc w:val="left"/>
        <w:tblLayout w:type="fixed"/>
        <w:tblLook w:firstColumn="1" w:firstRow="1" w:lastColumn="0" w:lastRow="0" w:noHBand="0" w:noVBand="1" w:val="04A0"/>
        <w:tblInd w:w="120" w:type="dxa"/>
        <w:tblBorders>
          <w:top w:val="single" w:sz="2" w:space="0" w:color="E7F4F2"/>
          <w:left w:val="single" w:sz="2" w:space="0" w:color="E7F4F2"/>
          <w:bottom w:val="single" w:sz="2" w:space="0" w:color="E7F4F2"/>
          <w:right w:val="single" w:sz="2" w:space="0" w:color="E7F4F2"/>
          <w:insideH w:val="single" w:sz="2" w:space="0" w:color="E7F4F2"/>
          <w:insideV w:val="single" w:sz="2" w:space="0" w:color="E7F4F2"/>
        </w:tblBorders>
      </w:tblPr>
      <w:tblGrid>
        <w:gridCol w:w="9360"/>
      </w:tblGrid>
      <w:tr>
        <w:trPr>
          <w:cantSplit/>
        </w:trPr>
        <w:tc>
          <w:tcPr>
            <w:tcW w:type="dxa" w:w="9360"/>
            <w:vAlign w:val="center"/>
            <w:tcMar>
              <w:top w:w="100" w:type="dxa"/>
              <w:start w:w="120" w:type="dxa"/>
              <w:bottom w:w="100" w:type="dxa"/>
              <w:end w:w="120" w:type="dxa"/>
            </w:tcMar>
            <w:shd w:fill="E7F4F2"/>
          </w:tcPr>
          <w:p>
            <w:pPr>
              <w:spacing w:before="40" w:after="40" w:line="264" w:lineRule="auto"/>
            </w:pPr>
            <w:r>
              <w:rPr>
                <w:rFonts w:ascii="DejaVu Sans" w:hAnsi="DejaVu Sans" w:eastAsia="DejaVu Sans"/>
                <w:b/>
                <w:color w:val="167D78"/>
                <w:sz w:val="18"/>
              </w:rPr>
              <w:t xml:space="preserve">ARCHITECTURE THESIS  </w:t>
            </w:r>
            <w:r>
              <w:rPr>
                <w:rFonts w:ascii="DejaVu Sans" w:hAnsi="DejaVu Sans" w:eastAsia="DejaVu Sans"/>
                <w:color w:val="17202A"/>
                <w:sz w:val="20"/>
              </w:rPr>
              <w:t>Keep personal answers in memory, keep lending judgement in versioned configuration, keep calculations pure, and attach a human-readable reason to every output.</w:t>
            </w:r>
          </w:p>
        </w:tc>
      </w:tr>
    </w:tbl>
    <w:p>
      <w:pPr>
        <w:spacing w:after="1900"/>
      </w:pP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2200"/>
        <w:gridCol w:w="7160"/>
      </w:tblGrid>
      <w:tr>
        <w:trPr>
          <w:tblHeader w:val="true"/>
          <w:cantSplit/>
        </w:trPr>
        <w:tc>
          <w:tcPr>
            <w:tcW w:type="dxa" w:w="22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Document</w:t>
            </w:r>
          </w:p>
        </w:tc>
        <w:tc>
          <w:tcPr>
            <w:tcW w:type="dxa" w:w="716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Value</w:t>
            </w:r>
          </w:p>
        </w:tc>
      </w:tr>
      <w:tr>
        <w:trPr>
          <w:cantSplit/>
        </w:trPr>
        <w:tc>
          <w:tcPr>
            <w:tcW w:type="dxa" w:w="22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9"/>
              </w:rPr>
              <w:t>Prepared for</w:t>
            </w:r>
          </w:p>
        </w:tc>
        <w:tc>
          <w:tcPr>
            <w:tcW w:type="dxa" w:w="71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9"/>
              </w:rPr>
              <w:t>Lokta - Borrower Copilot Build Challenge</w:t>
            </w:r>
          </w:p>
        </w:tc>
      </w:tr>
      <w:tr>
        <w:trPr>
          <w:cantSplit/>
        </w:trPr>
        <w:tc>
          <w:tcPr>
            <w:tcW w:type="dxa" w:w="22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9"/>
              </w:rPr>
              <w:t>Prepared by</w:t>
            </w:r>
          </w:p>
        </w:tc>
        <w:tc>
          <w:tcPr>
            <w:tcW w:type="dxa" w:w="71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9"/>
              </w:rPr>
              <w:t>Chetan Sai Vatti</w:t>
            </w:r>
          </w:p>
        </w:tc>
      </w:tr>
      <w:tr>
        <w:trPr>
          <w:cantSplit/>
        </w:trPr>
        <w:tc>
          <w:tcPr>
            <w:tcW w:type="dxa" w:w="22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9"/>
              </w:rPr>
              <w:t>Version</w:t>
            </w:r>
          </w:p>
        </w:tc>
        <w:tc>
          <w:tcPr>
            <w:tcW w:type="dxa" w:w="71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9"/>
              </w:rPr>
              <w:t>1.0 | Architecture baseline</w:t>
            </w:r>
          </w:p>
        </w:tc>
      </w:tr>
      <w:tr>
        <w:trPr>
          <w:cantSplit/>
        </w:trPr>
        <w:tc>
          <w:tcPr>
            <w:tcW w:type="dxa" w:w="22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9"/>
              </w:rPr>
              <w:t>Target delivery</w:t>
            </w:r>
          </w:p>
        </w:tc>
        <w:tc>
          <w:tcPr>
            <w:tcW w:type="dxa" w:w="71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9"/>
              </w:rPr>
              <w:t>Responsive web application deployable on Vercel</w:t>
            </w:r>
          </w:p>
        </w:tc>
      </w:tr>
      <w:tr>
        <w:trPr>
          <w:cantSplit/>
        </w:trPr>
        <w:tc>
          <w:tcPr>
            <w:tcW w:type="dxa" w:w="22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9"/>
              </w:rPr>
              <w:t>Implementation window</w:t>
            </w:r>
          </w:p>
        </w:tc>
        <w:tc>
          <w:tcPr>
            <w:tcW w:type="dxa" w:w="71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9"/>
              </w:rPr>
              <w:t>4 calendar days | 12-16 expected hours</w:t>
            </w:r>
          </w:p>
        </w:tc>
      </w:tr>
    </w:tbl>
    <w:p>
      <w:pPr>
        <w:spacing w:before="200" w:after="0" w:line="264" w:lineRule="auto"/>
      </w:pPr>
      <w:r>
        <w:rPr>
          <w:rFonts w:ascii="DejaVu Sans" w:hAnsi="DejaVu Sans" w:eastAsia="DejaVu Sans"/>
          <w:b/>
          <w:i w:val="0"/>
          <w:color w:val="18794E"/>
          <w:sz w:val="19"/>
        </w:rPr>
        <w:t>Status: Ready for implementation</w:t>
      </w:r>
    </w:p>
    <w:p>
      <w:r>
        <w:br w:type="page"/>
      </w:r>
    </w:p>
    <w:p>
      <w:pPr>
        <w:pStyle w:val="Heading1"/>
        <w:keepNext/>
        <w:keepLines/>
      </w:pPr>
      <w:r>
        <w:t>Document map</w:t>
      </w:r>
    </w:p>
    <w:p>
      <w:pPr>
        <w:spacing w:before="0" w:after="120" w:line="264" w:lineRule="auto"/>
      </w:pPr>
      <w:r>
        <w:rPr>
          <w:rFonts w:ascii="DejaVu Sans" w:hAnsi="DejaVu Sans" w:eastAsia="DejaVu Sans"/>
          <w:b w:val="0"/>
          <w:i w:val="0"/>
          <w:color w:val="17202A"/>
          <w:sz w:val="22"/>
        </w:rPr>
        <w:t>This document is the implementation contract for the challenge. It is intentionally organized from borrower experience to code structure, then verification and delivery.</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500"/>
        <w:gridCol w:w="7860"/>
      </w:tblGrid>
      <w:tr>
        <w:trPr>
          <w:tblHeader w:val="true"/>
          <w:cantSplit/>
        </w:trPr>
        <w:tc>
          <w:tcPr>
            <w:tcW w:type="dxa" w:w="150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Part</w:t>
            </w:r>
          </w:p>
        </w:tc>
        <w:tc>
          <w:tcPr>
            <w:tcW w:type="dxa" w:w="786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Coverage</w:t>
            </w:r>
          </w:p>
        </w:tc>
      </w:tr>
      <w:tr>
        <w:trPr>
          <w:cantSplit/>
        </w:trPr>
        <w:tc>
          <w:tcPr>
            <w:tcW w:type="dxa" w:w="15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A. Product</w:t>
            </w:r>
          </w:p>
        </w:tc>
        <w:tc>
          <w:tcPr>
            <w:tcW w:type="dxa" w:w="78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Goals, non-goals, borrowers, required outputs and end-to-end journey</w:t>
            </w:r>
          </w:p>
        </w:tc>
      </w:tr>
      <w:tr>
        <w:trPr>
          <w:cantSplit/>
        </w:trPr>
        <w:tc>
          <w:tcPr>
            <w:tcW w:type="dxa" w:w="15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B. Experience</w:t>
            </w:r>
          </w:p>
        </w:tc>
        <w:tc>
          <w:tcPr>
            <w:tcW w:type="dxa" w:w="78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Adaptive questionnaire, confidence, results presentation and Negotiation Card</w:t>
            </w:r>
          </w:p>
        </w:tc>
      </w:tr>
      <w:tr>
        <w:trPr>
          <w:cantSplit/>
        </w:trPr>
        <w:tc>
          <w:tcPr>
            <w:tcW w:type="dxa" w:w="15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C. Architecture</w:t>
            </w:r>
          </w:p>
        </w:tc>
        <w:tc>
          <w:tcPr>
            <w:tcW w:type="dxa" w:w="78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Layer boundaries, domain model, rules, calculations and explainability</w:t>
            </w:r>
          </w:p>
        </w:tc>
      </w:tr>
      <w:tr>
        <w:trPr>
          <w:cantSplit/>
        </w:trPr>
        <w:tc>
          <w:tcPr>
            <w:tcW w:type="dxa" w:w="15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D. Quality</w:t>
            </w:r>
          </w:p>
        </w:tc>
        <w:tc>
          <w:tcPr>
            <w:tcW w:type="dxa" w:w="78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Privacy, accessibility, testing, observability and failure handling</w:t>
            </w:r>
          </w:p>
        </w:tc>
      </w:tr>
      <w:tr>
        <w:trPr>
          <w:cantSplit/>
        </w:trPr>
        <w:tc>
          <w:tcPr>
            <w:tcW w:type="dxa" w:w="15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E. Delivery</w:t>
            </w:r>
          </w:p>
        </w:tc>
        <w:tc>
          <w:tcPr>
            <w:tcW w:type="dxa" w:w="78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Repository structure, documentation, phased implementation and definition of done</w:t>
            </w:r>
          </w:p>
        </w:tc>
      </w:tr>
    </w:tbl>
    <w:p>
      <w:pPr>
        <w:pStyle w:val="Heading1"/>
        <w:keepNext/>
        <w:keepLines/>
      </w:pPr>
      <w:r>
        <w:t>1. Executive summary</w:t>
      </w:r>
    </w:p>
    <w:p>
      <w:pPr>
        <w:spacing w:before="0" w:after="120" w:line="264" w:lineRule="auto"/>
      </w:pPr>
      <w:r>
        <w:rPr>
          <w:rFonts w:ascii="DejaVu Sans" w:hAnsi="DejaVu Sans" w:eastAsia="DejaVu Sans"/>
          <w:b w:val="0"/>
          <w:i w:val="0"/>
          <w:color w:val="17202A"/>
          <w:sz w:val="22"/>
        </w:rPr>
        <w:t>Borrower Copilot is not a lender underwriting system and does not claim to approve credit. It converts borrower-provided information into a transparent self-assessment. The product must remain useful after only the essential questions, while optional answers narrow ranges and improve confidence.</w:t>
      </w:r>
    </w:p>
    <w:p>
      <w:pPr>
        <w:pStyle w:val="ListBullet"/>
        <w:spacing w:after="80" w:line="278" w:lineRule="auto"/>
        <w:ind w:left="720" w:hanging="360"/>
        <w:keepLines/>
      </w:pPr>
      <w:r>
        <w:rPr>
          <w:rFonts w:ascii="DejaVu Sans" w:hAnsi="DejaVu Sans" w:eastAsia="DejaVu Sans"/>
          <w:color w:val="17202A"/>
          <w:sz w:val="21"/>
        </w:rPr>
        <w:t>The primary decision is Borrow, Borrow less, or Do not borrow - each with a plain-language reason.</w:t>
      </w:r>
    </w:p>
    <w:p>
      <w:pPr>
        <w:pStyle w:val="ListBullet"/>
        <w:spacing w:after="80" w:line="278" w:lineRule="auto"/>
        <w:ind w:left="720" w:hanging="360"/>
        <w:keepLines/>
      </w:pPr>
      <w:r>
        <w:rPr>
          <w:rFonts w:ascii="DejaVu Sans" w:hAnsi="DejaVu Sans" w:eastAsia="DejaVu Sans"/>
          <w:color w:val="17202A"/>
          <w:sz w:val="21"/>
        </w:rPr>
        <w:t>Eligibility is deliberately split into likely lender sanction and borrower-safe carrying capacity.</w:t>
      </w:r>
    </w:p>
    <w:p>
      <w:pPr>
        <w:pStyle w:val="ListBullet"/>
        <w:spacing w:after="80" w:line="278" w:lineRule="auto"/>
        <w:ind w:left="720" w:hanging="360"/>
        <w:keepLines/>
      </w:pPr>
      <w:r>
        <w:rPr>
          <w:rFonts w:ascii="DejaVu Sans" w:hAnsi="DejaVu Sans" w:eastAsia="DejaVu Sans"/>
          <w:color w:val="17202A"/>
          <w:sz w:val="21"/>
        </w:rPr>
        <w:t>Pricing is a fair indicative band plus estimated all-in APR, never a falsely precise guaranteed rate.</w:t>
      </w:r>
    </w:p>
    <w:p>
      <w:pPr>
        <w:pStyle w:val="ListBullet"/>
        <w:spacing w:after="80" w:line="278" w:lineRule="auto"/>
        <w:ind w:left="720" w:hanging="360"/>
        <w:keepLines/>
      </w:pPr>
      <w:r>
        <w:rPr>
          <w:rFonts w:ascii="DejaVu Sans" w:hAnsi="DejaVu Sans" w:eastAsia="DejaVu Sans"/>
          <w:color w:val="17202A"/>
          <w:sz w:val="21"/>
        </w:rPr>
        <w:t>Repayment guidance includes a monthly ceiling, tenure trade-off and one relevant stress case.</w:t>
      </w:r>
    </w:p>
    <w:p>
      <w:pPr>
        <w:pStyle w:val="ListBullet"/>
        <w:spacing w:after="80" w:line="278" w:lineRule="auto"/>
        <w:ind w:left="720" w:hanging="360"/>
        <w:keepLines/>
      </w:pPr>
      <w:r>
        <w:rPr>
          <w:rFonts w:ascii="DejaVu Sans" w:hAnsi="DejaVu Sans" w:eastAsia="DejaVu Sans"/>
          <w:color w:val="17202A"/>
          <w:sz w:val="21"/>
        </w:rPr>
        <w:t>Every result carries rule traces so it can be defended and changed live during the follow-up interview.</w:t>
      </w:r>
    </w:p>
    <w:tbl>
      <w:tblPr>
        <w:tblW w:type="dxa" w:w="9360"/>
        <w:jc w:val="left"/>
        <w:tblLayout w:type="fixed"/>
        <w:tblLook w:firstColumn="1" w:firstRow="1" w:lastColumn="0" w:lastRow="0" w:noHBand="0" w:noVBand="1" w:val="04A0"/>
        <w:tblInd w:w="120" w:type="dxa"/>
        <w:tblBorders>
          <w:top w:val="single" w:sz="2" w:space="0" w:color="FBF4E3"/>
          <w:left w:val="single" w:sz="2" w:space="0" w:color="FBF4E3"/>
          <w:bottom w:val="single" w:sz="2" w:space="0" w:color="FBF4E3"/>
          <w:right w:val="single" w:sz="2" w:space="0" w:color="FBF4E3"/>
          <w:insideH w:val="single" w:sz="2" w:space="0" w:color="FBF4E3"/>
          <w:insideV w:val="single" w:sz="2" w:space="0" w:color="FBF4E3"/>
        </w:tblBorders>
      </w:tblPr>
      <w:tblGrid>
        <w:gridCol w:w="9360"/>
      </w:tblGrid>
      <w:tr>
        <w:trPr>
          <w:cantSplit/>
        </w:trPr>
        <w:tc>
          <w:tcPr>
            <w:tcW w:type="dxa" w:w="9360"/>
            <w:vAlign w:val="center"/>
            <w:tcMar>
              <w:top w:w="100" w:type="dxa"/>
              <w:start w:w="120" w:type="dxa"/>
              <w:bottom w:w="100" w:type="dxa"/>
              <w:end w:w="120" w:type="dxa"/>
            </w:tcMar>
            <w:shd w:fill="FBF4E3"/>
          </w:tcPr>
          <w:p>
            <w:pPr>
              <w:spacing w:before="40" w:after="40" w:line="264" w:lineRule="auto"/>
            </w:pPr>
            <w:r>
              <w:rPr>
                <w:rFonts w:ascii="DejaVu Sans" w:hAnsi="DejaVu Sans" w:eastAsia="DejaVu Sans"/>
                <w:b/>
                <w:color w:val="8A6500"/>
                <w:sz w:val="18"/>
              </w:rPr>
              <w:t xml:space="preserve">MOST IMPORTANT DESIGN DECISION  </w:t>
            </w:r>
            <w:r>
              <w:rPr>
                <w:rFonts w:ascii="DejaVu Sans" w:hAnsi="DejaVu Sans" w:eastAsia="DejaVu Sans"/>
                <w:color w:val="17202A"/>
                <w:sz w:val="20"/>
              </w:rPr>
              <w:t>Rules and thresholds live outside React components. Changing one rule must consistently change calculations, explanations, tests and the Negotiation Card.</w:t>
            </w:r>
          </w:p>
        </w:tc>
      </w:tr>
    </w:tbl>
    <w:p>
      <w:r>
        <w:br w:type="page"/>
      </w:r>
    </w:p>
    <w:p>
      <w:pPr>
        <w:pStyle w:val="Heading1"/>
        <w:keepNext/>
        <w:keepLines/>
      </w:pPr>
      <w:r>
        <w:t>2. Product definition</w:t>
      </w:r>
    </w:p>
    <w:p>
      <w:pPr>
        <w:pStyle w:val="Heading2"/>
        <w:keepNext/>
        <w:keepLines/>
      </w:pPr>
      <w:r>
        <w:t>2.1 Problem statement</w:t>
      </w:r>
    </w:p>
    <w:p>
      <w:pPr>
        <w:spacing w:before="0" w:after="120" w:line="264" w:lineRule="auto"/>
      </w:pPr>
      <w:r>
        <w:rPr>
          <w:rFonts w:ascii="DejaVu Sans" w:hAnsi="DejaVu Sans" w:eastAsia="DejaVu Sans"/>
          <w:b w:val="0"/>
          <w:i w:val="0"/>
          <w:color w:val="17202A"/>
          <w:sz w:val="22"/>
        </w:rPr>
        <w:t>Borrowers often compare only the sanctioned amount, headline rate and EMI. They may not see the gap between what a lender will allow and what their household can safely sustain. Borrower Copilot closes that information gap before the borrower reaches a lender.</w:t>
      </w:r>
    </w:p>
    <w:p>
      <w:pPr>
        <w:pStyle w:val="Heading2"/>
        <w:keepNext/>
        <w:keepLines/>
      </w:pPr>
      <w:r>
        <w:t>2.2 Product goals</w:t>
      </w:r>
    </w:p>
    <w:p>
      <w:pPr>
        <w:pStyle w:val="ListBullet"/>
        <w:spacing w:after="80" w:line="278" w:lineRule="auto"/>
        <w:ind w:left="720" w:hanging="360"/>
        <w:keepLines/>
      </w:pPr>
      <w:r>
        <w:rPr>
          <w:rFonts w:ascii="DejaVu Sans" w:hAnsi="DejaVu Sans" w:eastAsia="DejaVu Sans"/>
          <w:color w:val="17202A"/>
          <w:sz w:val="21"/>
        </w:rPr>
        <w:t>Produce all four required outputs from approximately ten essential answers.</w:t>
      </w:r>
    </w:p>
    <w:p>
      <w:pPr>
        <w:pStyle w:val="ListBullet"/>
        <w:spacing w:after="80" w:line="278" w:lineRule="auto"/>
        <w:ind w:left="720" w:hanging="360"/>
        <w:keepLines/>
      </w:pPr>
      <w:r>
        <w:rPr>
          <w:rFonts w:ascii="DejaVu Sans" w:hAnsi="DejaVu Sans" w:eastAsia="DejaVu Sans"/>
          <w:color w:val="17202A"/>
          <w:sz w:val="21"/>
        </w:rPr>
        <w:t>Adapt additional questions to salaried, self-employed and informal-income borrowers.</w:t>
      </w:r>
    </w:p>
    <w:p>
      <w:pPr>
        <w:pStyle w:val="ListBullet"/>
        <w:spacing w:after="80" w:line="278" w:lineRule="auto"/>
        <w:ind w:left="720" w:hanging="360"/>
        <w:keepLines/>
      </w:pPr>
      <w:r>
        <w:rPr>
          <w:rFonts w:ascii="DejaVu Sans" w:hAnsi="DejaVu Sans" w:eastAsia="DejaVu Sans"/>
          <w:color w:val="17202A"/>
          <w:sz w:val="21"/>
        </w:rPr>
        <w:t>Make Do not borrow a real, reachable and constructive outcome.</w:t>
      </w:r>
    </w:p>
    <w:p>
      <w:pPr>
        <w:pStyle w:val="ListBullet"/>
        <w:spacing w:after="80" w:line="278" w:lineRule="auto"/>
        <w:ind w:left="720" w:hanging="360"/>
        <w:keepLines/>
      </w:pPr>
      <w:r>
        <w:rPr>
          <w:rFonts w:ascii="DejaVu Sans" w:hAnsi="DejaVu Sans" w:eastAsia="DejaVu Sans"/>
          <w:color w:val="17202A"/>
          <w:sz w:val="21"/>
        </w:rPr>
        <w:t>Recommend a more suitable product when security or loan purpose changes the economics.</w:t>
      </w:r>
    </w:p>
    <w:p>
      <w:pPr>
        <w:pStyle w:val="ListBullet"/>
        <w:spacing w:after="80" w:line="278" w:lineRule="auto"/>
        <w:ind w:left="720" w:hanging="360"/>
        <w:keepLines/>
      </w:pPr>
      <w:r>
        <w:rPr>
          <w:rFonts w:ascii="DejaVu Sans" w:hAnsi="DejaVu Sans" w:eastAsia="DejaVu Sans"/>
          <w:color w:val="17202A"/>
          <w:sz w:val="21"/>
        </w:rPr>
        <w:t>Expose uncertainty through ranges, confidence labels and missing-information explanations.</w:t>
      </w:r>
    </w:p>
    <w:p>
      <w:pPr>
        <w:pStyle w:val="ListBullet"/>
        <w:spacing w:after="80" w:line="278" w:lineRule="auto"/>
        <w:ind w:left="720" w:hanging="360"/>
        <w:keepLines/>
      </w:pPr>
      <w:r>
        <w:rPr>
          <w:rFonts w:ascii="DejaVu Sans" w:hAnsi="DejaVu Sans" w:eastAsia="DejaVu Sans"/>
          <w:color w:val="17202A"/>
          <w:sz w:val="21"/>
        </w:rPr>
        <w:t>Create a phone-friendly Negotiation Card that can be shown or printed without an account.</w:t>
      </w:r>
    </w:p>
    <w:p>
      <w:pPr>
        <w:pStyle w:val="Heading2"/>
        <w:keepNext/>
        <w:keepLines/>
      </w:pPr>
      <w:r>
        <w:t>2.3 Explicit non-goals</w:t>
      </w:r>
    </w:p>
    <w:p>
      <w:pPr>
        <w:pStyle w:val="ListBullet"/>
        <w:spacing w:after="80" w:line="278" w:lineRule="auto"/>
        <w:ind w:left="720" w:hanging="360"/>
        <w:keepLines/>
      </w:pPr>
      <w:r>
        <w:rPr>
          <w:rFonts w:ascii="DejaVu Sans" w:hAnsi="DejaVu Sans" w:eastAsia="DejaVu Sans"/>
          <w:color w:val="17202A"/>
          <w:sz w:val="21"/>
        </w:rPr>
        <w:t>No formal credit approval, credit score pull, KYC or bureau integration.</w:t>
      </w:r>
    </w:p>
    <w:p>
      <w:pPr>
        <w:pStyle w:val="ListBullet"/>
        <w:spacing w:after="80" w:line="278" w:lineRule="auto"/>
        <w:ind w:left="720" w:hanging="360"/>
        <w:keepLines/>
      </w:pPr>
      <w:r>
        <w:rPr>
          <w:rFonts w:ascii="DejaVu Sans" w:hAnsi="DejaVu Sans" w:eastAsia="DejaVu Sans"/>
          <w:color w:val="17202A"/>
          <w:sz w:val="21"/>
        </w:rPr>
        <w:t>No machine-learning underwriting model or claim of lender-specific approval certainty.</w:t>
      </w:r>
    </w:p>
    <w:p>
      <w:pPr>
        <w:pStyle w:val="ListBullet"/>
        <w:spacing w:after="80" w:line="278" w:lineRule="auto"/>
        <w:ind w:left="720" w:hanging="360"/>
        <w:keepLines/>
      </w:pPr>
      <w:r>
        <w:rPr>
          <w:rFonts w:ascii="DejaVu Sans" w:hAnsi="DejaVu Sans" w:eastAsia="DejaVu Sans"/>
          <w:color w:val="17202A"/>
          <w:sz w:val="21"/>
        </w:rPr>
        <w:t>No login, database, borrower profile history or storage of personal financial answers.</w:t>
      </w:r>
    </w:p>
    <w:p>
      <w:pPr>
        <w:pStyle w:val="ListBullet"/>
        <w:spacing w:after="80" w:line="278" w:lineRule="auto"/>
        <w:ind w:left="720" w:hanging="360"/>
        <w:keepLines/>
      </w:pPr>
      <w:r>
        <w:rPr>
          <w:rFonts w:ascii="DejaVu Sans" w:hAnsi="DejaVu Sans" w:eastAsia="DejaVu Sans"/>
          <w:color w:val="17202A"/>
          <w:sz w:val="21"/>
        </w:rPr>
        <w:t>No attempt to cover every loan product or reproduce every lender policy.</w:t>
      </w:r>
    </w:p>
    <w:p>
      <w:pPr>
        <w:pStyle w:val="ListBullet"/>
        <w:spacing w:after="80" w:line="278" w:lineRule="auto"/>
        <w:ind w:left="720" w:hanging="360"/>
        <w:keepLines/>
      </w:pPr>
      <w:r>
        <w:rPr>
          <w:rFonts w:ascii="DejaVu Sans" w:hAnsi="DejaVu Sans" w:eastAsia="DejaVu Sans"/>
          <w:color w:val="17202A"/>
          <w:sz w:val="21"/>
        </w:rPr>
        <w:t>No legal, tax or regulated financial-advice representation.</w:t>
      </w:r>
    </w:p>
    <w:p>
      <w:pPr>
        <w:pStyle w:val="Heading2"/>
        <w:keepNext/>
        <w:keepLines/>
      </w:pPr>
      <w:r>
        <w:t>2.4 Success measures</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2100"/>
        <w:gridCol w:w="7260"/>
      </w:tblGrid>
      <w:tr>
        <w:trPr>
          <w:tblHeader w:val="true"/>
          <w:cantSplit/>
        </w:trPr>
        <w:tc>
          <w:tcPr>
            <w:tcW w:type="dxa" w:w="21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Measure</w:t>
            </w:r>
          </w:p>
        </w:tc>
        <w:tc>
          <w:tcPr>
            <w:tcW w:type="dxa" w:w="726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Acceptance signal</w:t>
            </w:r>
          </w:p>
        </w:tc>
      </w:tr>
      <w:tr>
        <w:trPr>
          <w:cantSplit/>
        </w:trPr>
        <w:tc>
          <w:tcPr>
            <w:tcW w:type="dxa" w:w="21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Usefulness</w:t>
            </w:r>
          </w:p>
        </w:tc>
        <w:tc>
          <w:tcPr>
            <w:tcW w:type="dxa" w:w="72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Each supplied persona receives an actionable result and next step.</w:t>
            </w:r>
          </w:p>
        </w:tc>
      </w:tr>
      <w:tr>
        <w:trPr>
          <w:cantSplit/>
        </w:trPr>
        <w:tc>
          <w:tcPr>
            <w:tcW w:type="dxa" w:w="21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Traceability</w:t>
            </w:r>
          </w:p>
        </w:tc>
        <w:tc>
          <w:tcPr>
            <w:tcW w:type="dxa" w:w="72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Each displayed number can be traced to inputs and rule IDs.</w:t>
            </w:r>
          </w:p>
        </w:tc>
      </w:tr>
      <w:tr>
        <w:trPr>
          <w:cantSplit/>
        </w:trPr>
        <w:tc>
          <w:tcPr>
            <w:tcW w:type="dxa" w:w="21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Honesty</w:t>
            </w:r>
          </w:p>
        </w:tc>
        <w:tc>
          <w:tcPr>
            <w:tcW w:type="dxa" w:w="72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Unknown answers widen the correct ranges and lower confidence.</w:t>
            </w:r>
          </w:p>
        </w:tc>
      </w:tr>
      <w:tr>
        <w:trPr>
          <w:cantSplit/>
        </w:trPr>
        <w:tc>
          <w:tcPr>
            <w:tcW w:type="dxa" w:w="21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Changeability</w:t>
            </w:r>
          </w:p>
        </w:tc>
        <w:tc>
          <w:tcPr>
            <w:tcW w:type="dxa" w:w="72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A rule can be modified centrally during the 60-minute follow-up.</w:t>
            </w:r>
          </w:p>
        </w:tc>
      </w:tr>
      <w:tr>
        <w:trPr>
          <w:cantSplit/>
        </w:trPr>
        <w:tc>
          <w:tcPr>
            <w:tcW w:type="dxa" w:w="21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Operability</w:t>
            </w:r>
          </w:p>
        </w:tc>
        <w:tc>
          <w:tcPr>
            <w:tcW w:type="dxa" w:w="72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A reviewer runs the app locally from README instructions in under five minutes.</w:t>
            </w:r>
          </w:p>
        </w:tc>
      </w:tr>
    </w:tbl>
    <w:p>
      <w:r>
        <w:br w:type="page"/>
      </w:r>
    </w:p>
    <w:p>
      <w:pPr>
        <w:pStyle w:val="Heading1"/>
        <w:keepNext/>
        <w:keepLines/>
      </w:pPr>
      <w:r>
        <w:t>3. Borrowers and required outcomes</w:t>
      </w:r>
    </w:p>
    <w:p>
      <w:pPr>
        <w:pStyle w:val="Heading2"/>
        <w:keepNext/>
        <w:keepLines/>
      </w:pPr>
      <w:r>
        <w:t>3.1 Output contract</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550"/>
        <w:gridCol w:w="3900"/>
        <w:gridCol w:w="3910"/>
      </w:tblGrid>
      <w:tr>
        <w:trPr>
          <w:tblHeader w:val="true"/>
          <w:cantSplit/>
        </w:trPr>
        <w:tc>
          <w:tcPr>
            <w:tcW w:type="dxa" w:w="155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Output</w:t>
            </w:r>
          </w:p>
        </w:tc>
        <w:tc>
          <w:tcPr>
            <w:tcW w:type="dxa" w:w="390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Required content</w:t>
            </w:r>
          </w:p>
        </w:tc>
        <w:tc>
          <w:tcPr>
            <w:tcW w:type="dxa" w:w="391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Quality bar</w:t>
            </w:r>
          </w:p>
        </w:tc>
      </w:tr>
      <w:tr>
        <w:trPr>
          <w:cantSplit/>
        </w:trPr>
        <w:tc>
          <w:tcPr>
            <w:tcW w:type="dxa" w:w="155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O1 - Verdict</w:t>
            </w:r>
          </w:p>
        </w:tc>
        <w:tc>
          <w:tcPr>
            <w:tcW w:type="dxa" w:w="39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Borrow / Borrow less / Do not borrow; summary; reasons; safer next step</w:t>
            </w:r>
          </w:p>
        </w:tc>
        <w:tc>
          <w:tcPr>
            <w:tcW w:type="dxa" w:w="39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Do not borrow is reachable; severity rules are ordered.</w:t>
            </w:r>
          </w:p>
        </w:tc>
      </w:tr>
      <w:tr>
        <w:trPr>
          <w:cantSplit/>
        </w:trPr>
        <w:tc>
          <w:tcPr>
            <w:tcW w:type="dxa" w:w="155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O2 - Amount</w:t>
            </w:r>
          </w:p>
        </w:tc>
        <w:tc>
          <w:tcPr>
            <w:tcW w:type="dxa" w:w="390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Likely lender range; safe borrower range; recommended cap</w:t>
            </w:r>
          </w:p>
        </w:tc>
        <w:tc>
          <w:tcPr>
            <w:tcW w:type="dxa" w:w="39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The two ranges are visually and logically separate.</w:t>
            </w:r>
          </w:p>
        </w:tc>
      </w:tr>
      <w:tr>
        <w:trPr>
          <w:cantSplit/>
        </w:trPr>
        <w:tc>
          <w:tcPr>
            <w:tcW w:type="dxa" w:w="155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O3 - Pricing</w:t>
            </w:r>
          </w:p>
        </w:tc>
        <w:tc>
          <w:tcPr>
            <w:tcW w:type="dxa" w:w="39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Fair interest band; estimated APR band; fee assumptions</w:t>
            </w:r>
          </w:p>
        </w:tc>
        <w:tc>
          <w:tcPr>
            <w:tcW w:type="dxa" w:w="39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Pricing is indicative and all-in cost is explained.</w:t>
            </w:r>
          </w:p>
        </w:tc>
      </w:tr>
      <w:tr>
        <w:trPr>
          <w:cantSplit/>
        </w:trPr>
        <w:tc>
          <w:tcPr>
            <w:tcW w:type="dxa" w:w="155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O4 - Repayment</w:t>
            </w:r>
          </w:p>
        </w:tc>
        <w:tc>
          <w:tcPr>
            <w:tcW w:type="dxa" w:w="390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EMI ceiling; tenure alternatives; total repayment; stress case</w:t>
            </w:r>
          </w:p>
        </w:tc>
        <w:tc>
          <w:tcPr>
            <w:tcW w:type="dxa" w:w="39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Shows monthly and lifetime trade-offs.</w:t>
            </w:r>
          </w:p>
        </w:tc>
      </w:tr>
      <w:tr>
        <w:trPr>
          <w:cantSplit/>
        </w:trPr>
        <w:tc>
          <w:tcPr>
            <w:tcW w:type="dxa" w:w="155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Negotiation Card</w:t>
            </w:r>
          </w:p>
        </w:tc>
        <w:tc>
          <w:tcPr>
            <w:tcW w:type="dxa" w:w="39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Profile summary, caps, fair band, APR, lender questions, confidence</w:t>
            </w:r>
          </w:p>
        </w:tc>
        <w:tc>
          <w:tcPr>
            <w:tcW w:type="dxa" w:w="39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Readable on one phone screen and printable.</w:t>
            </w:r>
          </w:p>
        </w:tc>
      </w:tr>
    </w:tbl>
    <w:p>
      <w:pPr>
        <w:pStyle w:val="Heading2"/>
        <w:keepNext/>
        <w:keepLines/>
      </w:pPr>
      <w:r>
        <w:t>3.2 Persona intent</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300"/>
        <w:gridCol w:w="4050"/>
        <w:gridCol w:w="4010"/>
      </w:tblGrid>
      <w:tr>
        <w:trPr>
          <w:tblHeader w:val="true"/>
          <w:cantSplit/>
        </w:trPr>
        <w:tc>
          <w:tcPr>
            <w:tcW w:type="dxa" w:w="13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Borrower</w:t>
            </w:r>
          </w:p>
        </w:tc>
        <w:tc>
          <w:tcPr>
            <w:tcW w:type="dxa" w:w="405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Primary reasoning challenge</w:t>
            </w:r>
          </w:p>
        </w:tc>
        <w:tc>
          <w:tcPr>
            <w:tcW w:type="dxa" w:w="401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Expected product behavior</w:t>
            </w:r>
          </w:p>
        </w:tc>
      </w:tr>
      <w:tr>
        <w:trPr>
          <w:cantSplit/>
        </w:trPr>
        <w:tc>
          <w:tcPr>
            <w:tcW w:type="dxa" w:w="13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Priya</w:t>
            </w:r>
          </w:p>
        </w:tc>
        <w:tc>
          <w:tcPr>
            <w:tcW w:type="dxa" w:w="40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Strong salaried profile, existing car EMI, rent and discretionary wedding purpose</w:t>
            </w:r>
          </w:p>
        </w:tc>
        <w:tc>
          <w:tcPr>
            <w:tcW w:type="dxa" w:w="40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Show likely qualification while keeping safe amount and EMI conservative.</w:t>
            </w:r>
          </w:p>
        </w:tc>
      </w:tr>
      <w:tr>
        <w:trPr>
          <w:cantSplit/>
        </w:trPr>
        <w:tc>
          <w:tcPr>
            <w:tcW w:type="dxa" w:w="13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Ravi</w:t>
            </w:r>
          </w:p>
        </w:tc>
        <w:tc>
          <w:tcPr>
            <w:tcW w:type="dxa" w:w="405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Variable/documented-income gap, no score, productive purpose and valuable unencumbered shop</w:t>
            </w:r>
          </w:p>
        </w:tc>
        <w:tc>
          <w:tcPr>
            <w:tcW w:type="dxa" w:w="40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Widen uncertainty and route toward an appropriate secured product such as LAP.</w:t>
            </w:r>
          </w:p>
        </w:tc>
      </w:tr>
      <w:tr>
        <w:trPr>
          <w:cantSplit/>
        </w:trPr>
        <w:tc>
          <w:tcPr>
            <w:tcW w:type="dxa" w:w="13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Anita</w:t>
            </w:r>
          </w:p>
        </w:tc>
        <w:tc>
          <w:tcPr>
            <w:tcW w:type="dxa" w:w="40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Variable household income, dependents, expensive app debt and recent bounce</w:t>
            </w:r>
          </w:p>
        </w:tc>
        <w:tc>
          <w:tcPr>
            <w:tcW w:type="dxa" w:w="40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Allow a Do not borrow now outcome; surface debt repair or safer vehicle finance.</w:t>
            </w:r>
          </w:p>
        </w:tc>
      </w:tr>
    </w:tbl>
    <w:tbl>
      <w:tblPr>
        <w:tblW w:type="dxa" w:w="9360"/>
        <w:jc w:val="left"/>
        <w:tblLayout w:type="fixed"/>
        <w:tblLook w:firstColumn="1" w:firstRow="1" w:lastColumn="0" w:lastRow="0" w:noHBand="0" w:noVBand="1" w:val="04A0"/>
        <w:tblInd w:w="120" w:type="dxa"/>
        <w:tblBorders>
          <w:top w:val="single" w:sz="2" w:space="0" w:color="E7F4F2"/>
          <w:left w:val="single" w:sz="2" w:space="0" w:color="E7F4F2"/>
          <w:bottom w:val="single" w:sz="2" w:space="0" w:color="E7F4F2"/>
          <w:right w:val="single" w:sz="2" w:space="0" w:color="E7F4F2"/>
          <w:insideH w:val="single" w:sz="2" w:space="0" w:color="E7F4F2"/>
          <w:insideV w:val="single" w:sz="2" w:space="0" w:color="E7F4F2"/>
        </w:tblBorders>
      </w:tblPr>
      <w:tblGrid>
        <w:gridCol w:w="9360"/>
      </w:tblGrid>
      <w:tr>
        <w:trPr>
          <w:cantSplit/>
        </w:trPr>
        <w:tc>
          <w:tcPr>
            <w:tcW w:type="dxa" w:w="9360"/>
            <w:vAlign w:val="center"/>
            <w:tcMar>
              <w:top w:w="100" w:type="dxa"/>
              <w:start w:w="120" w:type="dxa"/>
              <w:bottom w:w="100" w:type="dxa"/>
              <w:end w:w="120" w:type="dxa"/>
            </w:tcMar>
            <w:shd w:fill="E7F4F2"/>
          </w:tcPr>
          <w:p>
            <w:pPr>
              <w:spacing w:before="40" w:after="40" w:line="264" w:lineRule="auto"/>
            </w:pPr>
            <w:r>
              <w:rPr>
                <w:rFonts w:ascii="DejaVu Sans" w:hAnsi="DejaVu Sans" w:eastAsia="DejaVu Sans"/>
                <w:b/>
                <w:color w:val="167D78"/>
                <w:sz w:val="18"/>
              </w:rPr>
              <w:t xml:space="preserve">EVALUATION PRINCIPLE  </w:t>
            </w:r>
            <w:r>
              <w:rPr>
                <w:rFonts w:ascii="DejaVu Sans" w:hAnsi="DejaVu Sans" w:eastAsia="DejaVu Sans"/>
                <w:color w:val="17202A"/>
                <w:sz w:val="20"/>
              </w:rPr>
              <w:t>The app is scored on the reasoning that produces the numbers, not on matching one hidden answer. Outputs must therefore be explainable, configurable and internally consistent.</w:t>
            </w:r>
          </w:p>
        </w:tc>
      </w:tr>
    </w:tbl>
    <w:p>
      <w:r>
        <w:br w:type="page"/>
      </w:r>
    </w:p>
    <w:p>
      <w:pPr>
        <w:pStyle w:val="Heading1"/>
        <w:keepNext/>
        <w:keepLines/>
      </w:pPr>
      <w:r>
        <w:t>4. End-to-end borrower experience</w:t>
      </w:r>
    </w:p>
    <w:p>
      <w:pPr>
        <w:jc w:val="center"/>
      </w:pPr>
      <w:r>
        <w:drawing>
          <wp:inline xmlns:a="http://schemas.openxmlformats.org/drawingml/2006/main" xmlns:pic="http://schemas.openxmlformats.org/drawingml/2006/picture">
            <wp:extent cx="5989320" cy="2668758"/>
            <wp:docPr id="1" name="Picture 1" descr="Borrower journey from landing and essential questions through initial results, adaptive refinement, final outputs and the Negotiation Card." title="Borrower journey from landing and essential questions through initial results, adaptive refinement, final outputs and the Negotiation Card."/>
            <wp:cNvGraphicFramePr>
              <a:graphicFrameLocks noChangeAspect="1"/>
            </wp:cNvGraphicFramePr>
            <a:graphic>
              <a:graphicData uri="http://schemas.openxmlformats.org/drawingml/2006/picture">
                <pic:pic>
                  <pic:nvPicPr>
                    <pic:cNvPr id="0" name="journey.png"/>
                    <pic:cNvPicPr/>
                  </pic:nvPicPr>
                  <pic:blipFill>
                    <a:blip r:embed="rId11"/>
                    <a:stretch>
                      <a:fillRect/>
                    </a:stretch>
                  </pic:blipFill>
                  <pic:spPr>
                    <a:xfrm>
                      <a:off x="0" y="0"/>
                      <a:ext cx="5989320" cy="2668758"/>
                    </a:xfrm>
                    <a:prstGeom prst="rect"/>
                  </pic:spPr>
                </pic:pic>
              </a:graphicData>
            </a:graphic>
          </wp:inline>
        </w:drawing>
      </w:r>
    </w:p>
    <w:p>
      <w:pPr>
        <w:spacing w:before="0" w:after="200" w:line="264" w:lineRule="auto"/>
        <w:jc w:val="center"/>
      </w:pPr>
      <w:r>
        <w:rPr>
          <w:rFonts w:ascii="DejaVu Sans" w:hAnsi="DejaVu Sans" w:eastAsia="DejaVu Sans"/>
          <w:b w:val="0"/>
          <w:i/>
          <w:color w:val="667085"/>
          <w:sz w:val="17"/>
        </w:rPr>
        <w:t>Figure 1. Borrower journey from privacy promise to a usable lender conversation.</w:t>
      </w:r>
    </w:p>
    <w:p>
      <w:pPr>
        <w:spacing w:after="100" w:line="278" w:lineRule="auto"/>
        <w:ind w:left="720" w:hanging="360"/>
        <w:numPr>
          <w:ilvl w:val="0"/>
          <w:numId w:val="10"/>
        </w:numPr>
      </w:pPr>
      <w:r>
        <w:rPr>
          <w:rFonts w:ascii="DejaVu Sans" w:hAnsi="DejaVu Sans" w:eastAsia="DejaVu Sans"/>
          <w:color w:val="17202A"/>
          <w:sz w:val="21"/>
        </w:rPr>
        <w:t>Landing: explain the four decisions, expected time, privacy behavior and non-advisory limitation.</w:t>
      </w:r>
    </w:p>
    <w:p>
      <w:pPr>
        <w:spacing w:after="100" w:line="278" w:lineRule="auto"/>
        <w:ind w:left="720" w:hanging="360"/>
        <w:numPr>
          <w:ilvl w:val="0"/>
          <w:numId w:val="10"/>
        </w:numPr>
      </w:pPr>
      <w:r>
        <w:rPr>
          <w:rFonts w:ascii="DejaVu Sans" w:hAnsi="DejaVu Sans" w:eastAsia="DejaVu Sans"/>
          <w:color w:val="17202A"/>
          <w:sz w:val="21"/>
        </w:rPr>
        <w:t>Essential assessment: ask one focused question at a time and collect the minimum data required for all outputs.</w:t>
      </w:r>
    </w:p>
    <w:p>
      <w:pPr>
        <w:spacing w:after="100" w:line="278" w:lineRule="auto"/>
        <w:ind w:left="720" w:hanging="360"/>
        <w:numPr>
          <w:ilvl w:val="0"/>
          <w:numId w:val="10"/>
        </w:numPr>
      </w:pPr>
      <w:r>
        <w:rPr>
          <w:rFonts w:ascii="DejaVu Sans" w:hAnsi="DejaVu Sans" w:eastAsia="DejaVu Sans"/>
          <w:color w:val="17202A"/>
          <w:sz w:val="21"/>
        </w:rPr>
        <w:t>Initial result: immediately provide wide ranges and a confidence explanation; do not block usefulness behind optional questions.</w:t>
      </w:r>
    </w:p>
    <w:p>
      <w:pPr>
        <w:spacing w:after="100" w:line="278" w:lineRule="auto"/>
        <w:ind w:left="720" w:hanging="360"/>
        <w:numPr>
          <w:ilvl w:val="0"/>
          <w:numId w:val="10"/>
        </w:numPr>
      </w:pPr>
      <w:r>
        <w:rPr>
          <w:rFonts w:ascii="DejaVu Sans" w:hAnsi="DejaVu Sans" w:eastAsia="DejaVu Sans"/>
          <w:color w:val="17202A"/>
          <w:sz w:val="21"/>
        </w:rPr>
        <w:t>Adaptive refinement: show only questions relevant to the income type, loan purpose and earlier answers.</w:t>
      </w:r>
    </w:p>
    <w:p>
      <w:pPr>
        <w:spacing w:after="100" w:line="278" w:lineRule="auto"/>
        <w:ind w:left="720" w:hanging="360"/>
        <w:numPr>
          <w:ilvl w:val="0"/>
          <w:numId w:val="10"/>
        </w:numPr>
      </w:pPr>
      <w:r>
        <w:rPr>
          <w:rFonts w:ascii="DejaVu Sans" w:hAnsi="DejaVu Sans" w:eastAsia="DejaVu Sans"/>
          <w:color w:val="17202A"/>
          <w:sz w:val="21"/>
        </w:rPr>
        <w:t>Final result: lead with the verdict and recommended cap, then show evidence, pricing, repayment and stress.</w:t>
      </w:r>
    </w:p>
    <w:p>
      <w:pPr>
        <w:spacing w:after="100" w:line="278" w:lineRule="auto"/>
        <w:ind w:left="720" w:hanging="360"/>
        <w:numPr>
          <w:ilvl w:val="0"/>
          <w:numId w:val="10"/>
        </w:numPr>
      </w:pPr>
      <w:r>
        <w:rPr>
          <w:rFonts w:ascii="DejaVu Sans" w:hAnsi="DejaVu Sans" w:eastAsia="DejaVu Sans"/>
          <w:color w:val="17202A"/>
          <w:sz w:val="21"/>
        </w:rPr>
        <w:t>Negotiation Card: compress the decision into one actionable screen with lender questions and print styling.</w:t>
      </w:r>
    </w:p>
    <w:p>
      <w:pPr>
        <w:pStyle w:val="Heading2"/>
        <w:keepNext/>
        <w:keepLines/>
      </w:pPr>
      <w:r>
        <w:t>4.1 Navigation rules</w:t>
      </w:r>
    </w:p>
    <w:p>
      <w:pPr>
        <w:pStyle w:val="ListBullet"/>
        <w:spacing w:after="80" w:line="278" w:lineRule="auto"/>
        <w:ind w:left="720" w:hanging="360"/>
        <w:keepLines/>
      </w:pPr>
      <w:r>
        <w:rPr>
          <w:rFonts w:ascii="DejaVu Sans" w:hAnsi="DejaVu Sans" w:eastAsia="DejaVu Sans"/>
          <w:color w:val="17202A"/>
          <w:sz w:val="21"/>
        </w:rPr>
        <w:t>Back preserves previous answers and recomputes the applicable path if a branching answer changes.</w:t>
      </w:r>
    </w:p>
    <w:p>
      <w:pPr>
        <w:pStyle w:val="ListBullet"/>
        <w:spacing w:after="80" w:line="278" w:lineRule="auto"/>
        <w:ind w:left="720" w:hanging="360"/>
        <w:keepLines/>
      </w:pPr>
      <w:r>
        <w:rPr>
          <w:rFonts w:ascii="DejaVu Sans" w:hAnsi="DejaVu Sans" w:eastAsia="DejaVu Sans"/>
          <w:color w:val="17202A"/>
          <w:sz w:val="21"/>
        </w:rPr>
        <w:t>Continue stays disabled only when a required question has neither a valid answer nor an allowed Unknown value.</w:t>
      </w:r>
    </w:p>
    <w:p>
      <w:pPr>
        <w:pStyle w:val="ListBullet"/>
        <w:spacing w:after="80" w:line="278" w:lineRule="auto"/>
        <w:ind w:left="720" w:hanging="360"/>
        <w:keepLines/>
      </w:pPr>
      <w:r>
        <w:rPr>
          <w:rFonts w:ascii="DejaVu Sans" w:hAnsi="DejaVu Sans" w:eastAsia="DejaVu Sans"/>
          <w:color w:val="17202A"/>
          <w:sz w:val="21"/>
        </w:rPr>
        <w:t>Reset clears in-memory state after confirmation and returns to the landing page.</w:t>
      </w:r>
    </w:p>
    <w:p>
      <w:pPr>
        <w:pStyle w:val="ListBullet"/>
        <w:spacing w:after="80" w:line="278" w:lineRule="auto"/>
        <w:ind w:left="720" w:hanging="360"/>
        <w:keepLines/>
      </w:pPr>
      <w:r>
        <w:rPr>
          <w:rFonts w:ascii="DejaVu Sans" w:hAnsi="DejaVu Sans" w:eastAsia="DejaVu Sans"/>
          <w:color w:val="17202A"/>
          <w:sz w:val="21"/>
        </w:rPr>
        <w:t>Refresh starts a new assessment because personal answers are not persisted.</w:t>
      </w:r>
    </w:p>
    <w:p>
      <w:r>
        <w:br w:type="page"/>
      </w:r>
    </w:p>
    <w:p>
      <w:pPr>
        <w:pStyle w:val="Heading1"/>
        <w:keepNext/>
        <w:keepLines/>
      </w:pPr>
      <w:r>
        <w:t>5. System architecture</w:t>
      </w:r>
    </w:p>
    <w:p>
      <w:pPr>
        <w:spacing w:before="0" w:after="120" w:line="264" w:lineRule="auto"/>
      </w:pPr>
      <w:r>
        <w:rPr>
          <w:rFonts w:ascii="DejaVu Sans" w:hAnsi="DejaVu Sans" w:eastAsia="DejaVu Sans"/>
          <w:b w:val="0"/>
          <w:i w:val="0"/>
          <w:color w:val="17202A"/>
          <w:sz w:val="22"/>
        </w:rPr>
        <w:t>The application is a static single-page frontend. The browser hosts the UI, state, rules and deterministic assessment pipeline. There are no application servers or storage services in the challenge scope.</w:t>
      </w:r>
    </w:p>
    <w:p>
      <w:pPr>
        <w:jc w:val="center"/>
      </w:pPr>
      <w:r>
        <w:drawing>
          <wp:inline xmlns:a="http://schemas.openxmlformats.org/drawingml/2006/main" xmlns:pic="http://schemas.openxmlformats.org/drawingml/2006/picture">
            <wp:extent cx="5989320" cy="2668758"/>
            <wp:docPr id="2" name="Picture 2" descr="Frontend-only layered architecture showing presentation, application, domain, rules, calculations and explainability layers." title="Frontend-only layered architecture showing presentation, application, domain, rules, calculations and explainability layers."/>
            <wp:cNvGraphicFramePr>
              <a:graphicFrameLocks noChangeAspect="1"/>
            </wp:cNvGraphicFramePr>
            <a:graphic>
              <a:graphicData uri="http://schemas.openxmlformats.org/drawingml/2006/picture">
                <pic:pic>
                  <pic:nvPicPr>
                    <pic:cNvPr id="0" name="layers.png"/>
                    <pic:cNvPicPr/>
                  </pic:nvPicPr>
                  <pic:blipFill>
                    <a:blip r:embed="rId12"/>
                    <a:stretch>
                      <a:fillRect/>
                    </a:stretch>
                  </pic:blipFill>
                  <pic:spPr>
                    <a:xfrm>
                      <a:off x="0" y="0"/>
                      <a:ext cx="5989320" cy="2668758"/>
                    </a:xfrm>
                    <a:prstGeom prst="rect"/>
                  </pic:spPr>
                </pic:pic>
              </a:graphicData>
            </a:graphic>
          </wp:inline>
        </w:drawing>
      </w:r>
    </w:p>
    <w:p>
      <w:pPr>
        <w:spacing w:before="0" w:after="200" w:line="264" w:lineRule="auto"/>
        <w:jc w:val="center"/>
      </w:pPr>
      <w:r>
        <w:rPr>
          <w:rFonts w:ascii="DejaVu Sans" w:hAnsi="DejaVu Sans" w:eastAsia="DejaVu Sans"/>
          <w:b w:val="0"/>
          <w:i/>
          <w:color w:val="667085"/>
          <w:sz w:val="17"/>
        </w:rPr>
        <w:t>Figure 2. Layer boundaries prevent UI changes from altering lending rules accidentally.</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600"/>
        <w:gridCol w:w="4650"/>
        <w:gridCol w:w="3110"/>
      </w:tblGrid>
      <w:tr>
        <w:trPr>
          <w:tblHeader w:val="true"/>
          <w:cantSplit/>
        </w:trPr>
        <w:tc>
          <w:tcPr>
            <w:tcW w:type="dxa" w:w="16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Layer</w:t>
            </w:r>
          </w:p>
        </w:tc>
        <w:tc>
          <w:tcPr>
            <w:tcW w:type="dxa" w:w="465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Responsibility</w:t>
            </w:r>
          </w:p>
        </w:tc>
        <w:tc>
          <w:tcPr>
            <w:tcW w:type="dxa" w:w="311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May depend on</w:t>
            </w:r>
          </w:p>
        </w:tc>
      </w:tr>
      <w:tr>
        <w:trPr>
          <w:cantSplit/>
        </w:trPr>
        <w:tc>
          <w:tcPr>
            <w:tcW w:type="dxa" w:w="16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Presentation</w:t>
            </w:r>
          </w:p>
        </w:tc>
        <w:tc>
          <w:tcPr>
            <w:tcW w:type="dxa" w:w="46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Render pages, collect input, format INR values and expose reasons</w:t>
            </w:r>
          </w:p>
        </w:tc>
        <w:tc>
          <w:tcPr>
            <w:tcW w:type="dxa" w:w="31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Application contracts only</w:t>
            </w:r>
          </w:p>
        </w:tc>
      </w:tr>
      <w:tr>
        <w:trPr>
          <w:cantSplit/>
        </w:trPr>
        <w:tc>
          <w:tcPr>
            <w:tcW w:type="dxa" w:w="16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Application</w:t>
            </w:r>
          </w:p>
        </w:tc>
        <w:tc>
          <w:tcPr>
            <w:tcW w:type="dxa" w:w="465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Navigate phases, hold answers, choose applicable questions and trigger assessment</w:t>
            </w:r>
          </w:p>
        </w:tc>
        <w:tc>
          <w:tcPr>
            <w:tcW w:type="dxa" w:w="31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Domain contracts and question schema</w:t>
            </w:r>
          </w:p>
        </w:tc>
      </w:tr>
      <w:tr>
        <w:trPr>
          <w:cantSplit/>
        </w:trPr>
        <w:tc>
          <w:tcPr>
            <w:tcW w:type="dxa" w:w="16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Domain</w:t>
            </w:r>
          </w:p>
        </w:tc>
        <w:tc>
          <w:tcPr>
            <w:tcW w:type="dxa" w:w="46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Orchestrate the deterministic assessment and return complete output contracts</w:t>
            </w:r>
          </w:p>
        </w:tc>
        <w:tc>
          <w:tcPr>
            <w:tcW w:type="dxa" w:w="31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Rules and calculation utilities</w:t>
            </w:r>
          </w:p>
        </w:tc>
      </w:tr>
      <w:tr>
        <w:trPr>
          <w:cantSplit/>
        </w:trPr>
        <w:tc>
          <w:tcPr>
            <w:tcW w:type="dxa" w:w="16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Rules</w:t>
            </w:r>
          </w:p>
        </w:tc>
        <w:tc>
          <w:tcPr>
            <w:tcW w:type="dxa" w:w="465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Store thresholds, bands, modifiers, product routes and rule metadata</w:t>
            </w:r>
          </w:p>
        </w:tc>
        <w:tc>
          <w:tcPr>
            <w:tcW w:type="dxa" w:w="31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Domain types only</w:t>
            </w:r>
          </w:p>
        </w:tc>
      </w:tr>
      <w:tr>
        <w:trPr>
          <w:cantSplit/>
        </w:trPr>
        <w:tc>
          <w:tcPr>
            <w:tcW w:type="dxa" w:w="16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Calculations</w:t>
            </w:r>
          </w:p>
        </w:tc>
        <w:tc>
          <w:tcPr>
            <w:tcW w:type="dxa" w:w="46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Pure FOIR, EMI, principal, APR, range and stress functions</w:t>
            </w:r>
          </w:p>
        </w:tc>
        <w:tc>
          <w:tcPr>
            <w:tcW w:type="dxa" w:w="31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No UI or browser APIs</w:t>
            </w:r>
          </w:p>
        </w:tc>
      </w:tr>
      <w:tr>
        <w:trPr>
          <w:cantSplit/>
        </w:trPr>
        <w:tc>
          <w:tcPr>
            <w:tcW w:type="dxa" w:w="16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Explainability</w:t>
            </w:r>
          </w:p>
        </w:tc>
        <w:tc>
          <w:tcPr>
            <w:tcW w:type="dxa" w:w="465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Create rule traces, confidence effects and borrower-facing reasons</w:t>
            </w:r>
          </w:p>
        </w:tc>
        <w:tc>
          <w:tcPr>
            <w:tcW w:type="dxa" w:w="31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Domain results and rule metadata</w:t>
            </w:r>
          </w:p>
        </w:tc>
      </w:tr>
    </w:tbl>
    <w:tbl>
      <w:tblPr>
        <w:tblW w:type="dxa" w:w="9360"/>
        <w:jc w:val="left"/>
        <w:tblLayout w:type="fixed"/>
        <w:tblLook w:firstColumn="1" w:firstRow="1" w:lastColumn="0" w:lastRow="0" w:noHBand="0" w:noVBand="1" w:val="04A0"/>
        <w:tblInd w:w="120" w:type="dxa"/>
        <w:tblBorders>
          <w:top w:val="single" w:sz="2" w:space="0" w:color="FDECEC"/>
          <w:left w:val="single" w:sz="2" w:space="0" w:color="FDECEC"/>
          <w:bottom w:val="single" w:sz="2" w:space="0" w:color="FDECEC"/>
          <w:right w:val="single" w:sz="2" w:space="0" w:color="FDECEC"/>
          <w:insideH w:val="single" w:sz="2" w:space="0" w:color="FDECEC"/>
          <w:insideV w:val="single" w:sz="2" w:space="0" w:color="FDECEC"/>
        </w:tblBorders>
      </w:tblPr>
      <w:tblGrid>
        <w:gridCol w:w="9360"/>
      </w:tblGrid>
      <w:tr>
        <w:trPr>
          <w:cantSplit/>
        </w:trPr>
        <w:tc>
          <w:tcPr>
            <w:tcW w:type="dxa" w:w="9360"/>
            <w:vAlign w:val="center"/>
            <w:tcMar>
              <w:top w:w="100" w:type="dxa"/>
              <w:start w:w="120" w:type="dxa"/>
              <w:bottom w:w="100" w:type="dxa"/>
              <w:end w:w="120" w:type="dxa"/>
            </w:tcMar>
            <w:shd w:fill="FDECEC"/>
          </w:tcPr>
          <w:p>
            <w:pPr>
              <w:spacing w:before="40" w:after="40" w:line="264" w:lineRule="auto"/>
            </w:pPr>
            <w:r>
              <w:rPr>
                <w:rFonts w:ascii="DejaVu Sans" w:hAnsi="DejaVu Sans" w:eastAsia="DejaVu Sans"/>
                <w:b/>
                <w:color w:val="B42318"/>
                <w:sz w:val="18"/>
              </w:rPr>
              <w:t xml:space="preserve">DEPENDENCY RULE  </w:t>
            </w:r>
            <w:r>
              <w:rPr>
                <w:rFonts w:ascii="DejaVu Sans" w:hAnsi="DejaVu Sans" w:eastAsia="DejaVu Sans"/>
                <w:color w:val="17202A"/>
                <w:sz w:val="20"/>
              </w:rPr>
              <w:t>Dependencies point inward. Domain code must never import React components, browser storage or CSS.</w:t>
            </w:r>
          </w:p>
        </w:tc>
      </w:tr>
    </w:tbl>
    <w:p>
      <w:r>
        <w:br w:type="page"/>
      </w:r>
    </w:p>
    <w:p>
      <w:pPr>
        <w:pStyle w:val="Heading1"/>
        <w:keepNext/>
        <w:keepLines/>
      </w:pPr>
      <w:r>
        <w:t>6. Domain contracts and state</w:t>
      </w:r>
    </w:p>
    <w:p>
      <w:pPr>
        <w:pStyle w:val="Heading2"/>
        <w:keepNext/>
        <w:keepLines/>
      </w:pPr>
      <w:r>
        <w:t>6.1 Core borrower profile</w:t>
      </w:r>
    </w:p>
    <w:tbl>
      <w:tblPr>
        <w:tblW w:type="dxa" w:w="9360"/>
        <w:jc w:val="left"/>
        <w:tblLayout w:type="fixed"/>
        <w:tblLook w:firstColumn="1" w:firstRow="1" w:lastColumn="0" w:lastRow="0" w:noHBand="0" w:noVBand="1" w:val="04A0"/>
        <w:tblInd w:w="120" w:type="dxa"/>
        <w:tblBorders>
          <w:top w:val="single" w:sz="4" w:space="0" w:color="D7DEE2"/>
          <w:left w:val="single" w:sz="4" w:space="0" w:color="D7DEE2"/>
          <w:bottom w:val="single" w:sz="4" w:space="0" w:color="D7DEE2"/>
          <w:right w:val="single" w:sz="4" w:space="0" w:color="D7DEE2"/>
          <w:insideH w:val="single" w:sz="4" w:space="0" w:color="D7DEE2"/>
          <w:insideV w:val="single" w:sz="4" w:space="0" w:color="D7DEE2"/>
        </w:tblBorders>
      </w:tblPr>
      <w:tblGrid>
        <w:gridCol w:w="9360"/>
      </w:tblGrid>
      <w:tr>
        <w:trPr>
          <w:cantSplit/>
        </w:trPr>
        <w:tc>
          <w:tcPr>
            <w:tcW w:type="dxa" w:w="9360"/>
            <w:vAlign w:val="center"/>
            <w:tcMar>
              <w:top w:w="100" w:type="dxa"/>
              <w:start w:w="120" w:type="dxa"/>
              <w:bottom w:w="100" w:type="dxa"/>
              <w:end w:w="120" w:type="dxa"/>
            </w:tcMar>
            <w:shd w:fill="F7F9FA"/>
          </w:tcPr>
          <w:p>
            <w:pPr>
              <w:spacing w:after="0" w:line="240" w:lineRule="auto"/>
            </w:pPr>
            <w:r>
              <w:rPr>
                <w:rFonts w:ascii="DejaVu Sans Mono" w:hAnsi="DejaVu Sans Mono" w:eastAsia="DejaVu Sans Mono"/>
                <w:color w:val="16283F"/>
                <w:sz w:val="16"/>
              </w:rPr>
              <w:t>type IncomeType = 'salaried' | 'self_employed' | 'informal';</w:t>
            </w:r>
            <w:r>
              <w:br/>
            </w:r>
            <w:r>
              <w:rPr>
                <w:rFonts w:ascii="DejaVu Sans Mono" w:hAnsi="DejaVu Sans Mono" w:eastAsia="DejaVu Sans Mono"/>
                <w:color w:val="16283F"/>
                <w:sz w:val="16"/>
              </w:rPr>
              <w:t>type Verdict = 'borrow' | 'borrow_less' | 'do_not_borrow';</w:t>
            </w:r>
            <w:r>
              <w:br/>
            </w:r>
            <w:r>
              <w:rPr>
                <w:rFonts w:ascii="DejaVu Sans Mono" w:hAnsi="DejaVu Sans Mono" w:eastAsia="DejaVu Sans Mono"/>
                <w:color w:val="16283F"/>
                <w:sz w:val="16"/>
              </w:rPr>
              <w:t>type ConfidenceLevel = 'low' | 'medium' | 'high';</w:t>
            </w:r>
            <w:r>
              <w:br/>
            </w:r>
            <w:r>
              <w:rPr>
                <w:rFonts w:ascii="DejaVu Sans Mono" w:hAnsi="DejaVu Sans Mono" w:eastAsia="DejaVu Sans Mono"/>
                <w:color w:val="16283F"/>
                <w:sz w:val="16"/>
              </w:rPr>
            </w:r>
            <w:r>
              <w:br/>
            </w:r>
            <w:r>
              <w:rPr>
                <w:rFonts w:ascii="DejaVu Sans Mono" w:hAnsi="DejaVu Sans Mono" w:eastAsia="DejaVu Sans Mono"/>
                <w:color w:val="16283F"/>
                <w:sz w:val="16"/>
              </w:rPr>
              <w:t>interface MoneyRange { minimum: number; maximum: number; }</w:t>
            </w:r>
            <w:r>
              <w:br/>
            </w:r>
            <w:r>
              <w:rPr>
                <w:rFonts w:ascii="DejaVu Sans Mono" w:hAnsi="DejaVu Sans Mono" w:eastAsia="DejaVu Sans Mono"/>
                <w:color w:val="16283F"/>
                <w:sz w:val="16"/>
              </w:rPr>
            </w:r>
            <w:r>
              <w:br/>
            </w:r>
            <w:r>
              <w:rPr>
                <w:rFonts w:ascii="DejaVu Sans Mono" w:hAnsi="DejaVu Sans Mono" w:eastAsia="DejaVu Sans Mono"/>
                <w:color w:val="16283F"/>
                <w:sz w:val="16"/>
              </w:rPr>
              <w:t>interface BorrowerProfile {</w:t>
            </w:r>
            <w:r>
              <w:br/>
            </w:r>
            <w:r>
              <w:rPr>
                <w:rFonts w:ascii="DejaVu Sans Mono" w:hAnsi="DejaVu Sans Mono" w:eastAsia="DejaVu Sans Mono"/>
                <w:color w:val="16283F"/>
                <w:sz w:val="16"/>
              </w:rPr>
              <w:t xml:space="preserve">  age: number;</w:t>
            </w:r>
            <w:r>
              <w:br/>
            </w:r>
            <w:r>
              <w:rPr>
                <w:rFonts w:ascii="DejaVu Sans Mono" w:hAnsi="DejaVu Sans Mono" w:eastAsia="DejaVu Sans Mono"/>
                <w:color w:val="16283F"/>
                <w:sz w:val="16"/>
              </w:rPr>
              <w:t xml:space="preserve">  incomeType: IncomeType;</w:t>
            </w:r>
            <w:r>
              <w:br/>
            </w:r>
            <w:r>
              <w:rPr>
                <w:rFonts w:ascii="DejaVu Sans Mono" w:hAnsi="DejaVu Sans Mono" w:eastAsia="DejaVu Sans Mono"/>
                <w:color w:val="16283F"/>
                <w:sz w:val="16"/>
              </w:rPr>
              <w:t xml:space="preserve">  monthlyIncome: MoneyRange;</w:t>
            </w:r>
            <w:r>
              <w:br/>
            </w:r>
            <w:r>
              <w:rPr>
                <w:rFonts w:ascii="DejaVu Sans Mono" w:hAnsi="DejaVu Sans Mono" w:eastAsia="DejaVu Sans Mono"/>
                <w:color w:val="16283F"/>
                <w:sz w:val="16"/>
              </w:rPr>
              <w:t xml:space="preserve">  documentedMonthlyIncome?: number;</w:t>
            </w:r>
            <w:r>
              <w:br/>
            </w:r>
            <w:r>
              <w:rPr>
                <w:rFonts w:ascii="DejaVu Sans Mono" w:hAnsi="DejaVu Sans Mono" w:eastAsia="DejaVu Sans Mono"/>
                <w:color w:val="16283F"/>
                <w:sz w:val="16"/>
              </w:rPr>
              <w:t xml:space="preserve">  essentialExpenses: number;</w:t>
            </w:r>
            <w:r>
              <w:br/>
            </w:r>
            <w:r>
              <w:rPr>
                <w:rFonts w:ascii="DejaVu Sans Mono" w:hAnsi="DejaVu Sans Mono" w:eastAsia="DejaVu Sans Mono"/>
                <w:color w:val="16283F"/>
                <w:sz w:val="16"/>
              </w:rPr>
              <w:t xml:space="preserve">  existingEmis: number;</w:t>
            </w:r>
            <w:r>
              <w:br/>
            </w:r>
            <w:r>
              <w:rPr>
                <w:rFonts w:ascii="DejaVu Sans Mono" w:hAnsi="DejaVu Sans Mono" w:eastAsia="DejaVu Sans Mono"/>
                <w:color w:val="16283F"/>
                <w:sz w:val="16"/>
              </w:rPr>
              <w:t xml:space="preserve">  creditScore?: number; // undefined means unknown, never zero</w:t>
            </w:r>
            <w:r>
              <w:br/>
            </w:r>
            <w:r>
              <w:rPr>
                <w:rFonts w:ascii="DejaVu Sans Mono" w:hAnsi="DejaVu Sans Mono" w:eastAsia="DejaVu Sans Mono"/>
                <w:color w:val="16283F"/>
                <w:sz w:val="16"/>
              </w:rPr>
              <w:t xml:space="preserve">  requestedAmount: number;</w:t>
            </w:r>
            <w:r>
              <w:br/>
            </w:r>
            <w:r>
              <w:rPr>
                <w:rFonts w:ascii="DejaVu Sans Mono" w:hAnsi="DejaVu Sans Mono" w:eastAsia="DejaVu Sans Mono"/>
                <w:color w:val="16283F"/>
                <w:sz w:val="16"/>
              </w:rPr>
              <w:t xml:space="preserve">  requestedLoanType: LoanType;</w:t>
            </w:r>
            <w:r>
              <w:br/>
            </w:r>
            <w:r>
              <w:rPr>
                <w:rFonts w:ascii="DejaVu Sans Mono" w:hAnsi="DejaVu Sans Mono" w:eastAsia="DejaVu Sans Mono"/>
                <w:color w:val="16283F"/>
                <w:sz w:val="16"/>
              </w:rPr>
              <w:t xml:space="preserve">  purpose: LoanPurpose;</w:t>
            </w:r>
            <w:r>
              <w:br/>
            </w:r>
            <w:r>
              <w:rPr>
                <w:rFonts w:ascii="DejaVu Sans Mono" w:hAnsi="DejaVu Sans Mono" w:eastAsia="DejaVu Sans Mono"/>
                <w:color w:val="16283F"/>
                <w:sz w:val="16"/>
              </w:rPr>
              <w:t xml:space="preserve">  preferredTenureMonths: number;</w:t>
            </w:r>
            <w:r>
              <w:br/>
            </w:r>
            <w:r>
              <w:rPr>
                <w:rFonts w:ascii="DejaVu Sans Mono" w:hAnsi="DejaVu Sans Mono" w:eastAsia="DejaVu Sans Mono"/>
                <w:color w:val="16283F"/>
                <w:sz w:val="16"/>
              </w:rPr>
              <w:t>}</w:t>
            </w:r>
          </w:p>
        </w:tc>
      </w:tr>
    </w:tbl>
    <w:p>
      <w:pPr>
        <w:pStyle w:val="Heading2"/>
        <w:keepNext/>
        <w:keepLines/>
      </w:pPr>
      <w:r>
        <w:t>6.2 Assessment result</w:t>
      </w:r>
    </w:p>
    <w:tbl>
      <w:tblPr>
        <w:tblW w:type="dxa" w:w="9360"/>
        <w:jc w:val="left"/>
        <w:tblLayout w:type="fixed"/>
        <w:tblLook w:firstColumn="1" w:firstRow="1" w:lastColumn="0" w:lastRow="0" w:noHBand="0" w:noVBand="1" w:val="04A0"/>
        <w:tblInd w:w="120" w:type="dxa"/>
        <w:tblBorders>
          <w:top w:val="single" w:sz="4" w:space="0" w:color="D7DEE2"/>
          <w:left w:val="single" w:sz="4" w:space="0" w:color="D7DEE2"/>
          <w:bottom w:val="single" w:sz="4" w:space="0" w:color="D7DEE2"/>
          <w:right w:val="single" w:sz="4" w:space="0" w:color="D7DEE2"/>
          <w:insideH w:val="single" w:sz="4" w:space="0" w:color="D7DEE2"/>
          <w:insideV w:val="single" w:sz="4" w:space="0" w:color="D7DEE2"/>
        </w:tblBorders>
      </w:tblPr>
      <w:tblGrid>
        <w:gridCol w:w="9360"/>
      </w:tblGrid>
      <w:tr>
        <w:trPr>
          <w:cantSplit/>
        </w:trPr>
        <w:tc>
          <w:tcPr>
            <w:tcW w:type="dxa" w:w="9360"/>
            <w:vAlign w:val="center"/>
            <w:tcMar>
              <w:top w:w="100" w:type="dxa"/>
              <w:start w:w="120" w:type="dxa"/>
              <w:bottom w:w="100" w:type="dxa"/>
              <w:end w:w="120" w:type="dxa"/>
            </w:tcMar>
            <w:shd w:fill="F7F9FA"/>
          </w:tcPr>
          <w:p>
            <w:pPr>
              <w:spacing w:after="0" w:line="240" w:lineRule="auto"/>
            </w:pPr>
            <w:r>
              <w:rPr>
                <w:rFonts w:ascii="DejaVu Sans Mono" w:hAnsi="DejaVu Sans Mono" w:eastAsia="DejaVu Sans Mono"/>
                <w:color w:val="16283F"/>
                <w:sz w:val="16"/>
              </w:rPr>
              <w:t>interface BorrowerAssessment {</w:t>
            </w:r>
            <w:r>
              <w:br/>
            </w:r>
            <w:r>
              <w:rPr>
                <w:rFonts w:ascii="DejaVu Sans Mono" w:hAnsi="DejaVu Sans Mono" w:eastAsia="DejaVu Sans Mono"/>
                <w:color w:val="16283F"/>
                <w:sz w:val="16"/>
              </w:rPr>
              <w:t xml:space="preserve">  verdict: VerdictResult;</w:t>
            </w:r>
            <w:r>
              <w:br/>
            </w:r>
            <w:r>
              <w:rPr>
                <w:rFonts w:ascii="DejaVu Sans Mono" w:hAnsi="DejaVu Sans Mono" w:eastAsia="DejaVu Sans Mono"/>
                <w:color w:val="16283F"/>
                <w:sz w:val="16"/>
              </w:rPr>
              <w:t xml:space="preserve">  eligibility: {</w:t>
            </w:r>
            <w:r>
              <w:br/>
            </w:r>
            <w:r>
              <w:rPr>
                <w:rFonts w:ascii="DejaVu Sans Mono" w:hAnsi="DejaVu Sans Mono" w:eastAsia="DejaVu Sans Mono"/>
                <w:color w:val="16283F"/>
                <w:sz w:val="16"/>
              </w:rPr>
              <w:t xml:space="preserve">    likelyLenderAmount: MoneyRange;</w:t>
            </w:r>
            <w:r>
              <w:br/>
            </w:r>
            <w:r>
              <w:rPr>
                <w:rFonts w:ascii="DejaVu Sans Mono" w:hAnsi="DejaVu Sans Mono" w:eastAsia="DejaVu Sans Mono"/>
                <w:color w:val="16283F"/>
                <w:sz w:val="16"/>
              </w:rPr>
              <w:t xml:space="preserve">    safeBorrowingAmount: MoneyRange;</w:t>
            </w:r>
            <w:r>
              <w:br/>
            </w:r>
            <w:r>
              <w:rPr>
                <w:rFonts w:ascii="DejaVu Sans Mono" w:hAnsi="DejaVu Sans Mono" w:eastAsia="DejaVu Sans Mono"/>
                <w:color w:val="16283F"/>
                <w:sz w:val="16"/>
              </w:rPr>
              <w:t xml:space="preserve">    recommendedAmount: number;</w:t>
            </w:r>
            <w:r>
              <w:br/>
            </w:r>
            <w:r>
              <w:rPr>
                <w:rFonts w:ascii="DejaVu Sans Mono" w:hAnsi="DejaVu Sans Mono" w:eastAsia="DejaVu Sans Mono"/>
                <w:color w:val="16283F"/>
                <w:sz w:val="16"/>
              </w:rPr>
              <w:t xml:space="preserve">    explanation: string;</w:t>
            </w:r>
            <w:r>
              <w:br/>
            </w:r>
            <w:r>
              <w:rPr>
                <w:rFonts w:ascii="DejaVu Sans Mono" w:hAnsi="DejaVu Sans Mono" w:eastAsia="DejaVu Sans Mono"/>
                <w:color w:val="16283F"/>
                <w:sz w:val="16"/>
              </w:rPr>
              <w:t xml:space="preserve">  };</w:t>
            </w:r>
            <w:r>
              <w:br/>
            </w:r>
            <w:r>
              <w:rPr>
                <w:rFonts w:ascii="DejaVu Sans Mono" w:hAnsi="DejaVu Sans Mono" w:eastAsia="DejaVu Sans Mono"/>
                <w:color w:val="16283F"/>
                <w:sz w:val="16"/>
              </w:rPr>
              <w:t xml:space="preserve">  pricing: { interestRate: RateRange; estimatedApr: RateRange; };</w:t>
            </w:r>
            <w:r>
              <w:br/>
            </w:r>
            <w:r>
              <w:rPr>
                <w:rFonts w:ascii="DejaVu Sans Mono" w:hAnsi="DejaVu Sans Mono" w:eastAsia="DejaVu Sans Mono"/>
                <w:color w:val="16283F"/>
                <w:sz w:val="16"/>
              </w:rPr>
              <w:t xml:space="preserve">  repayment: { recommendedEmiCeiling: number; options: TenureOption[]; };</w:t>
            </w:r>
            <w:r>
              <w:br/>
            </w:r>
            <w:r>
              <w:rPr>
                <w:rFonts w:ascii="DejaVu Sans Mono" w:hAnsi="DejaVu Sans Mono" w:eastAsia="DejaVu Sans Mono"/>
                <w:color w:val="16283F"/>
                <w:sz w:val="16"/>
              </w:rPr>
              <w:t xml:space="preserve">  recommendedProduct: LoanType;</w:t>
            </w:r>
            <w:r>
              <w:br/>
            </w:r>
            <w:r>
              <w:rPr>
                <w:rFonts w:ascii="DejaVu Sans Mono" w:hAnsi="DejaVu Sans Mono" w:eastAsia="DejaVu Sans Mono"/>
                <w:color w:val="16283F"/>
                <w:sz w:val="16"/>
              </w:rPr>
              <w:t xml:space="preserve">  stressTest: StressTestResult;</w:t>
            </w:r>
            <w:r>
              <w:br/>
            </w:r>
            <w:r>
              <w:rPr>
                <w:rFonts w:ascii="DejaVu Sans Mono" w:hAnsi="DejaVu Sans Mono" w:eastAsia="DejaVu Sans Mono"/>
                <w:color w:val="16283F"/>
                <w:sz w:val="16"/>
              </w:rPr>
              <w:t xml:space="preserve">  confidence: ConfidenceResult;</w:t>
            </w:r>
            <w:r>
              <w:br/>
            </w:r>
            <w:r>
              <w:rPr>
                <w:rFonts w:ascii="DejaVu Sans Mono" w:hAnsi="DejaVu Sans Mono" w:eastAsia="DejaVu Sans Mono"/>
                <w:color w:val="16283F"/>
                <w:sz w:val="16"/>
              </w:rPr>
              <w:t xml:space="preserve">  ruleTraces: RuleTrace[];</w:t>
            </w:r>
            <w:r>
              <w:br/>
            </w:r>
            <w:r>
              <w:rPr>
                <w:rFonts w:ascii="DejaVu Sans Mono" w:hAnsi="DejaVu Sans Mono" w:eastAsia="DejaVu Sans Mono"/>
                <w:color w:val="16283F"/>
                <w:sz w:val="16"/>
              </w:rPr>
              <w:t>}</w:t>
            </w:r>
          </w:p>
        </w:tc>
      </w:tr>
    </w:tbl>
    <w:p>
      <w:pPr>
        <w:pStyle w:val="Heading2"/>
        <w:keepNext/>
        <w:keepLines/>
      </w:pPr>
      <w:r>
        <w:t>6.3 Application state</w:t>
      </w:r>
    </w:p>
    <w:p>
      <w:pPr>
        <w:spacing w:before="0" w:after="120" w:line="264" w:lineRule="auto"/>
      </w:pPr>
      <w:r>
        <w:rPr>
          <w:rFonts w:ascii="DejaVu Sans" w:hAnsi="DejaVu Sans" w:eastAsia="DejaVu Sans"/>
          <w:b w:val="0"/>
          <w:i w:val="0"/>
          <w:color w:val="17202A"/>
          <w:sz w:val="22"/>
        </w:rPr>
        <w:t>Use React Context plus useReducer. This makes transitions explicit without introducing a global-state dependency for a small, linear application.</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2400"/>
        <w:gridCol w:w="6960"/>
      </w:tblGrid>
      <w:tr>
        <w:trPr>
          <w:tblHeader w:val="true"/>
          <w:cantSplit/>
        </w:trPr>
        <w:tc>
          <w:tcPr>
            <w:tcW w:type="dxa" w:w="240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State field</w:t>
            </w:r>
          </w:p>
        </w:tc>
        <w:tc>
          <w:tcPr>
            <w:tcW w:type="dxa" w:w="696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Purpose</w:t>
            </w:r>
          </w:p>
        </w:tc>
      </w:tr>
      <w:tr>
        <w:trPr>
          <w:cantSplit/>
        </w:trPr>
        <w:tc>
          <w:tcPr>
            <w:tcW w:type="dxa" w:w="24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phase</w:t>
            </w:r>
          </w:p>
        </w:tc>
        <w:tc>
          <w:tcPr>
            <w:tcW w:type="dxa" w:w="69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landing | essential | initial_result | refinement | results | card</w:t>
            </w:r>
          </w:p>
        </w:tc>
      </w:tr>
      <w:tr>
        <w:trPr>
          <w:cantSplit/>
        </w:trPr>
        <w:tc>
          <w:tcPr>
            <w:tcW w:type="dxa" w:w="24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answers</w:t>
            </w:r>
          </w:p>
        </w:tc>
        <w:tc>
          <w:tcPr>
            <w:tcW w:type="dxa" w:w="69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Current borrower-provided values, held in memory only</w:t>
            </w:r>
          </w:p>
        </w:tc>
      </w:tr>
      <w:tr>
        <w:trPr>
          <w:cantSplit/>
        </w:trPr>
        <w:tc>
          <w:tcPr>
            <w:tcW w:type="dxa" w:w="24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currentQuestionId</w:t>
            </w:r>
          </w:p>
        </w:tc>
        <w:tc>
          <w:tcPr>
            <w:tcW w:type="dxa" w:w="69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Stable navigation key, not an array index</w:t>
            </w:r>
          </w:p>
        </w:tc>
      </w:tr>
      <w:tr>
        <w:trPr>
          <w:cantSplit/>
        </w:trPr>
        <w:tc>
          <w:tcPr>
            <w:tcW w:type="dxa" w:w="24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completedQuestionIds</w:t>
            </w:r>
          </w:p>
        </w:tc>
        <w:tc>
          <w:tcPr>
            <w:tcW w:type="dxa" w:w="69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Progress calculation and back navigation</w:t>
            </w:r>
          </w:p>
        </w:tc>
      </w:tr>
      <w:tr>
        <w:trPr>
          <w:cantSplit/>
        </w:trPr>
        <w:tc>
          <w:tcPr>
            <w:tcW w:type="dxa" w:w="24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assessment</w:t>
            </w:r>
          </w:p>
        </w:tc>
        <w:tc>
          <w:tcPr>
            <w:tcW w:type="dxa" w:w="69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Most recently calculated immutable assessment output</w:t>
            </w:r>
          </w:p>
        </w:tc>
      </w:tr>
    </w:tbl>
    <w:p>
      <w:r>
        <w:br w:type="page"/>
      </w:r>
    </w:p>
    <w:p>
      <w:pPr>
        <w:pStyle w:val="Heading1"/>
        <w:keepNext/>
        <w:keepLines/>
      </w:pPr>
      <w:r>
        <w:t>7. Adaptive questionnaire engine</w:t>
      </w:r>
    </w:p>
    <w:tbl>
      <w:tblPr>
        <w:tblW w:type="dxa" w:w="9360"/>
        <w:jc w:val="left"/>
        <w:tblLayout w:type="fixed"/>
        <w:tblLook w:firstColumn="1" w:firstRow="1" w:lastColumn="0" w:lastRow="0" w:noHBand="0" w:noVBand="1" w:val="04A0"/>
        <w:tblInd w:w="120" w:type="dxa"/>
        <w:tblBorders>
          <w:top w:val="single" w:sz="2" w:space="0" w:color="FBF4E3"/>
          <w:left w:val="single" w:sz="2" w:space="0" w:color="FBF4E3"/>
          <w:bottom w:val="single" w:sz="2" w:space="0" w:color="FBF4E3"/>
          <w:right w:val="single" w:sz="2" w:space="0" w:color="FBF4E3"/>
          <w:insideH w:val="single" w:sz="2" w:space="0" w:color="FBF4E3"/>
          <w:insideV w:val="single" w:sz="2" w:space="0" w:color="FBF4E3"/>
        </w:tblBorders>
      </w:tblPr>
      <w:tblGrid>
        <w:gridCol w:w="9360"/>
      </w:tblGrid>
      <w:tr>
        <w:trPr>
          <w:cantSplit/>
        </w:trPr>
        <w:tc>
          <w:tcPr>
            <w:tcW w:type="dxa" w:w="9360"/>
            <w:vAlign w:val="center"/>
            <w:tcMar>
              <w:top w:w="100" w:type="dxa"/>
              <w:start w:w="120" w:type="dxa"/>
              <w:bottom w:w="100" w:type="dxa"/>
              <w:end w:w="120" w:type="dxa"/>
            </w:tcMar>
            <w:shd w:fill="FBF4E3"/>
          </w:tcPr>
          <w:p>
            <w:pPr>
              <w:spacing w:before="40" w:after="40" w:line="264" w:lineRule="auto"/>
            </w:pPr>
            <w:r>
              <w:rPr>
                <w:rFonts w:ascii="DejaVu Sans" w:hAnsi="DejaVu Sans" w:eastAsia="DejaVu Sans"/>
                <w:b/>
                <w:color w:val="8A6500"/>
                <w:sz w:val="18"/>
              </w:rPr>
              <w:t xml:space="preserve">QUESTION ADMISSION RULE  </w:t>
            </w:r>
            <w:r>
              <w:rPr>
                <w:rFonts w:ascii="DejaVu Sans" w:hAnsi="DejaVu Sans" w:eastAsia="DejaVu Sans"/>
                <w:color w:val="17202A"/>
                <w:sz w:val="20"/>
              </w:rPr>
              <w:t>Every additional question must identify the output it changes. If it does not change a range, product route, verdict, stress result or confidence, remove it.</w:t>
            </w:r>
          </w:p>
        </w:tc>
      </w:tr>
    </w:tbl>
    <w:p>
      <w:pPr>
        <w:pStyle w:val="Heading2"/>
        <w:keepNext/>
        <w:keepLines/>
      </w:pPr>
      <w:r>
        <w:t>7.1 Question schema</w:t>
      </w:r>
    </w:p>
    <w:tbl>
      <w:tblPr>
        <w:tblW w:type="dxa" w:w="9360"/>
        <w:jc w:val="left"/>
        <w:tblLayout w:type="fixed"/>
        <w:tblLook w:firstColumn="1" w:firstRow="1" w:lastColumn="0" w:lastRow="0" w:noHBand="0" w:noVBand="1" w:val="04A0"/>
        <w:tblInd w:w="120" w:type="dxa"/>
        <w:tblBorders>
          <w:top w:val="single" w:sz="4" w:space="0" w:color="D7DEE2"/>
          <w:left w:val="single" w:sz="4" w:space="0" w:color="D7DEE2"/>
          <w:bottom w:val="single" w:sz="4" w:space="0" w:color="D7DEE2"/>
          <w:right w:val="single" w:sz="4" w:space="0" w:color="D7DEE2"/>
          <w:insideH w:val="single" w:sz="4" w:space="0" w:color="D7DEE2"/>
          <w:insideV w:val="single" w:sz="4" w:space="0" w:color="D7DEE2"/>
        </w:tblBorders>
      </w:tblPr>
      <w:tblGrid>
        <w:gridCol w:w="9360"/>
      </w:tblGrid>
      <w:tr>
        <w:trPr>
          <w:cantSplit/>
        </w:trPr>
        <w:tc>
          <w:tcPr>
            <w:tcW w:type="dxa" w:w="9360"/>
            <w:vAlign w:val="center"/>
            <w:tcMar>
              <w:top w:w="100" w:type="dxa"/>
              <w:start w:w="120" w:type="dxa"/>
              <w:bottom w:w="100" w:type="dxa"/>
              <w:end w:w="120" w:type="dxa"/>
            </w:tcMar>
            <w:shd w:fill="F7F9FA"/>
          </w:tcPr>
          <w:p>
            <w:pPr>
              <w:spacing w:after="0" w:line="240" w:lineRule="auto"/>
            </w:pPr>
            <w:r>
              <w:rPr>
                <w:rFonts w:ascii="DejaVu Sans Mono" w:hAnsi="DejaVu Sans Mono" w:eastAsia="DejaVu Sans Mono"/>
                <w:color w:val="16283F"/>
                <w:sz w:val="16"/>
              </w:rPr>
              <w:t>interface QuestionDefinition {</w:t>
            </w:r>
            <w:r>
              <w:br/>
            </w:r>
            <w:r>
              <w:rPr>
                <w:rFonts w:ascii="DejaVu Sans Mono" w:hAnsi="DejaVu Sans Mono" w:eastAsia="DejaVu Sans Mono"/>
                <w:color w:val="16283F"/>
                <w:sz w:val="16"/>
              </w:rPr>
              <w:t xml:space="preserve">  id: string;</w:t>
            </w:r>
            <w:r>
              <w:br/>
            </w:r>
            <w:r>
              <w:rPr>
                <w:rFonts w:ascii="DejaVu Sans Mono" w:hAnsi="DejaVu Sans Mono" w:eastAsia="DejaVu Sans Mono"/>
                <w:color w:val="16283F"/>
                <w:sz w:val="16"/>
              </w:rPr>
              <w:t xml:space="preserve">  tier: 'essential' | 'additional';</w:t>
            </w:r>
            <w:r>
              <w:br/>
            </w:r>
            <w:r>
              <w:rPr>
                <w:rFonts w:ascii="DejaVu Sans Mono" w:hAnsi="DejaVu Sans Mono" w:eastAsia="DejaVu Sans Mono"/>
                <w:color w:val="16283F"/>
                <w:sz w:val="16"/>
              </w:rPr>
              <w:t xml:space="preserve">  label: string;</w:t>
            </w:r>
            <w:r>
              <w:br/>
            </w:r>
            <w:r>
              <w:rPr>
                <w:rFonts w:ascii="DejaVu Sans Mono" w:hAnsi="DejaVu Sans Mono" w:eastAsia="DejaVu Sans Mono"/>
                <w:color w:val="16283F"/>
                <w:sz w:val="16"/>
              </w:rPr>
              <w:t xml:space="preserve">  helpText: string;</w:t>
            </w:r>
            <w:r>
              <w:br/>
            </w:r>
            <w:r>
              <w:rPr>
                <w:rFonts w:ascii="DejaVu Sans Mono" w:hAnsi="DejaVu Sans Mono" w:eastAsia="DejaVu Sans Mono"/>
                <w:color w:val="16283F"/>
                <w:sz w:val="16"/>
              </w:rPr>
              <w:t xml:space="preserve">  type: 'currency' | 'number' | 'choice' | 'range' | 'boolean';</w:t>
            </w:r>
            <w:r>
              <w:br/>
            </w:r>
            <w:r>
              <w:rPr>
                <w:rFonts w:ascii="DejaVu Sans Mono" w:hAnsi="DejaVu Sans Mono" w:eastAsia="DejaVu Sans Mono"/>
                <w:color w:val="16283F"/>
                <w:sz w:val="16"/>
              </w:rPr>
              <w:t xml:space="preserve">  required: boolean;</w:t>
            </w:r>
            <w:r>
              <w:br/>
            </w:r>
            <w:r>
              <w:rPr>
                <w:rFonts w:ascii="DejaVu Sans Mono" w:hAnsi="DejaVu Sans Mono" w:eastAsia="DejaVu Sans Mono"/>
                <w:color w:val="16283F"/>
                <w:sz w:val="16"/>
              </w:rPr>
              <w:t xml:space="preserve">  unknownAllowed?: boolean;</w:t>
            </w:r>
            <w:r>
              <w:br/>
            </w:r>
            <w:r>
              <w:rPr>
                <w:rFonts w:ascii="DejaVu Sans Mono" w:hAnsi="DejaVu Sans Mono" w:eastAsia="DejaVu Sans Mono"/>
                <w:color w:val="16283F"/>
                <w:sz w:val="16"/>
              </w:rPr>
              <w:t xml:space="preserve">  appliesWhen?: (answers: BorrowerAnswers) =&gt; boolean;</w:t>
            </w:r>
            <w:r>
              <w:br/>
            </w:r>
            <w:r>
              <w:rPr>
                <w:rFonts w:ascii="DejaVu Sans Mono" w:hAnsi="DejaVu Sans Mono" w:eastAsia="DejaVu Sans Mono"/>
                <w:color w:val="16283F"/>
                <w:sz w:val="16"/>
              </w:rPr>
              <w:t xml:space="preserve">  impactAreas: ('verdict' | 'eligibility' | 'rate' | 'emi' | 'confidence')[];</w:t>
            </w:r>
            <w:r>
              <w:br/>
            </w:r>
            <w:r>
              <w:rPr>
                <w:rFonts w:ascii="DejaVu Sans Mono" w:hAnsi="DejaVu Sans Mono" w:eastAsia="DejaVu Sans Mono"/>
                <w:color w:val="16283F"/>
                <w:sz w:val="16"/>
              </w:rPr>
              <w:t>}</w:t>
            </w:r>
          </w:p>
        </w:tc>
      </w:tr>
    </w:tbl>
    <w:p>
      <w:pPr>
        <w:pStyle w:val="Heading2"/>
        <w:keepNext/>
        <w:keepLines/>
      </w:pPr>
      <w:r>
        <w:t>7.2 Essential set</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800"/>
        <w:gridCol w:w="4350"/>
        <w:gridCol w:w="3210"/>
      </w:tblGrid>
      <w:tr>
        <w:trPr>
          <w:tblHeader w:val="true"/>
          <w:cantSplit/>
        </w:trPr>
        <w:tc>
          <w:tcPr>
            <w:tcW w:type="dxa" w:w="18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ID</w:t>
            </w:r>
          </w:p>
        </w:tc>
        <w:tc>
          <w:tcPr>
            <w:tcW w:type="dxa" w:w="435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Question</w:t>
            </w:r>
          </w:p>
        </w:tc>
        <w:tc>
          <w:tcPr>
            <w:tcW w:type="dxa" w:w="321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Primary output impact</w:t>
            </w:r>
          </w:p>
        </w:tc>
      </w:tr>
      <w:tr>
        <w:trPr>
          <w:cantSplit/>
        </w:trPr>
        <w:tc>
          <w:tcPr>
            <w:tcW w:type="dxa" w:w="18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loan_purpose</w:t>
            </w:r>
          </w:p>
        </w:tc>
        <w:tc>
          <w:tcPr>
            <w:tcW w:type="dxa" w:w="43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What will the loan be used for?</w:t>
            </w:r>
          </w:p>
        </w:tc>
        <w:tc>
          <w:tcPr>
            <w:tcW w:type="dxa" w:w="32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Verdict and product route</w:t>
            </w:r>
          </w:p>
        </w:tc>
      </w:tr>
      <w:tr>
        <w:trPr>
          <w:cantSplit/>
        </w:trPr>
        <w:tc>
          <w:tcPr>
            <w:tcW w:type="dxa" w:w="18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loan_type</w:t>
            </w:r>
          </w:p>
        </w:tc>
        <w:tc>
          <w:tcPr>
            <w:tcW w:type="dxa" w:w="435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Which product is being considered?</w:t>
            </w:r>
          </w:p>
        </w:tc>
        <w:tc>
          <w:tcPr>
            <w:tcW w:type="dxa" w:w="32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Pricing and eligibility</w:t>
            </w:r>
          </w:p>
        </w:tc>
      </w:tr>
      <w:tr>
        <w:trPr>
          <w:cantSplit/>
        </w:trPr>
        <w:tc>
          <w:tcPr>
            <w:tcW w:type="dxa" w:w="18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requested_amount</w:t>
            </w:r>
          </w:p>
        </w:tc>
        <w:tc>
          <w:tcPr>
            <w:tcW w:type="dxa" w:w="43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How much is requested?</w:t>
            </w:r>
          </w:p>
        </w:tc>
        <w:tc>
          <w:tcPr>
            <w:tcW w:type="dxa" w:w="32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Verdict, amount and EMI</w:t>
            </w:r>
          </w:p>
        </w:tc>
      </w:tr>
      <w:tr>
        <w:trPr>
          <w:cantSplit/>
        </w:trPr>
        <w:tc>
          <w:tcPr>
            <w:tcW w:type="dxa" w:w="18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age</w:t>
            </w:r>
          </w:p>
        </w:tc>
        <w:tc>
          <w:tcPr>
            <w:tcW w:type="dxa" w:w="435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What is the borrower's age?</w:t>
            </w:r>
          </w:p>
        </w:tc>
        <w:tc>
          <w:tcPr>
            <w:tcW w:type="dxa" w:w="32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Tenure and eligibility</w:t>
            </w:r>
          </w:p>
        </w:tc>
      </w:tr>
      <w:tr>
        <w:trPr>
          <w:cantSplit/>
        </w:trPr>
        <w:tc>
          <w:tcPr>
            <w:tcW w:type="dxa" w:w="18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income_type</w:t>
            </w:r>
          </w:p>
        </w:tc>
        <w:tc>
          <w:tcPr>
            <w:tcW w:type="dxa" w:w="43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How is income earned?</w:t>
            </w:r>
          </w:p>
        </w:tc>
        <w:tc>
          <w:tcPr>
            <w:tcW w:type="dxa" w:w="32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Branching, income basis and confidence</w:t>
            </w:r>
          </w:p>
        </w:tc>
      </w:tr>
      <w:tr>
        <w:trPr>
          <w:cantSplit/>
        </w:trPr>
        <w:tc>
          <w:tcPr>
            <w:tcW w:type="dxa" w:w="18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monthly_income</w:t>
            </w:r>
          </w:p>
        </w:tc>
        <w:tc>
          <w:tcPr>
            <w:tcW w:type="dxa" w:w="435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What is net monthly income or its range?</w:t>
            </w:r>
          </w:p>
        </w:tc>
        <w:tc>
          <w:tcPr>
            <w:tcW w:type="dxa" w:w="32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Amount and EMI</w:t>
            </w:r>
          </w:p>
        </w:tc>
      </w:tr>
      <w:tr>
        <w:trPr>
          <w:cantSplit/>
        </w:trPr>
        <w:tc>
          <w:tcPr>
            <w:tcW w:type="dxa" w:w="18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existing_emis</w:t>
            </w:r>
          </w:p>
        </w:tc>
        <w:tc>
          <w:tcPr>
            <w:tcW w:type="dxa" w:w="43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What is already paid monthly toward debt?</w:t>
            </w:r>
          </w:p>
        </w:tc>
        <w:tc>
          <w:tcPr>
            <w:tcW w:type="dxa" w:w="32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FOIR and safe capacity</w:t>
            </w:r>
          </w:p>
        </w:tc>
      </w:tr>
      <w:tr>
        <w:trPr>
          <w:cantSplit/>
        </w:trPr>
        <w:tc>
          <w:tcPr>
            <w:tcW w:type="dxa" w:w="18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essential_expenses</w:t>
            </w:r>
          </w:p>
        </w:tc>
        <w:tc>
          <w:tcPr>
            <w:tcW w:type="dxa" w:w="435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What are essential monthly household costs?</w:t>
            </w:r>
          </w:p>
        </w:tc>
        <w:tc>
          <w:tcPr>
            <w:tcW w:type="dxa" w:w="32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Safe capacity</w:t>
            </w:r>
          </w:p>
        </w:tc>
      </w:tr>
      <w:tr>
        <w:trPr>
          <w:cantSplit/>
        </w:trPr>
        <w:tc>
          <w:tcPr>
            <w:tcW w:type="dxa" w:w="18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credit_score</w:t>
            </w:r>
          </w:p>
        </w:tc>
        <w:tc>
          <w:tcPr>
            <w:tcW w:type="dxa" w:w="43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What score or approximate band is known?</w:t>
            </w:r>
          </w:p>
        </w:tc>
        <w:tc>
          <w:tcPr>
            <w:tcW w:type="dxa" w:w="32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Pricing and confidence</w:t>
            </w:r>
          </w:p>
        </w:tc>
      </w:tr>
      <w:tr>
        <w:trPr>
          <w:cantSplit/>
        </w:trPr>
        <w:tc>
          <w:tcPr>
            <w:tcW w:type="dxa" w:w="18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preferred_tenure</w:t>
            </w:r>
          </w:p>
        </w:tc>
        <w:tc>
          <w:tcPr>
            <w:tcW w:type="dxa" w:w="435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What tenure is being considered?</w:t>
            </w:r>
          </w:p>
        </w:tc>
        <w:tc>
          <w:tcPr>
            <w:tcW w:type="dxa" w:w="32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EMI and total cost</w:t>
            </w:r>
          </w:p>
        </w:tc>
      </w:tr>
    </w:tbl>
    <w:p>
      <w:r>
        <w:br w:type="page"/>
      </w:r>
    </w:p>
    <w:p>
      <w:pPr>
        <w:pStyle w:val="Heading2"/>
        <w:keepNext/>
        <w:keepLines/>
      </w:pPr>
      <w:r>
        <w:t>7.3 Branching strategy</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2000"/>
        <w:gridCol w:w="7360"/>
      </w:tblGrid>
      <w:tr>
        <w:trPr>
          <w:tblHeader w:val="true"/>
          <w:cantSplit/>
        </w:trPr>
        <w:tc>
          <w:tcPr>
            <w:tcW w:type="dxa" w:w="200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Income path</w:t>
            </w:r>
          </w:p>
        </w:tc>
        <w:tc>
          <w:tcPr>
            <w:tcW w:type="dxa" w:w="736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Relevant additional evidence</w:t>
            </w:r>
          </w:p>
        </w:tc>
      </w:tr>
      <w:tr>
        <w:trPr>
          <w:cantSplit/>
        </w:trPr>
        <w:tc>
          <w:tcPr>
            <w:tcW w:type="dxa" w:w="20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Salaried</w:t>
            </w:r>
          </w:p>
        </w:tc>
        <w:tc>
          <w:tcPr>
            <w:tcW w:type="dxa" w:w="73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Current-job tenure, total experience, fixed/variable salary, employer stability, savings</w:t>
            </w:r>
          </w:p>
        </w:tc>
      </w:tr>
      <w:tr>
        <w:trPr>
          <w:cantSplit/>
        </w:trPr>
        <w:tc>
          <w:tcPr>
            <w:tcW w:type="dxa" w:w="20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Self-employed</w:t>
            </w:r>
          </w:p>
        </w:tc>
        <w:tc>
          <w:tcPr>
            <w:tcW w:type="dxa" w:w="73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Business vintage, income range, ITR income, bank visibility, collateral, productive return</w:t>
            </w:r>
          </w:p>
        </w:tc>
      </w:tr>
      <w:tr>
        <w:trPr>
          <w:cantSplit/>
        </w:trPr>
        <w:tc>
          <w:tcPr>
            <w:tcW w:type="dxa" w:w="20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Informal</w:t>
            </w:r>
          </w:p>
        </w:tc>
        <w:tc>
          <w:tcPr>
            <w:tcW w:type="dxa" w:w="73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Lower income range, multiple sources, banked share, dependents, app loans, recent bounces</w:t>
            </w:r>
          </w:p>
        </w:tc>
      </w:tr>
    </w:tbl>
    <w:p>
      <w:pPr>
        <w:pStyle w:val="Heading1"/>
        <w:keepNext/>
        <w:keepLines/>
      </w:pPr>
      <w:r>
        <w:t>8. Assessment pipeline</w:t>
      </w:r>
    </w:p>
    <w:p>
      <w:pPr>
        <w:jc w:val="center"/>
      </w:pPr>
      <w:r>
        <w:drawing>
          <wp:inline xmlns:a="http://schemas.openxmlformats.org/drawingml/2006/main" xmlns:pic="http://schemas.openxmlformats.org/drawingml/2006/picture">
            <wp:extent cx="5989320" cy="2668758"/>
            <wp:docPr id="3" name="Picture 3" descr="Deterministic assessment pipeline from validation and usable-income derivation through risk, product routing, limits, pricing, stress, confidence and final borrower outputs." title="Deterministic assessment pipeline from validation and usable-income derivation through risk, product routing, limits, pricing, stress, confidence and final borrower outputs."/>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989320" cy="2668758"/>
                    </a:xfrm>
                    <a:prstGeom prst="rect"/>
                  </pic:spPr>
                </pic:pic>
              </a:graphicData>
            </a:graphic>
          </wp:inline>
        </w:drawing>
      </w:r>
    </w:p>
    <w:p>
      <w:pPr>
        <w:spacing w:before="0" w:after="200" w:line="264" w:lineRule="auto"/>
        <w:jc w:val="center"/>
      </w:pPr>
      <w:r>
        <w:rPr>
          <w:rFonts w:ascii="DejaVu Sans" w:hAnsi="DejaVu Sans" w:eastAsia="DejaVu Sans"/>
          <w:b w:val="0"/>
          <w:i/>
          <w:color w:val="667085"/>
          <w:sz w:val="17"/>
        </w:rPr>
        <w:t>Figure 3. One deterministic pipeline produces every screen and document output.</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700"/>
        <w:gridCol w:w="3850"/>
        <w:gridCol w:w="3810"/>
      </w:tblGrid>
      <w:tr>
        <w:trPr>
          <w:tblHeader w:val="true"/>
          <w:cantSplit/>
        </w:trPr>
        <w:tc>
          <w:tcPr>
            <w:tcW w:type="dxa" w:w="17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Stage</w:t>
            </w:r>
          </w:p>
        </w:tc>
        <w:tc>
          <w:tcPr>
            <w:tcW w:type="dxa" w:w="385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Input</w:t>
            </w:r>
          </w:p>
        </w:tc>
        <w:tc>
          <w:tcPr>
            <w:tcW w:type="dxa" w:w="381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Output</w:t>
            </w:r>
          </w:p>
        </w:tc>
      </w:tr>
      <w:tr>
        <w:trPr>
          <w:cantSplit/>
        </w:trPr>
        <w:tc>
          <w:tcPr>
            <w:tcW w:type="dxa" w:w="17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1. Normalize</w:t>
            </w:r>
          </w:p>
        </w:tc>
        <w:tc>
          <w:tcPr>
            <w:tcW w:type="dxa" w:w="38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Raw form answers</w:t>
            </w:r>
          </w:p>
        </w:tc>
        <w:tc>
          <w:tcPr>
            <w:tcW w:type="dxa" w:w="38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Validated BorrowerProfile plus explicit unknowns</w:t>
            </w:r>
          </w:p>
        </w:tc>
      </w:tr>
      <w:tr>
        <w:trPr>
          <w:cantSplit/>
        </w:trPr>
        <w:tc>
          <w:tcPr>
            <w:tcW w:type="dxa" w:w="17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2. Income basis</w:t>
            </w:r>
          </w:p>
        </w:tc>
        <w:tc>
          <w:tcPr>
            <w:tcW w:type="dxa" w:w="385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Income range, type and documentation</w:t>
            </w:r>
          </w:p>
        </w:tc>
        <w:tc>
          <w:tcPr>
            <w:tcW w:type="dxa" w:w="38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Conservative usable-income range and reason</w:t>
            </w:r>
          </w:p>
        </w:tc>
      </w:tr>
      <w:tr>
        <w:trPr>
          <w:cantSplit/>
        </w:trPr>
        <w:tc>
          <w:tcPr>
            <w:tcW w:type="dxa" w:w="17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3. Risk and product</w:t>
            </w:r>
          </w:p>
        </w:tc>
        <w:tc>
          <w:tcPr>
            <w:tcW w:type="dxa" w:w="38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Debts, repayment events, purpose and collateral</w:t>
            </w:r>
          </w:p>
        </w:tc>
        <w:tc>
          <w:tcPr>
            <w:tcW w:type="dxa" w:w="38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Risk flags and candidate product</w:t>
            </w:r>
          </w:p>
        </w:tc>
      </w:tr>
      <w:tr>
        <w:trPr>
          <w:cantSplit/>
        </w:trPr>
        <w:tc>
          <w:tcPr>
            <w:tcW w:type="dxa" w:w="17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4. Limits</w:t>
            </w:r>
          </w:p>
        </w:tc>
        <w:tc>
          <w:tcPr>
            <w:tcW w:type="dxa" w:w="385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Income, obligations, expenses and FOIR rules</w:t>
            </w:r>
          </w:p>
        </w:tc>
        <w:tc>
          <w:tcPr>
            <w:tcW w:type="dxa" w:w="38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Lender capacity and borrower-safe capacity</w:t>
            </w:r>
          </w:p>
        </w:tc>
      </w:tr>
      <w:tr>
        <w:trPr>
          <w:cantSplit/>
        </w:trPr>
        <w:tc>
          <w:tcPr>
            <w:tcW w:type="dxa" w:w="17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5. Pricing and repayment</w:t>
            </w:r>
          </w:p>
        </w:tc>
        <w:tc>
          <w:tcPr>
            <w:tcW w:type="dxa" w:w="38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Product, profile, amount, rate rules and fees</w:t>
            </w:r>
          </w:p>
        </w:tc>
        <w:tc>
          <w:tcPr>
            <w:tcW w:type="dxa" w:w="38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Rate/APR ranges, EMI and tenure options</w:t>
            </w:r>
          </w:p>
        </w:tc>
      </w:tr>
      <w:tr>
        <w:trPr>
          <w:cantSplit/>
        </w:trPr>
        <w:tc>
          <w:tcPr>
            <w:tcW w:type="dxa" w:w="17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6. Stress and confidence</w:t>
            </w:r>
          </w:p>
        </w:tc>
        <w:tc>
          <w:tcPr>
            <w:tcW w:type="dxa" w:w="385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Missing evidence and relevant downside scenario</w:t>
            </w:r>
          </w:p>
        </w:tc>
        <w:tc>
          <w:tcPr>
            <w:tcW w:type="dxa" w:w="38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Stressed affordability and confidence effects</w:t>
            </w:r>
          </w:p>
        </w:tc>
      </w:tr>
      <w:tr>
        <w:trPr>
          <w:cantSplit/>
        </w:trPr>
        <w:tc>
          <w:tcPr>
            <w:tcW w:type="dxa" w:w="17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7. Verdict</w:t>
            </w:r>
          </w:p>
        </w:tc>
        <w:tc>
          <w:tcPr>
            <w:tcW w:type="dxa" w:w="385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All prior derived values</w:t>
            </w:r>
          </w:p>
        </w:tc>
        <w:tc>
          <w:tcPr>
            <w:tcW w:type="dxa" w:w="38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Ordered verdict, next step, explanations and traces</w:t>
            </w:r>
          </w:p>
        </w:tc>
      </w:tr>
    </w:tbl>
    <w:p>
      <w:pPr>
        <w:pStyle w:val="Heading2"/>
        <w:keepNext/>
        <w:keepLines/>
      </w:pPr>
      <w:r>
        <w:t>8.1 Orchestration contract</w:t>
      </w:r>
    </w:p>
    <w:tbl>
      <w:tblPr>
        <w:tblW w:type="dxa" w:w="9360"/>
        <w:jc w:val="left"/>
        <w:tblLayout w:type="fixed"/>
        <w:tblLook w:firstColumn="1" w:firstRow="1" w:lastColumn="0" w:lastRow="0" w:noHBand="0" w:noVBand="1" w:val="04A0"/>
        <w:tblInd w:w="120" w:type="dxa"/>
        <w:tblBorders>
          <w:top w:val="single" w:sz="4" w:space="0" w:color="D7DEE2"/>
          <w:left w:val="single" w:sz="4" w:space="0" w:color="D7DEE2"/>
          <w:bottom w:val="single" w:sz="4" w:space="0" w:color="D7DEE2"/>
          <w:right w:val="single" w:sz="4" w:space="0" w:color="D7DEE2"/>
          <w:insideH w:val="single" w:sz="4" w:space="0" w:color="D7DEE2"/>
          <w:insideV w:val="single" w:sz="4" w:space="0" w:color="D7DEE2"/>
        </w:tblBorders>
      </w:tblPr>
      <w:tblGrid>
        <w:gridCol w:w="9360"/>
      </w:tblGrid>
      <w:tr>
        <w:trPr>
          <w:cantSplit/>
        </w:trPr>
        <w:tc>
          <w:tcPr>
            <w:tcW w:type="dxa" w:w="9360"/>
            <w:vAlign w:val="center"/>
            <w:tcMar>
              <w:top w:w="100" w:type="dxa"/>
              <w:start w:w="120" w:type="dxa"/>
              <w:bottom w:w="100" w:type="dxa"/>
              <w:end w:w="120" w:type="dxa"/>
            </w:tcMar>
            <w:shd w:fill="F7F9FA"/>
          </w:tcPr>
          <w:p>
            <w:pPr>
              <w:spacing w:after="0" w:line="240" w:lineRule="auto"/>
            </w:pPr>
            <w:r>
              <w:rPr>
                <w:rFonts w:ascii="DejaVu Sans Mono" w:hAnsi="DejaVu Sans Mono" w:eastAsia="DejaVu Sans Mono"/>
                <w:color w:val="16283F"/>
                <w:sz w:val="16"/>
              </w:rPr>
              <w:t>export function assessBorrower(profile: BorrowerProfile): BorrowerAssessment {</w:t>
            </w:r>
            <w:r>
              <w:br/>
            </w:r>
            <w:r>
              <w:rPr>
                <w:rFonts w:ascii="DejaVu Sans Mono" w:hAnsi="DejaVu Sans Mono" w:eastAsia="DejaVu Sans Mono"/>
                <w:color w:val="16283F"/>
                <w:sz w:val="16"/>
              </w:rPr>
              <w:t xml:space="preserve">  const normalized = normalizeProfile(profile);</w:t>
            </w:r>
            <w:r>
              <w:br/>
            </w:r>
            <w:r>
              <w:rPr>
                <w:rFonts w:ascii="DejaVu Sans Mono" w:hAnsi="DejaVu Sans Mono" w:eastAsia="DejaVu Sans Mono"/>
                <w:color w:val="16283F"/>
                <w:sz w:val="16"/>
              </w:rPr>
              <w:t xml:space="preserve">  const income = deriveUsableIncome(normalized);</w:t>
            </w:r>
            <w:r>
              <w:br/>
            </w:r>
            <w:r>
              <w:rPr>
                <w:rFonts w:ascii="DejaVu Sans Mono" w:hAnsi="DejaVu Sans Mono" w:eastAsia="DejaVu Sans Mono"/>
                <w:color w:val="16283F"/>
                <w:sz w:val="16"/>
              </w:rPr>
              <w:t xml:space="preserve">  const risks = detectRiskFlags(normalized, income);</w:t>
            </w:r>
            <w:r>
              <w:br/>
            </w:r>
            <w:r>
              <w:rPr>
                <w:rFonts w:ascii="DejaVu Sans Mono" w:hAnsi="DejaVu Sans Mono" w:eastAsia="DejaVu Sans Mono"/>
                <w:color w:val="16283F"/>
                <w:sz w:val="16"/>
              </w:rPr>
              <w:t xml:space="preserve">  const product = recommendProduct(normalized, risks);</w:t>
            </w:r>
            <w:r>
              <w:br/>
            </w:r>
            <w:r>
              <w:rPr>
                <w:rFonts w:ascii="DejaVu Sans Mono" w:hAnsi="DejaVu Sans Mono" w:eastAsia="DejaVu Sans Mono"/>
                <w:color w:val="16283F"/>
                <w:sz w:val="16"/>
              </w:rPr>
              <w:t xml:space="preserve">  const capacity = calculateCapacity(normalized, income, product);</w:t>
            </w:r>
            <w:r>
              <w:br/>
            </w:r>
            <w:r>
              <w:rPr>
                <w:rFonts w:ascii="DejaVu Sans Mono" w:hAnsi="DejaVu Sans Mono" w:eastAsia="DejaVu Sans Mono"/>
                <w:color w:val="16283F"/>
                <w:sz w:val="16"/>
              </w:rPr>
              <w:t xml:space="preserve">  const pricing = calculatePricing(normalized, product, risks);</w:t>
            </w:r>
            <w:r>
              <w:br/>
            </w:r>
            <w:r>
              <w:rPr>
                <w:rFonts w:ascii="DejaVu Sans Mono" w:hAnsi="DejaVu Sans Mono" w:eastAsia="DejaVu Sans Mono"/>
                <w:color w:val="16283F"/>
                <w:sz w:val="16"/>
              </w:rPr>
              <w:t xml:space="preserve">  const repayment = calculateRepayment(capacity, pricing, normalized);</w:t>
            </w:r>
            <w:r>
              <w:br/>
            </w:r>
            <w:r>
              <w:rPr>
                <w:rFonts w:ascii="DejaVu Sans Mono" w:hAnsi="DejaVu Sans Mono" w:eastAsia="DejaVu Sans Mono"/>
                <w:color w:val="16283F"/>
                <w:sz w:val="16"/>
              </w:rPr>
              <w:t xml:space="preserve">  const stress = runRelevantStress(normalized, repayment, product);</w:t>
            </w:r>
            <w:r>
              <w:br/>
            </w:r>
            <w:r>
              <w:rPr>
                <w:rFonts w:ascii="DejaVu Sans Mono" w:hAnsi="DejaVu Sans Mono" w:eastAsia="DejaVu Sans Mono"/>
                <w:color w:val="16283F"/>
                <w:sz w:val="16"/>
              </w:rPr>
              <w:t xml:space="preserve">  const confidence = calculateConfidence(normalized, pricing, capacity);</w:t>
            </w:r>
            <w:r>
              <w:br/>
            </w:r>
            <w:r>
              <w:rPr>
                <w:rFonts w:ascii="DejaVu Sans Mono" w:hAnsi="DejaVu Sans Mono" w:eastAsia="DejaVu Sans Mono"/>
                <w:color w:val="16283F"/>
                <w:sz w:val="16"/>
              </w:rPr>
              <w:t xml:space="preserve">  return composeAssessment({ normalized, income, risks, product,</w:t>
            </w:r>
            <w:r>
              <w:br/>
            </w:r>
            <w:r>
              <w:rPr>
                <w:rFonts w:ascii="DejaVu Sans Mono" w:hAnsi="DejaVu Sans Mono" w:eastAsia="DejaVu Sans Mono"/>
                <w:color w:val="16283F"/>
                <w:sz w:val="16"/>
              </w:rPr>
              <w:t xml:space="preserve">    capacity, pricing, repayment, stress, confidence });</w:t>
            </w:r>
            <w:r>
              <w:br/>
            </w:r>
            <w:r>
              <w:rPr>
                <w:rFonts w:ascii="DejaVu Sans Mono" w:hAnsi="DejaVu Sans Mono" w:eastAsia="DejaVu Sans Mono"/>
                <w:color w:val="16283F"/>
                <w:sz w:val="16"/>
              </w:rPr>
              <w:t>}</w:t>
            </w:r>
          </w:p>
        </w:tc>
      </w:tr>
    </w:tbl>
    <w:p>
      <w:pPr>
        <w:pStyle w:val="Heading1"/>
        <w:keepNext/>
        <w:keepLines/>
      </w:pPr>
      <w:r>
        <w:t>9. Calculation specification</w:t>
      </w:r>
    </w:p>
    <w:p>
      <w:pPr>
        <w:pStyle w:val="Heading2"/>
        <w:keepNext/>
        <w:keepLines/>
      </w:pPr>
      <w:r>
        <w:t>9.1 Affordability and FOIR</w:t>
      </w:r>
    </w:p>
    <w:p>
      <w:pPr>
        <w:spacing w:before="0" w:after="120" w:line="264" w:lineRule="auto"/>
      </w:pPr>
      <w:r>
        <w:rPr>
          <w:rFonts w:ascii="DejaVu Sans" w:hAnsi="DejaVu Sans" w:eastAsia="DejaVu Sans"/>
          <w:b w:val="0"/>
          <w:i w:val="0"/>
          <w:color w:val="17202A"/>
          <w:sz w:val="22"/>
        </w:rPr>
        <w:t>Lender-style capacity and borrower-safe capacity are separate calculations. Threshold values remain configuration, not immutable financial truth.</w:t>
      </w:r>
    </w:p>
    <w:tbl>
      <w:tblPr>
        <w:tblW w:type="dxa" w:w="9360"/>
        <w:jc w:val="left"/>
        <w:tblLayout w:type="fixed"/>
        <w:tblLook w:firstColumn="1" w:firstRow="1" w:lastColumn="0" w:lastRow="0" w:noHBand="0" w:noVBand="1" w:val="04A0"/>
        <w:tblInd w:w="120" w:type="dxa"/>
        <w:tblBorders>
          <w:top w:val="single" w:sz="2" w:space="0" w:color="F4F7F7"/>
          <w:left w:val="single" w:sz="2" w:space="0" w:color="F4F7F7"/>
          <w:bottom w:val="single" w:sz="2" w:space="0" w:color="F4F7F7"/>
          <w:right w:val="single" w:sz="2" w:space="0" w:color="F4F7F7"/>
          <w:insideH w:val="single" w:sz="2" w:space="0" w:color="F4F7F7"/>
          <w:insideV w:val="single" w:sz="2" w:space="0" w:color="F4F7F7"/>
        </w:tblBorders>
      </w:tblPr>
      <w:tblGrid>
        <w:gridCol w:w="9360"/>
      </w:tblGrid>
      <w:tr>
        <w:trPr>
          <w:cantSplit/>
        </w:trPr>
        <w:tc>
          <w:tcPr>
            <w:tcW w:type="dxa" w:w="9360"/>
            <w:vAlign w:val="center"/>
            <w:tcMar>
              <w:top w:w="100" w:type="dxa"/>
              <w:start w:w="120" w:type="dxa"/>
              <w:bottom w:w="100" w:type="dxa"/>
              <w:end w:w="120" w:type="dxa"/>
            </w:tcMar>
            <w:shd w:fill="F4F7F7"/>
          </w:tcPr>
          <w:p>
            <w:pPr>
              <w:spacing w:before="40" w:after="40" w:line="264" w:lineRule="auto"/>
            </w:pPr>
            <w:r>
              <w:rPr>
                <w:rFonts w:ascii="DejaVu Sans" w:hAnsi="DejaVu Sans" w:eastAsia="DejaVu Sans"/>
                <w:b/>
                <w:color w:val="16283F"/>
                <w:sz w:val="18"/>
              </w:rPr>
              <w:t xml:space="preserve">LENDER EMI CAPACITY  </w:t>
            </w:r>
            <w:r>
              <w:rPr>
                <w:rFonts w:ascii="DejaVu Sans" w:hAnsi="DejaVu Sans" w:eastAsia="DejaVu Sans"/>
                <w:color w:val="17202A"/>
                <w:sz w:val="20"/>
              </w:rPr>
              <w:t>(Eligible monthly income x configured lender FOIR limit) - existing monthly EMIs</w:t>
            </w:r>
          </w:p>
        </w:tc>
      </w:tr>
    </w:tbl>
    <w:tbl>
      <w:tblPr>
        <w:tblW w:type="dxa" w:w="9360"/>
        <w:jc w:val="left"/>
        <w:tblLayout w:type="fixed"/>
        <w:tblLook w:firstColumn="1" w:firstRow="1" w:lastColumn="0" w:lastRow="0" w:noHBand="0" w:noVBand="1" w:val="04A0"/>
        <w:tblInd w:w="120" w:type="dxa"/>
        <w:tblBorders>
          <w:top w:val="single" w:sz="2" w:space="0" w:color="E7F4F2"/>
          <w:left w:val="single" w:sz="2" w:space="0" w:color="E7F4F2"/>
          <w:bottom w:val="single" w:sz="2" w:space="0" w:color="E7F4F2"/>
          <w:right w:val="single" w:sz="2" w:space="0" w:color="E7F4F2"/>
          <w:insideH w:val="single" w:sz="2" w:space="0" w:color="E7F4F2"/>
          <w:insideV w:val="single" w:sz="2" w:space="0" w:color="E7F4F2"/>
        </w:tblBorders>
      </w:tblPr>
      <w:tblGrid>
        <w:gridCol w:w="9360"/>
      </w:tblGrid>
      <w:tr>
        <w:trPr>
          <w:cantSplit/>
        </w:trPr>
        <w:tc>
          <w:tcPr>
            <w:tcW w:type="dxa" w:w="9360"/>
            <w:vAlign w:val="center"/>
            <w:tcMar>
              <w:top w:w="100" w:type="dxa"/>
              <w:start w:w="120" w:type="dxa"/>
              <w:bottom w:w="100" w:type="dxa"/>
              <w:end w:w="120" w:type="dxa"/>
            </w:tcMar>
            <w:shd w:fill="E7F4F2"/>
          </w:tcPr>
          <w:p>
            <w:pPr>
              <w:spacing w:before="40" w:after="40" w:line="264" w:lineRule="auto"/>
            </w:pPr>
            <w:r>
              <w:rPr>
                <w:rFonts w:ascii="DejaVu Sans" w:hAnsi="DejaVu Sans" w:eastAsia="DejaVu Sans"/>
                <w:b/>
                <w:color w:val="167D78"/>
                <w:sz w:val="18"/>
              </w:rPr>
              <w:t xml:space="preserve">BORROWER-SAFE EMI  </w:t>
            </w:r>
            <w:r>
              <w:rPr>
                <w:rFonts w:ascii="DejaVu Sans" w:hAnsi="DejaVu Sans" w:eastAsia="DejaVu Sans"/>
                <w:color w:val="17202A"/>
                <w:sz w:val="20"/>
              </w:rPr>
              <w:t>Minimum of the configured safe debt-service limit and the post-expense surplus after retaining a safety buffer.</w:t>
            </w:r>
          </w:p>
        </w:tc>
      </w:tr>
    </w:tbl>
    <w:p>
      <w:pPr>
        <w:pStyle w:val="Heading2"/>
        <w:keepNext/>
        <w:keepLines/>
      </w:pPr>
      <w:r>
        <w:t>9.2 EMI and maximum principal</w:t>
      </w:r>
    </w:p>
    <w:p>
      <w:pPr>
        <w:spacing w:before="0" w:after="120" w:line="264" w:lineRule="auto"/>
      </w:pPr>
      <w:r>
        <w:rPr>
          <w:rFonts w:ascii="DejaVu Sans" w:hAnsi="DejaVu Sans" w:eastAsia="DejaVu Sans"/>
          <w:b w:val="0"/>
          <w:i w:val="0"/>
          <w:color w:val="17202A"/>
          <w:sz w:val="22"/>
        </w:rPr>
        <w:t>For principal P, monthly rate r and tenure n, EMI = P x r x (1+r)^n / ((1+r)^n - 1). The inverse annuity formula converts an EMI ceiling into a maximum principal. Unit tests must cover zero-rate handling and rounding.</w:t>
      </w:r>
    </w:p>
    <w:p>
      <w:pPr>
        <w:pStyle w:val="Heading2"/>
        <w:keepNext/>
        <w:keepLines/>
      </w:pPr>
      <w:r>
        <w:t>9.3 Fair-rate range</w:t>
      </w:r>
    </w:p>
    <w:p>
      <w:pPr>
        <w:spacing w:before="0" w:after="120" w:line="264" w:lineRule="auto"/>
      </w:pPr>
      <w:r>
        <w:rPr>
          <w:rFonts w:ascii="DejaVu Sans" w:hAnsi="DejaVu Sans" w:eastAsia="DejaVu Sans"/>
          <w:b w:val="0"/>
          <w:i w:val="0"/>
          <w:color w:val="17202A"/>
          <w:sz w:val="22"/>
        </w:rPr>
        <w:t>Start from a documented product-level band and apply named adjustments for score, income evidence, stability, security, repayment stress and business vintage. Each adjustment emits a trace. The final result remains a band and is labelled indicative.</w:t>
      </w:r>
    </w:p>
    <w:p>
      <w:pPr>
        <w:pStyle w:val="Heading2"/>
        <w:keepNext/>
        <w:keepLines/>
      </w:pPr>
      <w:r>
        <w:t>9.4 All-in APR</w:t>
      </w:r>
    </w:p>
    <w:p>
      <w:pPr>
        <w:spacing w:before="0" w:after="120" w:line="264" w:lineRule="auto"/>
      </w:pPr>
      <w:r>
        <w:rPr>
          <w:rFonts w:ascii="DejaVu Sans" w:hAnsi="DejaVu Sans" w:eastAsia="DejaVu Sans"/>
          <w:b w:val="0"/>
          <w:i w:val="0"/>
          <w:color w:val="17202A"/>
          <w:sz w:val="22"/>
        </w:rPr>
        <w:t>APR is solved from borrower cash flows: the initial net amount received after compulsory upfront charges, followed by the scheduled monthly payments. Use a bounded monthly internal-rate-of-return solver and annualize the result. If a mandatory fee is unknown, show an APR range or a clear fee assumption rather than silently equating APR with the headline rate.</w:t>
      </w:r>
    </w:p>
    <w:p>
      <w:pPr>
        <w:pStyle w:val="Heading2"/>
        <w:keepNext/>
        <w:keepLines/>
      </w:pPr>
      <w:r>
        <w:t>9.5 Stress selection</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3300"/>
        <w:gridCol w:w="6060"/>
      </w:tblGrid>
      <w:tr>
        <w:trPr>
          <w:tblHeader w:val="true"/>
          <w:cantSplit/>
        </w:trPr>
        <w:tc>
          <w:tcPr>
            <w:tcW w:type="dxa" w:w="330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Profile/product</w:t>
            </w:r>
          </w:p>
        </w:tc>
        <w:tc>
          <w:tcPr>
            <w:tcW w:type="dxa" w:w="606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Default stress</w:t>
            </w:r>
          </w:p>
        </w:tc>
      </w:tr>
      <w:tr>
        <w:trPr>
          <w:cantSplit/>
        </w:trPr>
        <w:tc>
          <w:tcPr>
            <w:tcW w:type="dxa" w:w="33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Salaried or informal income</w:t>
            </w:r>
          </w:p>
        </w:tc>
        <w:tc>
          <w:tcPr>
            <w:tcW w:type="dxa" w:w="60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Income decreases by a configured percentage</w:t>
            </w:r>
          </w:p>
        </w:tc>
      </w:tr>
      <w:tr>
        <w:trPr>
          <w:cantSplit/>
        </w:trPr>
        <w:tc>
          <w:tcPr>
            <w:tcW w:type="dxa" w:w="33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Variable self-employed income</w:t>
            </w:r>
          </w:p>
        </w:tc>
        <w:tc>
          <w:tcPr>
            <w:tcW w:type="dxa" w:w="60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Use the lower end of the stated/documented income range</w:t>
            </w:r>
          </w:p>
        </w:tc>
      </w:tr>
      <w:tr>
        <w:trPr>
          <w:cantSplit/>
        </w:trPr>
        <w:tc>
          <w:tcPr>
            <w:tcW w:type="dxa" w:w="33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Floating-rate secured loan</w:t>
            </w:r>
          </w:p>
        </w:tc>
        <w:tc>
          <w:tcPr>
            <w:tcW w:type="dxa" w:w="60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Interest rate increases by a configured number of basis points</w:t>
            </w:r>
          </w:p>
        </w:tc>
      </w:tr>
    </w:tbl>
    <w:tbl>
      <w:tblPr>
        <w:tblW w:type="dxa" w:w="9360"/>
        <w:jc w:val="left"/>
        <w:tblLayout w:type="fixed"/>
        <w:tblLook w:firstColumn="1" w:firstRow="1" w:lastColumn="0" w:lastRow="0" w:noHBand="0" w:noVBand="1" w:val="04A0"/>
        <w:tblInd w:w="120" w:type="dxa"/>
        <w:tblBorders>
          <w:top w:val="single" w:sz="2" w:space="0" w:color="FBF4E3"/>
          <w:left w:val="single" w:sz="2" w:space="0" w:color="FBF4E3"/>
          <w:bottom w:val="single" w:sz="2" w:space="0" w:color="FBF4E3"/>
          <w:right w:val="single" w:sz="2" w:space="0" w:color="FBF4E3"/>
          <w:insideH w:val="single" w:sz="2" w:space="0" w:color="FBF4E3"/>
          <w:insideV w:val="single" w:sz="2" w:space="0" w:color="FBF4E3"/>
        </w:tblBorders>
      </w:tblPr>
      <w:tblGrid>
        <w:gridCol w:w="9360"/>
      </w:tblGrid>
      <w:tr>
        <w:trPr>
          <w:cantSplit/>
        </w:trPr>
        <w:tc>
          <w:tcPr>
            <w:tcW w:type="dxa" w:w="9360"/>
            <w:vAlign w:val="center"/>
            <w:tcMar>
              <w:top w:w="100" w:type="dxa"/>
              <w:start w:w="120" w:type="dxa"/>
              <w:bottom w:w="100" w:type="dxa"/>
              <w:end w:w="120" w:type="dxa"/>
            </w:tcMar>
            <w:shd w:fill="FBF4E3"/>
          </w:tcPr>
          <w:p>
            <w:pPr>
              <w:spacing w:before="40" w:after="40" w:line="264" w:lineRule="auto"/>
            </w:pPr>
            <w:r>
              <w:rPr>
                <w:rFonts w:ascii="DejaVu Sans" w:hAnsi="DejaVu Sans" w:eastAsia="DejaVu Sans"/>
                <w:b/>
                <w:color w:val="8A6500"/>
                <w:sz w:val="18"/>
              </w:rPr>
              <w:t xml:space="preserve">PRECISION RULE  </w:t>
            </w:r>
            <w:r>
              <w:rPr>
                <w:rFonts w:ascii="DejaVu Sans" w:hAnsi="DejaVu Sans" w:eastAsia="DejaVu Sans"/>
                <w:color w:val="17202A"/>
                <w:sz w:val="20"/>
              </w:rPr>
              <w:t>Round borrower-facing amounts sensibly. Preserve full precision internally, but avoid presenting a recommendation such as INR 6,43,217 when the underlying inputs are estimates.</w:t>
            </w:r>
          </w:p>
        </w:tc>
      </w:tr>
    </w:tbl>
    <w:p>
      <w:pPr>
        <w:pStyle w:val="Heading1"/>
        <w:keepNext/>
        <w:keepLines/>
      </w:pPr>
      <w:r>
        <w:t>10. Rules, explainability and confidence</w:t>
      </w:r>
    </w:p>
    <w:p>
      <w:pPr>
        <w:pStyle w:val="Heading2"/>
        <w:keepNext/>
        <w:keepLines/>
      </w:pPr>
      <w:r>
        <w:t>10.1 Rule definition</w:t>
      </w:r>
    </w:p>
    <w:tbl>
      <w:tblPr>
        <w:tblW w:type="dxa" w:w="9360"/>
        <w:jc w:val="left"/>
        <w:tblLayout w:type="fixed"/>
        <w:tblLook w:firstColumn="1" w:firstRow="1" w:lastColumn="0" w:lastRow="0" w:noHBand="0" w:noVBand="1" w:val="04A0"/>
        <w:tblInd w:w="120" w:type="dxa"/>
        <w:tblBorders>
          <w:top w:val="single" w:sz="4" w:space="0" w:color="D7DEE2"/>
          <w:left w:val="single" w:sz="4" w:space="0" w:color="D7DEE2"/>
          <w:bottom w:val="single" w:sz="4" w:space="0" w:color="D7DEE2"/>
          <w:right w:val="single" w:sz="4" w:space="0" w:color="D7DEE2"/>
          <w:insideH w:val="single" w:sz="4" w:space="0" w:color="D7DEE2"/>
          <w:insideV w:val="single" w:sz="4" w:space="0" w:color="D7DEE2"/>
        </w:tblBorders>
      </w:tblPr>
      <w:tblGrid>
        <w:gridCol w:w="9360"/>
      </w:tblGrid>
      <w:tr>
        <w:trPr>
          <w:cantSplit/>
        </w:trPr>
        <w:tc>
          <w:tcPr>
            <w:tcW w:type="dxa" w:w="9360"/>
            <w:vAlign w:val="center"/>
            <w:tcMar>
              <w:top w:w="100" w:type="dxa"/>
              <w:start w:w="120" w:type="dxa"/>
              <w:bottom w:w="100" w:type="dxa"/>
              <w:end w:w="120" w:type="dxa"/>
            </w:tcMar>
            <w:shd w:fill="F7F9FA"/>
          </w:tcPr>
          <w:p>
            <w:pPr>
              <w:spacing w:after="0" w:line="240" w:lineRule="auto"/>
            </w:pPr>
            <w:r>
              <w:rPr>
                <w:rFonts w:ascii="DejaVu Sans Mono" w:hAnsi="DejaVu Sans Mono" w:eastAsia="DejaVu Sans Mono"/>
                <w:color w:val="16283F"/>
                <w:sz w:val="16"/>
              </w:rPr>
              <w:t>interface RuleDefinition {</w:t>
            </w:r>
            <w:r>
              <w:br/>
            </w:r>
            <w:r>
              <w:rPr>
                <w:rFonts w:ascii="DejaVu Sans Mono" w:hAnsi="DejaVu Sans Mono" w:eastAsia="DejaVu Sans Mono"/>
                <w:color w:val="16283F"/>
                <w:sz w:val="16"/>
              </w:rPr>
              <w:t xml:space="preserve">  id: string;</w:t>
            </w:r>
            <w:r>
              <w:br/>
            </w:r>
            <w:r>
              <w:rPr>
                <w:rFonts w:ascii="DejaVu Sans Mono" w:hAnsi="DejaVu Sans Mono" w:eastAsia="DejaVu Sans Mono"/>
                <w:color w:val="16283F"/>
                <w:sz w:val="16"/>
              </w:rPr>
              <w:t xml:space="preserve">  category: 'income' | 'risk' | 'product' | 'amount' | 'pricing' | 'verdict';</w:t>
            </w:r>
            <w:r>
              <w:br/>
            </w:r>
            <w:r>
              <w:rPr>
                <w:rFonts w:ascii="DejaVu Sans Mono" w:hAnsi="DejaVu Sans Mono" w:eastAsia="DejaVu Sans Mono"/>
                <w:color w:val="16283F"/>
                <w:sz w:val="16"/>
              </w:rPr>
              <w:t xml:space="preserve">  value: number | MoneyRange | RateRange | string;</w:t>
            </w:r>
            <w:r>
              <w:br/>
            </w:r>
            <w:r>
              <w:rPr>
                <w:rFonts w:ascii="DejaVu Sans Mono" w:hAnsi="DejaVu Sans Mono" w:eastAsia="DejaVu Sans Mono"/>
                <w:color w:val="16283F"/>
                <w:sz w:val="16"/>
              </w:rPr>
              <w:t xml:space="preserve">  rationale: string;</w:t>
            </w:r>
            <w:r>
              <w:br/>
            </w:r>
            <w:r>
              <w:rPr>
                <w:rFonts w:ascii="DejaVu Sans Mono" w:hAnsi="DejaVu Sans Mono" w:eastAsia="DejaVu Sans Mono"/>
                <w:color w:val="16283F"/>
                <w:sz w:val="16"/>
              </w:rPr>
              <w:t xml:space="preserve">  source: SourceReference | 'my_judgement';</w:t>
            </w:r>
            <w:r>
              <w:br/>
            </w:r>
            <w:r>
              <w:rPr>
                <w:rFonts w:ascii="DejaVu Sans Mono" w:hAnsi="DejaVu Sans Mono" w:eastAsia="DejaVu Sans Mono"/>
                <w:color w:val="16283F"/>
                <w:sz w:val="16"/>
              </w:rPr>
              <w:t xml:space="preserve">  effectiveDate: string;</w:t>
            </w:r>
            <w:r>
              <w:br/>
            </w:r>
            <w:r>
              <w:rPr>
                <w:rFonts w:ascii="DejaVu Sans Mono" w:hAnsi="DejaVu Sans Mono" w:eastAsia="DejaVu Sans Mono"/>
                <w:color w:val="16283F"/>
                <w:sz w:val="16"/>
              </w:rPr>
              <w:t>}</w:t>
            </w:r>
          </w:p>
        </w:tc>
      </w:tr>
    </w:tbl>
    <w:p>
      <w:pPr>
        <w:pStyle w:val="Heading2"/>
        <w:keepNext/>
        <w:keepLines/>
      </w:pPr>
      <w:r>
        <w:t>10.2 Rule trace</w:t>
      </w:r>
    </w:p>
    <w:tbl>
      <w:tblPr>
        <w:tblW w:type="dxa" w:w="9360"/>
        <w:jc w:val="left"/>
        <w:tblLayout w:type="fixed"/>
        <w:tblLook w:firstColumn="1" w:firstRow="1" w:lastColumn="0" w:lastRow="0" w:noHBand="0" w:noVBand="1" w:val="04A0"/>
        <w:tblInd w:w="120" w:type="dxa"/>
        <w:tblBorders>
          <w:top w:val="single" w:sz="4" w:space="0" w:color="D7DEE2"/>
          <w:left w:val="single" w:sz="4" w:space="0" w:color="D7DEE2"/>
          <w:bottom w:val="single" w:sz="4" w:space="0" w:color="D7DEE2"/>
          <w:right w:val="single" w:sz="4" w:space="0" w:color="D7DEE2"/>
          <w:insideH w:val="single" w:sz="4" w:space="0" w:color="D7DEE2"/>
          <w:insideV w:val="single" w:sz="4" w:space="0" w:color="D7DEE2"/>
        </w:tblBorders>
      </w:tblPr>
      <w:tblGrid>
        <w:gridCol w:w="9360"/>
      </w:tblGrid>
      <w:tr>
        <w:trPr>
          <w:cantSplit/>
        </w:trPr>
        <w:tc>
          <w:tcPr>
            <w:tcW w:type="dxa" w:w="9360"/>
            <w:vAlign w:val="center"/>
            <w:tcMar>
              <w:top w:w="100" w:type="dxa"/>
              <w:start w:w="120" w:type="dxa"/>
              <w:bottom w:w="100" w:type="dxa"/>
              <w:end w:w="120" w:type="dxa"/>
            </w:tcMar>
            <w:shd w:fill="F7F9FA"/>
          </w:tcPr>
          <w:p>
            <w:pPr>
              <w:spacing w:after="0" w:line="240" w:lineRule="auto"/>
            </w:pPr>
            <w:r>
              <w:rPr>
                <w:rFonts w:ascii="DejaVu Sans Mono" w:hAnsi="DejaVu Sans Mono" w:eastAsia="DejaVu Sans Mono"/>
                <w:color w:val="16283F"/>
                <w:sz w:val="16"/>
              </w:rPr>
              <w:t>interface RuleTrace {</w:t>
            </w:r>
            <w:r>
              <w:br/>
            </w:r>
            <w:r>
              <w:rPr>
                <w:rFonts w:ascii="DejaVu Sans Mono" w:hAnsi="DejaVu Sans Mono" w:eastAsia="DejaVu Sans Mono"/>
                <w:color w:val="16283F"/>
                <w:sz w:val="16"/>
              </w:rPr>
              <w:t xml:space="preserve">  ruleId: string;</w:t>
            </w:r>
            <w:r>
              <w:br/>
            </w:r>
            <w:r>
              <w:rPr>
                <w:rFonts w:ascii="DejaVu Sans Mono" w:hAnsi="DejaVu Sans Mono" w:eastAsia="DejaVu Sans Mono"/>
                <w:color w:val="16283F"/>
                <w:sz w:val="16"/>
              </w:rPr>
              <w:t xml:space="preserve">  category: string;</w:t>
            </w:r>
            <w:r>
              <w:br/>
            </w:r>
            <w:r>
              <w:rPr>
                <w:rFonts w:ascii="DejaVu Sans Mono" w:hAnsi="DejaVu Sans Mono" w:eastAsia="DejaVu Sans Mono"/>
                <w:color w:val="16283F"/>
                <w:sz w:val="16"/>
              </w:rPr>
              <w:t xml:space="preserve">  inputSummary: string;</w:t>
            </w:r>
            <w:r>
              <w:br/>
            </w:r>
            <w:r>
              <w:rPr>
                <w:rFonts w:ascii="DejaVu Sans Mono" w:hAnsi="DejaVu Sans Mono" w:eastAsia="DejaVu Sans Mono"/>
                <w:color w:val="16283F"/>
                <w:sz w:val="16"/>
              </w:rPr>
              <w:t xml:space="preserve">  effect: string;</w:t>
            </w:r>
            <w:r>
              <w:br/>
            </w:r>
            <w:r>
              <w:rPr>
                <w:rFonts w:ascii="DejaVu Sans Mono" w:hAnsi="DejaVu Sans Mono" w:eastAsia="DejaVu Sans Mono"/>
                <w:color w:val="16283F"/>
                <w:sz w:val="16"/>
              </w:rPr>
              <w:t xml:space="preserve">  borrowerExplanation: string;</w:t>
            </w:r>
            <w:r>
              <w:br/>
            </w:r>
            <w:r>
              <w:rPr>
                <w:rFonts w:ascii="DejaVu Sans Mono" w:hAnsi="DejaVu Sans Mono" w:eastAsia="DejaVu Sans Mono"/>
                <w:color w:val="16283F"/>
                <w:sz w:val="16"/>
              </w:rPr>
              <w:t>}</w:t>
            </w:r>
          </w:p>
        </w:tc>
      </w:tr>
    </w:tbl>
    <w:p>
      <w:pPr>
        <w:spacing w:before="0" w:after="120" w:line="264" w:lineRule="auto"/>
      </w:pPr>
      <w:r>
        <w:rPr>
          <w:rFonts w:ascii="DejaVu Sans" w:hAnsi="DejaVu Sans" w:eastAsia="DejaVu Sans"/>
          <w:b w:val="0"/>
          <w:i w:val="0"/>
          <w:color w:val="17202A"/>
          <w:sz w:val="22"/>
        </w:rPr>
        <w:t>Example: PRICING-CREDIT-780 records that a reported 780 score narrows or improves the indicative rate range. The UI uses the same trace for Why this rate? and the Negotiation Card, preventing explanation drift.</w:t>
      </w:r>
    </w:p>
    <w:p>
      <w:pPr>
        <w:pStyle w:val="Heading2"/>
        <w:keepNext/>
        <w:keepLines/>
      </w:pPr>
      <w:r>
        <w:t>10.3 Confidence model</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3200"/>
        <w:gridCol w:w="6160"/>
      </w:tblGrid>
      <w:tr>
        <w:trPr>
          <w:tblHeader w:val="true"/>
          <w:cantSplit/>
        </w:trPr>
        <w:tc>
          <w:tcPr>
            <w:tcW w:type="dxa" w:w="32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Evidence condition</w:t>
            </w:r>
          </w:p>
        </w:tc>
        <w:tc>
          <w:tcPr>
            <w:tcW w:type="dxa" w:w="616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Effect</w:t>
            </w:r>
          </w:p>
        </w:tc>
      </w:tr>
      <w:tr>
        <w:trPr>
          <w:cantSplit/>
        </w:trPr>
        <w:tc>
          <w:tcPr>
            <w:tcW w:type="dxa" w:w="32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Credit score known</w:t>
            </w:r>
          </w:p>
        </w:tc>
        <w:tc>
          <w:tcPr>
            <w:tcW w:type="dxa" w:w="61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Improves pricing confidence and can narrow the rate band</w:t>
            </w:r>
          </w:p>
        </w:tc>
      </w:tr>
      <w:tr>
        <w:trPr>
          <w:cantSplit/>
        </w:trPr>
        <w:tc>
          <w:tcPr>
            <w:tcW w:type="dxa" w:w="32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Stable documented income</w:t>
            </w:r>
          </w:p>
        </w:tc>
        <w:tc>
          <w:tcPr>
            <w:tcW w:type="dxa" w:w="61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Improves lender-amount confidence</w:t>
            </w:r>
          </w:p>
        </w:tc>
      </w:tr>
      <w:tr>
        <w:trPr>
          <w:cantSplit/>
        </w:trPr>
        <w:tc>
          <w:tcPr>
            <w:tcW w:type="dxa" w:w="32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Essential expenses known</w:t>
            </w:r>
          </w:p>
        </w:tc>
        <w:tc>
          <w:tcPr>
            <w:tcW w:type="dxa" w:w="61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Improves safe-EMI confidence</w:t>
            </w:r>
          </w:p>
        </w:tc>
      </w:tr>
      <w:tr>
        <w:trPr>
          <w:cantSplit/>
        </w:trPr>
        <w:tc>
          <w:tcPr>
            <w:tcW w:type="dxa" w:w="32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Mandatory fees known</w:t>
            </w:r>
          </w:p>
        </w:tc>
        <w:tc>
          <w:tcPr>
            <w:tcW w:type="dxa" w:w="61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Improves APR confidence</w:t>
            </w:r>
          </w:p>
        </w:tc>
      </w:tr>
      <w:tr>
        <w:trPr>
          <w:cantSplit/>
        </w:trPr>
        <w:tc>
          <w:tcPr>
            <w:tcW w:type="dxa" w:w="32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Variable or undocumented income</w:t>
            </w:r>
          </w:p>
        </w:tc>
        <w:tc>
          <w:tcPr>
            <w:tcW w:type="dxa" w:w="61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Widens amount range and reduces confidence</w:t>
            </w:r>
          </w:p>
        </w:tc>
      </w:tr>
      <w:tr>
        <w:trPr>
          <w:cantSplit/>
        </w:trPr>
        <w:tc>
          <w:tcPr>
            <w:tcW w:type="dxa" w:w="32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Recent payment bounce</w:t>
            </w:r>
          </w:p>
        </w:tc>
        <w:tc>
          <w:tcPr>
            <w:tcW w:type="dxa" w:w="61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Creates a risk flag; it is not merely missing information</w:t>
            </w:r>
          </w:p>
        </w:tc>
      </w:tr>
    </w:tbl>
    <w:p>
      <w:pPr>
        <w:pStyle w:val="Heading2"/>
        <w:keepNext/>
        <w:keepLines/>
      </w:pPr>
      <w:r>
        <w:t>10.4 Ordered verdict evaluation</w:t>
      </w:r>
    </w:p>
    <w:p>
      <w:pPr>
        <w:spacing w:after="100" w:line="278" w:lineRule="auto"/>
        <w:ind w:left="720" w:hanging="360"/>
        <w:numPr>
          <w:ilvl w:val="0"/>
          <w:numId w:val="11"/>
        </w:numPr>
      </w:pPr>
      <w:r>
        <w:rPr>
          <w:rFonts w:ascii="DejaVu Sans" w:hAnsi="DejaVu Sans" w:eastAsia="DejaVu Sans"/>
          <w:color w:val="17202A"/>
          <w:sz w:val="21"/>
        </w:rPr>
        <w:t>Evaluate hard-stop or acute-distress rules first; return Do not borrow with constructive next actions.</w:t>
      </w:r>
    </w:p>
    <w:p>
      <w:pPr>
        <w:spacing w:after="100" w:line="278" w:lineRule="auto"/>
        <w:ind w:left="720" w:hanging="360"/>
        <w:numPr>
          <w:ilvl w:val="0"/>
          <w:numId w:val="11"/>
        </w:numPr>
      </w:pPr>
      <w:r>
        <w:rPr>
          <w:rFonts w:ascii="DejaVu Sans" w:hAnsi="DejaVu Sans" w:eastAsia="DejaVu Sans"/>
          <w:color w:val="17202A"/>
          <w:sz w:val="21"/>
        </w:rPr>
        <w:t>If requested amount or EMI exceeds the safe capacity, return Borrow less and recommend a cap.</w:t>
      </w:r>
    </w:p>
    <w:p>
      <w:pPr>
        <w:spacing w:after="100" w:line="278" w:lineRule="auto"/>
        <w:ind w:left="720" w:hanging="360"/>
        <w:numPr>
          <w:ilvl w:val="0"/>
          <w:numId w:val="11"/>
        </w:numPr>
      </w:pPr>
      <w:r>
        <w:rPr>
          <w:rFonts w:ascii="DejaVu Sans" w:hAnsi="DejaVu Sans" w:eastAsia="DejaVu Sans"/>
          <w:color w:val="17202A"/>
          <w:sz w:val="21"/>
        </w:rPr>
        <w:t>Only after higher-severity checks pass may the engine return Borrow.</w:t>
      </w:r>
    </w:p>
    <w:tbl>
      <w:tblPr>
        <w:tblW w:type="dxa" w:w="9360"/>
        <w:jc w:val="left"/>
        <w:tblLayout w:type="fixed"/>
        <w:tblLook w:firstColumn="1" w:firstRow="1" w:lastColumn="0" w:lastRow="0" w:noHBand="0" w:noVBand="1" w:val="04A0"/>
        <w:tblInd w:w="120" w:type="dxa"/>
        <w:tblBorders>
          <w:top w:val="single" w:sz="2" w:space="0" w:color="FDECEC"/>
          <w:left w:val="single" w:sz="2" w:space="0" w:color="FDECEC"/>
          <w:bottom w:val="single" w:sz="2" w:space="0" w:color="FDECEC"/>
          <w:right w:val="single" w:sz="2" w:space="0" w:color="FDECEC"/>
          <w:insideH w:val="single" w:sz="2" w:space="0" w:color="FDECEC"/>
          <w:insideV w:val="single" w:sz="2" w:space="0" w:color="FDECEC"/>
        </w:tblBorders>
      </w:tblPr>
      <w:tblGrid>
        <w:gridCol w:w="9360"/>
      </w:tblGrid>
      <w:tr>
        <w:trPr>
          <w:cantSplit/>
        </w:trPr>
        <w:tc>
          <w:tcPr>
            <w:tcW w:type="dxa" w:w="9360"/>
            <w:vAlign w:val="center"/>
            <w:tcMar>
              <w:top w:w="100" w:type="dxa"/>
              <w:start w:w="120" w:type="dxa"/>
              <w:bottom w:w="100" w:type="dxa"/>
              <w:end w:w="120" w:type="dxa"/>
            </w:tcMar>
            <w:shd w:fill="FDECEC"/>
          </w:tcPr>
          <w:p>
            <w:pPr>
              <w:spacing w:before="40" w:after="40" w:line="264" w:lineRule="auto"/>
            </w:pPr>
            <w:r>
              <w:rPr>
                <w:rFonts w:ascii="DejaVu Sans" w:hAnsi="DejaVu Sans" w:eastAsia="DejaVu Sans"/>
                <w:b/>
                <w:color w:val="B42318"/>
                <w:sz w:val="18"/>
              </w:rPr>
              <w:t xml:space="preserve">UNKNOWN IS NOT ADVERSE EVIDENCE  </w:t>
            </w:r>
            <w:r>
              <w:rPr>
                <w:rFonts w:ascii="DejaVu Sans" w:hAnsi="DejaVu Sans" w:eastAsia="DejaVu Sans"/>
                <w:color w:val="17202A"/>
                <w:sz w:val="20"/>
              </w:rPr>
              <w:t>Unknown credit score lowers confidence and widens pricing. It must not be converted into a very poor score or treated as a repayment failure.</w:t>
            </w:r>
          </w:p>
        </w:tc>
      </w:tr>
    </w:tbl>
    <w:p>
      <w:pPr>
        <w:pStyle w:val="Heading1"/>
        <w:keepNext/>
        <w:keepLines/>
      </w:pPr>
      <w:r>
        <w:t>11. UI and UX specification</w:t>
      </w:r>
    </w:p>
    <w:p>
      <w:pPr>
        <w:pStyle w:val="Heading2"/>
        <w:keepNext/>
        <w:keepLines/>
      </w:pPr>
      <w:r>
        <w:t>11.1 Design direction</w:t>
      </w:r>
    </w:p>
    <w:p>
      <w:pPr>
        <w:spacing w:before="0" w:after="120" w:line="264" w:lineRule="auto"/>
      </w:pPr>
      <w:r>
        <w:rPr>
          <w:rFonts w:ascii="DejaVu Sans" w:hAnsi="DejaVu Sans" w:eastAsia="DejaVu Sans"/>
          <w:b w:val="0"/>
          <w:i w:val="0"/>
          <w:color w:val="17202A"/>
          <w:sz w:val="22"/>
        </w:rPr>
        <w:t>The visual system should feel calm, trustworthy and borrower-aligned rather than promotional. Use warm neutral backgrounds, navy hierarchy, teal actions and restrained gold for warnings. Avoid instant-approval language, celebratory confetti, aggressive gradients and color-only verdicts.</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2000"/>
        <w:gridCol w:w="1900"/>
        <w:gridCol w:w="5460"/>
      </w:tblGrid>
      <w:tr>
        <w:trPr>
          <w:tblHeader w:val="true"/>
          <w:cantSplit/>
        </w:trPr>
        <w:tc>
          <w:tcPr>
            <w:tcW w:type="dxa" w:w="20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Token</w:t>
            </w:r>
          </w:p>
        </w:tc>
        <w:tc>
          <w:tcPr>
            <w:tcW w:type="dxa" w:w="19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Value</w:t>
            </w:r>
          </w:p>
        </w:tc>
        <w:tc>
          <w:tcPr>
            <w:tcW w:type="dxa" w:w="546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Use</w:t>
            </w:r>
          </w:p>
        </w:tc>
      </w:tr>
      <w:tr>
        <w:trPr>
          <w:cantSplit/>
        </w:trPr>
        <w:tc>
          <w:tcPr>
            <w:tcW w:type="dxa" w:w="20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Background</w:t>
            </w:r>
          </w:p>
        </w:tc>
        <w:tc>
          <w:tcPr>
            <w:tcW w:type="dxa" w:w="19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#F7F7F2</w:t>
            </w:r>
          </w:p>
        </w:tc>
        <w:tc>
          <w:tcPr>
            <w:tcW w:type="dxa" w:w="54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Page canvas</w:t>
            </w:r>
          </w:p>
        </w:tc>
      </w:tr>
      <w:tr>
        <w:trPr>
          <w:cantSplit/>
        </w:trPr>
        <w:tc>
          <w:tcPr>
            <w:tcW w:type="dxa" w:w="20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Surface</w:t>
            </w:r>
          </w:p>
        </w:tc>
        <w:tc>
          <w:tcPr>
            <w:tcW w:type="dxa" w:w="190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#FFFFFF</w:t>
            </w:r>
          </w:p>
        </w:tc>
        <w:tc>
          <w:tcPr>
            <w:tcW w:type="dxa" w:w="54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Cards and question panels</w:t>
            </w:r>
          </w:p>
        </w:tc>
      </w:tr>
      <w:tr>
        <w:trPr>
          <w:cantSplit/>
        </w:trPr>
        <w:tc>
          <w:tcPr>
            <w:tcW w:type="dxa" w:w="20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Navy</w:t>
            </w:r>
          </w:p>
        </w:tc>
        <w:tc>
          <w:tcPr>
            <w:tcW w:type="dxa" w:w="19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#16283F</w:t>
            </w:r>
          </w:p>
        </w:tc>
        <w:tc>
          <w:tcPr>
            <w:tcW w:type="dxa" w:w="54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Primary hierarchy and data</w:t>
            </w:r>
          </w:p>
        </w:tc>
      </w:tr>
      <w:tr>
        <w:trPr>
          <w:cantSplit/>
        </w:trPr>
        <w:tc>
          <w:tcPr>
            <w:tcW w:type="dxa" w:w="20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Teal</w:t>
            </w:r>
          </w:p>
        </w:tc>
        <w:tc>
          <w:tcPr>
            <w:tcW w:type="dxa" w:w="190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#167D78</w:t>
            </w:r>
          </w:p>
        </w:tc>
        <w:tc>
          <w:tcPr>
            <w:tcW w:type="dxa" w:w="54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Actions, progress and supportive emphasis</w:t>
            </w:r>
          </w:p>
        </w:tc>
      </w:tr>
      <w:tr>
        <w:trPr>
          <w:cantSplit/>
        </w:trPr>
        <w:tc>
          <w:tcPr>
            <w:tcW w:type="dxa" w:w="20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Gold</w:t>
            </w:r>
          </w:p>
        </w:tc>
        <w:tc>
          <w:tcPr>
            <w:tcW w:type="dxa" w:w="19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#D5A94E</w:t>
            </w:r>
          </w:p>
        </w:tc>
        <w:tc>
          <w:tcPr>
            <w:tcW w:type="dxa" w:w="54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Caution and important trade-offs</w:t>
            </w:r>
          </w:p>
        </w:tc>
      </w:tr>
      <w:tr>
        <w:trPr>
          <w:cantSplit/>
        </w:trPr>
        <w:tc>
          <w:tcPr>
            <w:tcW w:type="dxa" w:w="20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Danger</w:t>
            </w:r>
          </w:p>
        </w:tc>
        <w:tc>
          <w:tcPr>
            <w:tcW w:type="dxa" w:w="190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#B42318</w:t>
            </w:r>
          </w:p>
        </w:tc>
        <w:tc>
          <w:tcPr>
            <w:tcW w:type="dxa" w:w="54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Debt distress or unsafe outcomes</w:t>
            </w:r>
          </w:p>
        </w:tc>
      </w:tr>
    </w:tbl>
    <w:p>
      <w:pPr>
        <w:pStyle w:val="Heading2"/>
        <w:keepNext/>
        <w:keepLines/>
      </w:pPr>
      <w:r>
        <w:t>11.2 Questionnaire interaction</w:t>
      </w:r>
    </w:p>
    <w:p>
      <w:pPr>
        <w:pStyle w:val="ListBullet"/>
        <w:spacing w:after="80" w:line="278" w:lineRule="auto"/>
        <w:ind w:left="720" w:hanging="360"/>
        <w:keepLines/>
      </w:pPr>
      <w:r>
        <w:rPr>
          <w:rFonts w:ascii="DejaVu Sans" w:hAnsi="DejaVu Sans" w:eastAsia="DejaVu Sans"/>
          <w:color w:val="17202A"/>
          <w:sz w:val="21"/>
        </w:rPr>
        <w:t>One question per screen with a visible Essential or Refinement progress label.</w:t>
      </w:r>
    </w:p>
    <w:p>
      <w:pPr>
        <w:pStyle w:val="ListBullet"/>
        <w:spacing w:after="80" w:line="278" w:lineRule="auto"/>
        <w:ind w:left="720" w:hanging="360"/>
        <w:keepLines/>
      </w:pPr>
      <w:r>
        <w:rPr>
          <w:rFonts w:ascii="DejaVu Sans" w:hAnsi="DejaVu Sans" w:eastAsia="DejaVu Sans"/>
          <w:color w:val="17202A"/>
          <w:sz w:val="21"/>
        </w:rPr>
        <w:t>Show why the question matters directly under the label; do not hide it in a tooltip.</w:t>
      </w:r>
    </w:p>
    <w:p>
      <w:pPr>
        <w:pStyle w:val="ListBullet"/>
        <w:spacing w:after="80" w:line="278" w:lineRule="auto"/>
        <w:ind w:left="720" w:hanging="360"/>
        <w:keepLines/>
      </w:pPr>
      <w:r>
        <w:rPr>
          <w:rFonts w:ascii="DejaVu Sans" w:hAnsi="DejaVu Sans" w:eastAsia="DejaVu Sans"/>
          <w:color w:val="17202A"/>
          <w:sz w:val="21"/>
        </w:rPr>
        <w:t>Provide Indian currency formatting while preserving a stable typing cursor.</w:t>
      </w:r>
    </w:p>
    <w:p>
      <w:pPr>
        <w:pStyle w:val="ListBullet"/>
        <w:spacing w:after="80" w:line="278" w:lineRule="auto"/>
        <w:ind w:left="720" w:hanging="360"/>
        <w:keepLines/>
      </w:pPr>
      <w:r>
        <w:rPr>
          <w:rFonts w:ascii="DejaVu Sans" w:hAnsi="DejaVu Sans" w:eastAsia="DejaVu Sans"/>
          <w:color w:val="17202A"/>
          <w:sz w:val="21"/>
        </w:rPr>
        <w:t>Use explicit Unknown options and keep validation beside the field.</w:t>
      </w:r>
    </w:p>
    <w:p>
      <w:pPr>
        <w:pStyle w:val="ListBullet"/>
        <w:spacing w:after="80" w:line="278" w:lineRule="auto"/>
        <w:ind w:left="720" w:hanging="360"/>
        <w:keepLines/>
      </w:pPr>
      <w:r>
        <w:rPr>
          <w:rFonts w:ascii="DejaVu Sans" w:hAnsi="DejaVu Sans" w:eastAsia="DejaVu Sans"/>
          <w:color w:val="17202A"/>
          <w:sz w:val="21"/>
        </w:rPr>
        <w:t>Keep Back and Continue in a sticky mobile action bar with 44px minimum targets.</w:t>
      </w:r>
    </w:p>
    <w:p>
      <w:pPr>
        <w:pStyle w:val="ListBullet"/>
        <w:spacing w:after="80" w:line="278" w:lineRule="auto"/>
        <w:ind w:left="720" w:hanging="360"/>
        <w:keepLines/>
      </w:pPr>
      <w:r>
        <w:rPr>
          <w:rFonts w:ascii="DejaVu Sans" w:hAnsi="DejaVu Sans" w:eastAsia="DejaVu Sans"/>
          <w:color w:val="17202A"/>
          <w:sz w:val="21"/>
        </w:rPr>
        <w:t>Move keyboard focus to the new question heading and announce validation/results with appropriate ARIA regions.</w:t>
      </w:r>
    </w:p>
    <w:p>
      <w:pPr>
        <w:pStyle w:val="Heading2"/>
        <w:keepNext/>
        <w:keepLines/>
      </w:pPr>
      <w:r>
        <w:t>11.3 Results hierarchy</w:t>
      </w:r>
    </w:p>
    <w:p>
      <w:pPr>
        <w:spacing w:after="100" w:line="278" w:lineRule="auto"/>
        <w:ind w:left="720" w:hanging="360"/>
        <w:numPr>
          <w:ilvl w:val="0"/>
          <w:numId w:val="12"/>
        </w:numPr>
      </w:pPr>
      <w:r>
        <w:rPr>
          <w:rFonts w:ascii="DejaVu Sans" w:hAnsi="DejaVu Sans" w:eastAsia="DejaVu Sans"/>
          <w:color w:val="17202A"/>
          <w:sz w:val="21"/>
        </w:rPr>
        <w:t>Verdict hero: decision, one-sentence reason and recommended next step.</w:t>
      </w:r>
    </w:p>
    <w:p>
      <w:pPr>
        <w:spacing w:after="100" w:line="278" w:lineRule="auto"/>
        <w:ind w:left="720" w:hanging="360"/>
        <w:numPr>
          <w:ilvl w:val="0"/>
          <w:numId w:val="12"/>
        </w:numPr>
      </w:pPr>
      <w:r>
        <w:rPr>
          <w:rFonts w:ascii="DejaVu Sans" w:hAnsi="DejaVu Sans" w:eastAsia="DejaVu Sans"/>
          <w:color w:val="17202A"/>
          <w:sz w:val="21"/>
        </w:rPr>
        <w:t>Amount comparison: lender view versus safer borrower view.</w:t>
      </w:r>
    </w:p>
    <w:p>
      <w:pPr>
        <w:spacing w:after="100" w:line="278" w:lineRule="auto"/>
        <w:ind w:left="720" w:hanging="360"/>
        <w:numPr>
          <w:ilvl w:val="0"/>
          <w:numId w:val="12"/>
        </w:numPr>
      </w:pPr>
      <w:r>
        <w:rPr>
          <w:rFonts w:ascii="DejaVu Sans" w:hAnsi="DejaVu Sans" w:eastAsia="DejaVu Sans"/>
          <w:color w:val="17202A"/>
          <w:sz w:val="21"/>
        </w:rPr>
        <w:t>EMI and tenure: ceiling, alternatives, total repayment and stress.</w:t>
      </w:r>
    </w:p>
    <w:p>
      <w:pPr>
        <w:spacing w:after="100" w:line="278" w:lineRule="auto"/>
        <w:ind w:left="720" w:hanging="360"/>
        <w:numPr>
          <w:ilvl w:val="0"/>
          <w:numId w:val="12"/>
        </w:numPr>
      </w:pPr>
      <w:r>
        <w:rPr>
          <w:rFonts w:ascii="DejaVu Sans" w:hAnsi="DejaVu Sans" w:eastAsia="DejaVu Sans"/>
          <w:color w:val="17202A"/>
          <w:sz w:val="21"/>
        </w:rPr>
        <w:t>Pricing: fair rate, estimated APR, fee assumptions and confidence.</w:t>
      </w:r>
    </w:p>
    <w:p>
      <w:pPr>
        <w:spacing w:after="100" w:line="278" w:lineRule="auto"/>
        <w:ind w:left="720" w:hanging="360"/>
        <w:numPr>
          <w:ilvl w:val="0"/>
          <w:numId w:val="12"/>
        </w:numPr>
      </w:pPr>
      <w:r>
        <w:rPr>
          <w:rFonts w:ascii="DejaVu Sans" w:hAnsi="DejaVu Sans" w:eastAsia="DejaVu Sans"/>
          <w:color w:val="17202A"/>
          <w:sz w:val="21"/>
        </w:rPr>
        <w:t>Evidence: expandable Why? traces and missing-information effects.</w:t>
      </w:r>
    </w:p>
    <w:p>
      <w:pPr>
        <w:spacing w:after="100" w:line="278" w:lineRule="auto"/>
        <w:ind w:left="720" w:hanging="360"/>
        <w:numPr>
          <w:ilvl w:val="0"/>
          <w:numId w:val="12"/>
        </w:numPr>
      </w:pPr>
      <w:r>
        <w:rPr>
          <w:rFonts w:ascii="DejaVu Sans" w:hAnsi="DejaVu Sans" w:eastAsia="DejaVu Sans"/>
          <w:color w:val="17202A"/>
          <w:sz w:val="21"/>
        </w:rPr>
        <w:t>Negotiation Card: phone and print presentation using the same assessment contract.</w:t>
      </w:r>
    </w:p>
    <w:p>
      <w:pPr>
        <w:pStyle w:val="Heading1"/>
        <w:keepNext/>
        <w:keepLines/>
      </w:pPr>
      <w:r>
        <w:t>12. Negotiation Card contract</w:t>
      </w:r>
    </w:p>
    <w:p>
      <w:pPr>
        <w:spacing w:before="0" w:after="120" w:line="264" w:lineRule="auto"/>
      </w:pPr>
      <w:r>
        <w:rPr>
          <w:rFonts w:ascii="DejaVu Sans" w:hAnsi="DejaVu Sans" w:eastAsia="DejaVu Sans"/>
          <w:b w:val="0"/>
          <w:i w:val="0"/>
          <w:color w:val="17202A"/>
          <w:sz w:val="22"/>
        </w:rPr>
        <w:t>The card is not a sanction letter. It is a borrower-side comparison aid. It should fit on one printed page and remain readable at a mobile viewport without horizontal scrolling.</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2200"/>
        <w:gridCol w:w="7160"/>
      </w:tblGrid>
      <w:tr>
        <w:trPr>
          <w:tblHeader w:val="true"/>
          <w:cantSplit/>
        </w:trPr>
        <w:tc>
          <w:tcPr>
            <w:tcW w:type="dxa" w:w="220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Section</w:t>
            </w:r>
          </w:p>
        </w:tc>
        <w:tc>
          <w:tcPr>
            <w:tcW w:type="dxa" w:w="716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Required fields</w:t>
            </w:r>
          </w:p>
        </w:tc>
      </w:tr>
      <w:tr>
        <w:trPr>
          <w:cantSplit/>
        </w:trPr>
        <w:tc>
          <w:tcPr>
            <w:tcW w:type="dxa" w:w="22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Assessment</w:t>
            </w:r>
          </w:p>
        </w:tc>
        <w:tc>
          <w:tcPr>
            <w:tcW w:type="dxa" w:w="71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Date, confidence level and indicative-not-approval label</w:t>
            </w:r>
          </w:p>
        </w:tc>
      </w:tr>
      <w:tr>
        <w:trPr>
          <w:cantSplit/>
        </w:trPr>
        <w:tc>
          <w:tcPr>
            <w:tcW w:type="dxa" w:w="22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Request</w:t>
            </w:r>
          </w:p>
        </w:tc>
        <w:tc>
          <w:tcPr>
            <w:tcW w:type="dxa" w:w="71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Product, purpose, requested amount and preferred tenure</w:t>
            </w:r>
          </w:p>
        </w:tc>
      </w:tr>
      <w:tr>
        <w:trPr>
          <w:cantSplit/>
        </w:trPr>
        <w:tc>
          <w:tcPr>
            <w:tcW w:type="dxa" w:w="22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Recommendation</w:t>
            </w:r>
          </w:p>
        </w:tc>
        <w:tc>
          <w:tcPr>
            <w:tcW w:type="dxa" w:w="71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Verdict, recommended amount and EMI ceiling</w:t>
            </w:r>
          </w:p>
        </w:tc>
      </w:tr>
      <w:tr>
        <w:trPr>
          <w:cantSplit/>
        </w:trPr>
        <w:tc>
          <w:tcPr>
            <w:tcW w:type="dxa" w:w="22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Price check</w:t>
            </w:r>
          </w:p>
        </w:tc>
        <w:tc>
          <w:tcPr>
            <w:tcW w:type="dxa" w:w="71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Fair interest band, APR band and fee assumptions</w:t>
            </w:r>
          </w:p>
        </w:tc>
      </w:tr>
      <w:tr>
        <w:trPr>
          <w:cantSplit/>
        </w:trPr>
        <w:tc>
          <w:tcPr>
            <w:tcW w:type="dxa" w:w="22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Why</w:t>
            </w:r>
          </w:p>
        </w:tc>
        <w:tc>
          <w:tcPr>
            <w:tcW w:type="dxa" w:w="71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Three strongest borrower-specific reasons drawn from traces</w:t>
            </w:r>
          </w:p>
        </w:tc>
      </w:tr>
      <w:tr>
        <w:trPr>
          <w:cantSplit/>
        </w:trPr>
        <w:tc>
          <w:tcPr>
            <w:tcW w:type="dxa" w:w="22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Stress</w:t>
            </w:r>
          </w:p>
        </w:tc>
        <w:tc>
          <w:tcPr>
            <w:tcW w:type="dxa" w:w="71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One relevant downside result</w:t>
            </w:r>
          </w:p>
        </w:tc>
      </w:tr>
      <w:tr>
        <w:trPr>
          <w:cantSplit/>
        </w:trPr>
        <w:tc>
          <w:tcPr>
            <w:tcW w:type="dxa" w:w="22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Ask the lender</w:t>
            </w:r>
          </w:p>
        </w:tc>
        <w:tc>
          <w:tcPr>
            <w:tcW w:type="dxa" w:w="71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KFS, all compulsory charges, insurance, fixed/floating terms and prepayment terms</w:t>
            </w:r>
          </w:p>
        </w:tc>
      </w:tr>
      <w:tr>
        <w:trPr>
          <w:cantSplit/>
        </w:trPr>
        <w:tc>
          <w:tcPr>
            <w:tcW w:type="dxa" w:w="22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Limitations</w:t>
            </w:r>
          </w:p>
        </w:tc>
        <w:tc>
          <w:tcPr>
            <w:tcW w:type="dxa" w:w="71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Self-reported data; not credit approval or personalized regulated advice</w:t>
            </w:r>
          </w:p>
        </w:tc>
      </w:tr>
    </w:tbl>
    <w:p>
      <w:pPr>
        <w:pStyle w:val="Heading2"/>
        <w:keepNext/>
        <w:keepLines/>
      </w:pPr>
      <w:r>
        <w:t>12.1 Example negotiation language</w:t>
      </w:r>
    </w:p>
    <w:tbl>
      <w:tblPr>
        <w:tblW w:type="dxa" w:w="9360"/>
        <w:jc w:val="left"/>
        <w:tblLayout w:type="fixed"/>
        <w:tblLook w:firstColumn="1" w:firstRow="1" w:lastColumn="0" w:lastRow="0" w:noHBand="0" w:noVBand="1" w:val="04A0"/>
        <w:tblInd w:w="120" w:type="dxa"/>
        <w:tblBorders>
          <w:top w:val="single" w:sz="2" w:space="0" w:color="E7F4F2"/>
          <w:left w:val="single" w:sz="2" w:space="0" w:color="E7F4F2"/>
          <w:bottom w:val="single" w:sz="2" w:space="0" w:color="E7F4F2"/>
          <w:right w:val="single" w:sz="2" w:space="0" w:color="E7F4F2"/>
          <w:insideH w:val="single" w:sz="2" w:space="0" w:color="E7F4F2"/>
          <w:insideV w:val="single" w:sz="2" w:space="0" w:color="E7F4F2"/>
        </w:tblBorders>
      </w:tblPr>
      <w:tblGrid>
        <w:gridCol w:w="9360"/>
      </w:tblGrid>
      <w:tr>
        <w:trPr>
          <w:cantSplit/>
        </w:trPr>
        <w:tc>
          <w:tcPr>
            <w:tcW w:type="dxa" w:w="9360"/>
            <w:vAlign w:val="center"/>
            <w:tcMar>
              <w:top w:w="100" w:type="dxa"/>
              <w:start w:w="120" w:type="dxa"/>
              <w:bottom w:w="100" w:type="dxa"/>
              <w:end w:w="120" w:type="dxa"/>
            </w:tcMar>
            <w:shd w:fill="E7F4F2"/>
          </w:tcPr>
          <w:p>
            <w:pPr>
              <w:spacing w:before="40" w:after="40" w:line="264" w:lineRule="auto"/>
            </w:pPr>
            <w:r>
              <w:rPr>
                <w:rFonts w:ascii="DejaVu Sans" w:hAnsi="DejaVu Sans" w:eastAsia="DejaVu Sans"/>
                <w:b/>
                <w:color w:val="167D78"/>
                <w:sz w:val="18"/>
              </w:rPr>
              <w:t xml:space="preserve">BORROWER SCRIPT  </w:t>
            </w:r>
            <w:r>
              <w:rPr>
                <w:rFonts w:ascii="DejaVu Sans" w:hAnsi="DejaVu Sans" w:eastAsia="DejaVu Sans"/>
                <w:color w:val="17202A"/>
                <w:sz w:val="20"/>
              </w:rPr>
              <w:t>Based on my reported profile, the indicative fair range is X%-Y% and my EMI ceiling is INR Z. Please show me the Key Facts Statement and the APR after all compulsory charges so I can compare the offer fairly.</w:t>
            </w:r>
          </w:p>
        </w:tc>
      </w:tr>
    </w:tbl>
    <w:p>
      <w:pPr>
        <w:pStyle w:val="Heading2"/>
        <w:keepNext/>
        <w:keepLines/>
      </w:pPr>
      <w:r>
        <w:t>12.2 Print behavior</w:t>
      </w:r>
    </w:p>
    <w:p>
      <w:pPr>
        <w:pStyle w:val="ListBullet"/>
        <w:spacing w:after="80" w:line="278" w:lineRule="auto"/>
        <w:ind w:left="720" w:hanging="360"/>
        <w:keepLines/>
      </w:pPr>
      <w:r>
        <w:rPr>
          <w:rFonts w:ascii="DejaVu Sans" w:hAnsi="DejaVu Sans" w:eastAsia="DejaVu Sans"/>
          <w:color w:val="17202A"/>
          <w:sz w:val="21"/>
        </w:rPr>
        <w:t>Use a dedicated print stylesheet; hide navigation, progress controls and refinement actions.</w:t>
      </w:r>
    </w:p>
    <w:p>
      <w:pPr>
        <w:pStyle w:val="ListBullet"/>
        <w:spacing w:after="80" w:line="278" w:lineRule="auto"/>
        <w:ind w:left="720" w:hanging="360"/>
        <w:keepLines/>
      </w:pPr>
      <w:r>
        <w:rPr>
          <w:rFonts w:ascii="DejaVu Sans" w:hAnsi="DejaVu Sans" w:eastAsia="DejaVu Sans"/>
          <w:color w:val="17202A"/>
          <w:sz w:val="21"/>
        </w:rPr>
        <w:t>Preserve high contrast without depending on background colors being printed.</w:t>
      </w:r>
    </w:p>
    <w:p>
      <w:pPr>
        <w:pStyle w:val="ListBullet"/>
        <w:spacing w:after="80" w:line="278" w:lineRule="auto"/>
        <w:ind w:left="720" w:hanging="360"/>
        <w:keepLines/>
      </w:pPr>
      <w:r>
        <w:rPr>
          <w:rFonts w:ascii="DejaVu Sans" w:hAnsi="DejaVu Sans" w:eastAsia="DejaVu Sans"/>
          <w:color w:val="17202A"/>
          <w:sz w:val="21"/>
        </w:rPr>
        <w:t>Avoid automatic file upload. Browser print-to-PDF is sufficient for the challenge.</w:t>
      </w:r>
    </w:p>
    <w:p>
      <w:pPr>
        <w:pStyle w:val="ListBullet"/>
        <w:spacing w:after="80" w:line="278" w:lineRule="auto"/>
        <w:ind w:left="720" w:hanging="360"/>
        <w:keepLines/>
      </w:pPr>
      <w:r>
        <w:rPr>
          <w:rFonts w:ascii="DejaVu Sans" w:hAnsi="DejaVu Sans" w:eastAsia="DejaVu Sans"/>
          <w:color w:val="17202A"/>
          <w:sz w:val="21"/>
        </w:rPr>
        <w:t>Do not put borrower answers in a shareable URL.</w:t>
      </w:r>
    </w:p>
    <w:p>
      <w:r>
        <w:br w:type="page"/>
      </w:r>
    </w:p>
    <w:p>
      <w:pPr>
        <w:pStyle w:val="Heading1"/>
        <w:keepNext/>
        <w:keepLines/>
      </w:pPr>
      <w:r>
        <w:t>13. Privacy, safety and accessibility</w:t>
      </w:r>
    </w:p>
    <w:p>
      <w:pPr>
        <w:pStyle w:val="Heading2"/>
        <w:keepNext/>
        <w:keepLines/>
      </w:pPr>
      <w:r>
        <w:t>13.1 Data handling</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2100"/>
        <w:gridCol w:w="7260"/>
      </w:tblGrid>
      <w:tr>
        <w:trPr>
          <w:tblHeader w:val="true"/>
          <w:cantSplit/>
        </w:trPr>
        <w:tc>
          <w:tcPr>
            <w:tcW w:type="dxa" w:w="21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Control</w:t>
            </w:r>
          </w:p>
        </w:tc>
        <w:tc>
          <w:tcPr>
            <w:tcW w:type="dxa" w:w="726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Implementation</w:t>
            </w:r>
          </w:p>
        </w:tc>
      </w:tr>
      <w:tr>
        <w:trPr>
          <w:cantSplit/>
        </w:trPr>
        <w:tc>
          <w:tcPr>
            <w:tcW w:type="dxa" w:w="21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Collection</w:t>
            </w:r>
          </w:p>
        </w:tc>
        <w:tc>
          <w:tcPr>
            <w:tcW w:type="dxa" w:w="72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Collect only answers needed by an output or confidence calculation.</w:t>
            </w:r>
          </w:p>
        </w:tc>
      </w:tr>
      <w:tr>
        <w:trPr>
          <w:cantSplit/>
        </w:trPr>
        <w:tc>
          <w:tcPr>
            <w:tcW w:type="dxa" w:w="21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Storage</w:t>
            </w:r>
          </w:p>
        </w:tc>
        <w:tc>
          <w:tcPr>
            <w:tcW w:type="dxa" w:w="72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Keep answers in React memory; no localStorage, sessionStorage or database.</w:t>
            </w:r>
          </w:p>
        </w:tc>
      </w:tr>
      <w:tr>
        <w:trPr>
          <w:cantSplit/>
        </w:trPr>
        <w:tc>
          <w:tcPr>
            <w:tcW w:type="dxa" w:w="21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Transmission</w:t>
            </w:r>
          </w:p>
        </w:tc>
        <w:tc>
          <w:tcPr>
            <w:tcW w:type="dxa" w:w="72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No backend submission and no analytics events containing answer values.</w:t>
            </w:r>
          </w:p>
        </w:tc>
      </w:tr>
      <w:tr>
        <w:trPr>
          <w:cantSplit/>
        </w:trPr>
        <w:tc>
          <w:tcPr>
            <w:tcW w:type="dxa" w:w="21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Reset</w:t>
            </w:r>
          </w:p>
        </w:tc>
        <w:tc>
          <w:tcPr>
            <w:tcW w:type="dxa" w:w="72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Clear state after explicit confirmation and return to the landing page.</w:t>
            </w:r>
          </w:p>
        </w:tc>
      </w:tr>
      <w:tr>
        <w:trPr>
          <w:cantSplit/>
        </w:trPr>
        <w:tc>
          <w:tcPr>
            <w:tcW w:type="dxa" w:w="21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Samples</w:t>
            </w:r>
          </w:p>
        </w:tc>
        <w:tc>
          <w:tcPr>
            <w:tcW w:type="dxa" w:w="72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Use separate hardcoded fixtures for Priya, Ravi and Anita.</w:t>
            </w:r>
          </w:p>
        </w:tc>
      </w:tr>
      <w:tr>
        <w:trPr>
          <w:cantSplit/>
        </w:trPr>
        <w:tc>
          <w:tcPr>
            <w:tcW w:type="dxa" w:w="21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Disclosure</w:t>
            </w:r>
          </w:p>
        </w:tc>
        <w:tc>
          <w:tcPr>
            <w:tcW w:type="dxa" w:w="72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Explain that refreshing or closing the page clears the assessment.</w:t>
            </w:r>
          </w:p>
        </w:tc>
      </w:tr>
    </w:tbl>
    <w:p>
      <w:pPr>
        <w:pStyle w:val="Heading2"/>
        <w:keepNext/>
        <w:keepLines/>
      </w:pPr>
      <w:r>
        <w:t>13.2 Safety language</w:t>
      </w:r>
    </w:p>
    <w:p>
      <w:pPr>
        <w:pStyle w:val="ListBullet"/>
        <w:spacing w:after="80" w:line="278" w:lineRule="auto"/>
        <w:ind w:left="720" w:hanging="360"/>
        <w:keepLines/>
      </w:pPr>
      <w:r>
        <w:rPr>
          <w:rFonts w:ascii="DejaVu Sans" w:hAnsi="DejaVu Sans" w:eastAsia="DejaVu Sans"/>
          <w:color w:val="17202A"/>
          <w:sz w:val="21"/>
        </w:rPr>
        <w:t>Use indicative, estimate, likely and based on your answers; avoid approved, guaranteed or best available.</w:t>
      </w:r>
    </w:p>
    <w:p>
      <w:pPr>
        <w:pStyle w:val="ListBullet"/>
        <w:spacing w:after="80" w:line="278" w:lineRule="auto"/>
        <w:ind w:left="720" w:hanging="360"/>
        <w:keepLines/>
      </w:pPr>
      <w:r>
        <w:rPr>
          <w:rFonts w:ascii="DejaVu Sans" w:hAnsi="DejaVu Sans" w:eastAsia="DejaVu Sans"/>
          <w:color w:val="17202A"/>
          <w:sz w:val="21"/>
        </w:rPr>
        <w:t>For distress outcomes, give constructive steps without shame or alarmist copy.</w:t>
      </w:r>
    </w:p>
    <w:p>
      <w:pPr>
        <w:pStyle w:val="ListBullet"/>
        <w:spacing w:after="80" w:line="278" w:lineRule="auto"/>
        <w:ind w:left="720" w:hanging="360"/>
        <w:keepLines/>
      </w:pPr>
      <w:r>
        <w:rPr>
          <w:rFonts w:ascii="DejaVu Sans" w:hAnsi="DejaVu Sans" w:eastAsia="DejaVu Sans"/>
          <w:color w:val="17202A"/>
          <w:sz w:val="21"/>
        </w:rPr>
        <w:t>Document all judgement-based thresholds as such; do not attribute invented FOIR values to RBI.</w:t>
      </w:r>
    </w:p>
    <w:p>
      <w:pPr>
        <w:pStyle w:val="Heading2"/>
        <w:keepNext/>
        <w:keepLines/>
      </w:pPr>
      <w:r>
        <w:t>13.3 Accessibility acceptance criteria</w:t>
      </w:r>
    </w:p>
    <w:p>
      <w:pPr>
        <w:pStyle w:val="ListBullet"/>
        <w:spacing w:after="80" w:line="278" w:lineRule="auto"/>
        <w:ind w:left="720" w:hanging="360"/>
        <w:keepLines/>
      </w:pPr>
      <w:r>
        <w:rPr>
          <w:rFonts w:ascii="DejaVu Sans" w:hAnsi="DejaVu Sans" w:eastAsia="DejaVu Sans"/>
          <w:color w:val="17202A"/>
          <w:sz w:val="21"/>
        </w:rPr>
        <w:t>All controls are keyboard reachable with a visible focus indicator.</w:t>
      </w:r>
    </w:p>
    <w:p>
      <w:pPr>
        <w:pStyle w:val="ListBullet"/>
        <w:spacing w:after="80" w:line="278" w:lineRule="auto"/>
        <w:ind w:left="720" w:hanging="360"/>
        <w:keepLines/>
      </w:pPr>
      <w:r>
        <w:rPr>
          <w:rFonts w:ascii="DejaVu Sans" w:hAnsi="DejaVu Sans" w:eastAsia="DejaVu Sans"/>
          <w:color w:val="17202A"/>
          <w:sz w:val="21"/>
        </w:rPr>
        <w:t>Inputs have programmatic labels, instructions and associated error messages.</w:t>
      </w:r>
    </w:p>
    <w:p>
      <w:pPr>
        <w:pStyle w:val="ListBullet"/>
        <w:spacing w:after="80" w:line="278" w:lineRule="auto"/>
        <w:ind w:left="720" w:hanging="360"/>
        <w:keepLines/>
      </w:pPr>
      <w:r>
        <w:rPr>
          <w:rFonts w:ascii="DejaVu Sans" w:hAnsi="DejaVu Sans" w:eastAsia="DejaVu Sans"/>
          <w:color w:val="17202A"/>
          <w:sz w:val="21"/>
        </w:rPr>
        <w:t>Verdicts use text and icons in addition to color.</w:t>
      </w:r>
    </w:p>
    <w:p>
      <w:pPr>
        <w:pStyle w:val="ListBullet"/>
        <w:spacing w:after="80" w:line="278" w:lineRule="auto"/>
        <w:ind w:left="720" w:hanging="360"/>
        <w:keepLines/>
      </w:pPr>
      <w:r>
        <w:rPr>
          <w:rFonts w:ascii="DejaVu Sans" w:hAnsi="DejaVu Sans" w:eastAsia="DejaVu Sans"/>
          <w:color w:val="17202A"/>
          <w:sz w:val="21"/>
        </w:rPr>
        <w:t>Heading order is logical and result updates are announced without stealing focus unexpectedly.</w:t>
      </w:r>
    </w:p>
    <w:p>
      <w:pPr>
        <w:pStyle w:val="ListBullet"/>
        <w:spacing w:after="80" w:line="278" w:lineRule="auto"/>
        <w:ind w:left="720" w:hanging="360"/>
        <w:keepLines/>
      </w:pPr>
      <w:r>
        <w:rPr>
          <w:rFonts w:ascii="DejaVu Sans" w:hAnsi="DejaVu Sans" w:eastAsia="DejaVu Sans"/>
          <w:color w:val="17202A"/>
          <w:sz w:val="21"/>
        </w:rPr>
        <w:t>Touch targets are at least 44 by 44 pixels and body text remains readable at 200% zoom.</w:t>
      </w:r>
    </w:p>
    <w:tbl>
      <w:tblPr>
        <w:tblW w:type="dxa" w:w="9360"/>
        <w:jc w:val="left"/>
        <w:tblLayout w:type="fixed"/>
        <w:tblLook w:firstColumn="1" w:firstRow="1" w:lastColumn="0" w:lastRow="0" w:noHBand="0" w:noVBand="1" w:val="04A0"/>
        <w:tblInd w:w="120" w:type="dxa"/>
        <w:tblBorders>
          <w:top w:val="single" w:sz="2" w:space="0" w:color="FBF4E3"/>
          <w:left w:val="single" w:sz="2" w:space="0" w:color="FBF4E3"/>
          <w:bottom w:val="single" w:sz="2" w:space="0" w:color="FBF4E3"/>
          <w:right w:val="single" w:sz="2" w:space="0" w:color="FBF4E3"/>
          <w:insideH w:val="single" w:sz="2" w:space="0" w:color="FBF4E3"/>
          <w:insideV w:val="single" w:sz="2" w:space="0" w:color="FBF4E3"/>
        </w:tblBorders>
      </w:tblPr>
      <w:tblGrid>
        <w:gridCol w:w="9360"/>
      </w:tblGrid>
      <w:tr>
        <w:trPr>
          <w:cantSplit/>
        </w:trPr>
        <w:tc>
          <w:tcPr>
            <w:tcW w:type="dxa" w:w="9360"/>
            <w:vAlign w:val="center"/>
            <w:tcMar>
              <w:top w:w="100" w:type="dxa"/>
              <w:start w:w="120" w:type="dxa"/>
              <w:bottom w:w="100" w:type="dxa"/>
              <w:end w:w="120" w:type="dxa"/>
            </w:tcMar>
            <w:shd w:fill="FBF4E3"/>
          </w:tcPr>
          <w:p>
            <w:pPr>
              <w:spacing w:before="40" w:after="40" w:line="264" w:lineRule="auto"/>
            </w:pPr>
            <w:r>
              <w:rPr>
                <w:rFonts w:ascii="DejaVu Sans" w:hAnsi="DejaVu Sans" w:eastAsia="DejaVu Sans"/>
                <w:b/>
                <w:color w:val="8A6500"/>
                <w:sz w:val="18"/>
              </w:rPr>
              <w:t xml:space="preserve">FAILURE BEHAVIOR  </w:t>
            </w:r>
            <w:r>
              <w:rPr>
                <w:rFonts w:ascii="DejaVu Sans" w:hAnsi="DejaVu Sans" w:eastAsia="DejaVu Sans"/>
                <w:color w:val="17202A"/>
                <w:sz w:val="20"/>
              </w:rPr>
              <w:t>Because the engine is local and synchronous, do not show fake network loading. If an unexpected calculation error occurs, preserve answers, show a recoverable message and allow the borrower to go back.</w:t>
            </w:r>
          </w:p>
        </w:tc>
      </w:tr>
    </w:tbl>
    <w:p>
      <w:r>
        <w:br w:type="page"/>
      </w:r>
    </w:p>
    <w:p>
      <w:pPr>
        <w:pStyle w:val="Heading1"/>
        <w:keepNext/>
        <w:keepLines/>
      </w:pPr>
      <w:r>
        <w:t>14. Repository architecture</w:t>
      </w:r>
    </w:p>
    <w:tbl>
      <w:tblPr>
        <w:tblW w:type="dxa" w:w="9360"/>
        <w:jc w:val="left"/>
        <w:tblLayout w:type="fixed"/>
        <w:tblLook w:firstColumn="1" w:firstRow="1" w:lastColumn="0" w:lastRow="0" w:noHBand="0" w:noVBand="1" w:val="04A0"/>
        <w:tblInd w:w="120" w:type="dxa"/>
        <w:tblBorders>
          <w:top w:val="single" w:sz="4" w:space="0" w:color="D7DEE2"/>
          <w:left w:val="single" w:sz="4" w:space="0" w:color="D7DEE2"/>
          <w:bottom w:val="single" w:sz="4" w:space="0" w:color="D7DEE2"/>
          <w:right w:val="single" w:sz="4" w:space="0" w:color="D7DEE2"/>
          <w:insideH w:val="single" w:sz="4" w:space="0" w:color="D7DEE2"/>
          <w:insideV w:val="single" w:sz="4" w:space="0" w:color="D7DEE2"/>
        </w:tblBorders>
      </w:tblPr>
      <w:tblGrid>
        <w:gridCol w:w="9360"/>
      </w:tblGrid>
      <w:tr>
        <w:trPr>
          <w:cantSplit/>
        </w:trPr>
        <w:tc>
          <w:tcPr>
            <w:tcW w:type="dxa" w:w="9360"/>
            <w:vAlign w:val="center"/>
            <w:tcMar>
              <w:top w:w="100" w:type="dxa"/>
              <w:start w:w="120" w:type="dxa"/>
              <w:bottom w:w="100" w:type="dxa"/>
              <w:end w:w="120" w:type="dxa"/>
            </w:tcMar>
            <w:shd w:fill="F7F9FA"/>
          </w:tcPr>
          <w:p>
            <w:pPr>
              <w:spacing w:after="0" w:line="240" w:lineRule="auto"/>
            </w:pPr>
            <w:r>
              <w:rPr>
                <w:rFonts w:ascii="DejaVu Sans Mono" w:hAnsi="DejaVu Sans Mono" w:eastAsia="DejaVu Sans Mono"/>
                <w:color w:val="16283F"/>
                <w:sz w:val="16"/>
              </w:rPr>
              <w:t>borrower-copilot/</w:t>
            </w:r>
            <w:r>
              <w:br/>
            </w:r>
            <w:r>
              <w:rPr>
                <w:rFonts w:ascii="DejaVu Sans Mono" w:hAnsi="DejaVu Sans Mono" w:eastAsia="DejaVu Sans Mono"/>
                <w:color w:val="16283F"/>
                <w:sz w:val="16"/>
              </w:rPr>
              <w:t>|-- README.md</w:t>
            </w:r>
            <w:r>
              <w:br/>
            </w:r>
            <w:r>
              <w:rPr>
                <w:rFonts w:ascii="DejaVu Sans Mono" w:hAnsi="DejaVu Sans Mono" w:eastAsia="DejaVu Sans Mono"/>
                <w:color w:val="16283F"/>
                <w:sz w:val="16"/>
              </w:rPr>
              <w:t>|-- RULES.md</w:t>
            </w:r>
            <w:r>
              <w:br/>
            </w:r>
            <w:r>
              <w:rPr>
                <w:rFonts w:ascii="DejaVu Sans Mono" w:hAnsi="DejaVu Sans Mono" w:eastAsia="DejaVu Sans Mono"/>
                <w:color w:val="16283F"/>
                <w:sz w:val="16"/>
              </w:rPr>
              <w:t>|-- RUN_THROUGHS.md</w:t>
            </w:r>
            <w:r>
              <w:br/>
            </w:r>
            <w:r>
              <w:rPr>
                <w:rFonts w:ascii="DejaVu Sans Mono" w:hAnsi="DejaVu Sans Mono" w:eastAsia="DejaVu Sans Mono"/>
                <w:color w:val="16283F"/>
                <w:sz w:val="16"/>
              </w:rPr>
              <w:t>|-- WALKTHROUGH.md</w:t>
            </w:r>
            <w:r>
              <w:br/>
            </w:r>
            <w:r>
              <w:rPr>
                <w:rFonts w:ascii="DejaVu Sans Mono" w:hAnsi="DejaVu Sans Mono" w:eastAsia="DejaVu Sans Mono"/>
                <w:color w:val="16283F"/>
                <w:sz w:val="16"/>
              </w:rPr>
              <w:t>|-- src/</w:t>
            </w:r>
            <w:r>
              <w:br/>
            </w:r>
            <w:r>
              <w:rPr>
                <w:rFonts w:ascii="DejaVu Sans Mono" w:hAnsi="DejaVu Sans Mono" w:eastAsia="DejaVu Sans Mono"/>
                <w:color w:val="16283F"/>
                <w:sz w:val="16"/>
              </w:rPr>
              <w:t>|   |-- app/              # App shell, context, reducer and phase routing</w:t>
            </w:r>
            <w:r>
              <w:br/>
            </w:r>
            <w:r>
              <w:rPr>
                <w:rFonts w:ascii="DejaVu Sans Mono" w:hAnsi="DejaVu Sans Mono" w:eastAsia="DejaVu Sans Mono"/>
                <w:color w:val="16283F"/>
                <w:sz w:val="16"/>
              </w:rPr>
              <w:t>|   |-- pages/            # Landing, assessment, results and card pages</w:t>
            </w:r>
            <w:r>
              <w:br/>
            </w:r>
            <w:r>
              <w:rPr>
                <w:rFonts w:ascii="DejaVu Sans Mono" w:hAnsi="DejaVu Sans Mono" w:eastAsia="DejaVu Sans Mono"/>
                <w:color w:val="16283F"/>
                <w:sz w:val="16"/>
              </w:rPr>
              <w:t>|   |-- components/       # Common, questionnaire, results and card UI</w:t>
            </w:r>
            <w:r>
              <w:br/>
            </w:r>
            <w:r>
              <w:rPr>
                <w:rFonts w:ascii="DejaVu Sans Mono" w:hAnsi="DejaVu Sans Mono" w:eastAsia="DejaVu Sans Mono"/>
                <w:color w:val="16283F"/>
                <w:sz w:val="16"/>
              </w:rPr>
              <w:t>|   |-- domain/           # Assessment pipeline and output contracts</w:t>
            </w:r>
            <w:r>
              <w:br/>
            </w:r>
            <w:r>
              <w:rPr>
                <w:rFonts w:ascii="DejaVu Sans Mono" w:hAnsi="DejaVu Sans Mono" w:eastAsia="DejaVu Sans Mono"/>
                <w:color w:val="16283F"/>
                <w:sz w:val="16"/>
              </w:rPr>
              <w:t>|   |-- rules/            # Thresholds, bands, modifiers and metadata</w:t>
            </w:r>
            <w:r>
              <w:br/>
            </w:r>
            <w:r>
              <w:rPr>
                <w:rFonts w:ascii="DejaVu Sans Mono" w:hAnsi="DejaVu Sans Mono" w:eastAsia="DejaVu Sans Mono"/>
                <w:color w:val="16283F"/>
                <w:sz w:val="16"/>
              </w:rPr>
              <w:t>|   |-- questions/        # Essential and income-specific definitions</w:t>
            </w:r>
            <w:r>
              <w:br/>
            </w:r>
            <w:r>
              <w:rPr>
                <w:rFonts w:ascii="DejaVu Sans Mono" w:hAnsi="DejaVu Sans Mono" w:eastAsia="DejaVu Sans Mono"/>
                <w:color w:val="16283F"/>
                <w:sz w:val="16"/>
              </w:rPr>
              <w:t>|   |-- fixtures/         # Priya, Ravi and Anita</w:t>
            </w:r>
            <w:r>
              <w:br/>
            </w:r>
            <w:r>
              <w:rPr>
                <w:rFonts w:ascii="DejaVu Sans Mono" w:hAnsi="DejaVu Sans Mono" w:eastAsia="DejaVu Sans Mono"/>
                <w:color w:val="16283F"/>
                <w:sz w:val="16"/>
              </w:rPr>
              <w:t>|   |-- utils/            # INR formatting and print helpers</w:t>
            </w:r>
            <w:r>
              <w:br/>
            </w:r>
            <w:r>
              <w:rPr>
                <w:rFonts w:ascii="DejaVu Sans Mono" w:hAnsi="DejaVu Sans Mono" w:eastAsia="DejaVu Sans Mono"/>
                <w:color w:val="16283F"/>
                <w:sz w:val="16"/>
              </w:rPr>
              <w:t>|   `-- tests/            # Unit, component and integration tests</w:t>
            </w:r>
            <w:r>
              <w:br/>
            </w:r>
            <w:r>
              <w:rPr>
                <w:rFonts w:ascii="DejaVu Sans Mono" w:hAnsi="DejaVu Sans Mono" w:eastAsia="DejaVu Sans Mono"/>
                <w:color w:val="16283F"/>
                <w:sz w:val="16"/>
              </w:rPr>
              <w:t>`-- e2e/                  # Playwright persona and mobile journeys</w:t>
            </w:r>
          </w:p>
        </w:tc>
      </w:tr>
    </w:tbl>
    <w:p>
      <w:pPr>
        <w:pStyle w:val="Heading2"/>
        <w:keepNext/>
        <w:keepLines/>
      </w:pPr>
      <w:r>
        <w:t>14.1 Module ownership</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750"/>
        <w:gridCol w:w="3800"/>
        <w:gridCol w:w="3810"/>
      </w:tblGrid>
      <w:tr>
        <w:trPr>
          <w:tblHeader w:val="true"/>
          <w:cantSplit/>
        </w:trPr>
        <w:tc>
          <w:tcPr>
            <w:tcW w:type="dxa" w:w="175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Module</w:t>
            </w:r>
          </w:p>
        </w:tc>
        <w:tc>
          <w:tcPr>
            <w:tcW w:type="dxa" w:w="380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Must contain</w:t>
            </w:r>
          </w:p>
        </w:tc>
        <w:tc>
          <w:tcPr>
            <w:tcW w:type="dxa" w:w="381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Must not contain</w:t>
            </w:r>
          </w:p>
        </w:tc>
      </w:tr>
      <w:tr>
        <w:trPr>
          <w:cantSplit/>
        </w:trPr>
        <w:tc>
          <w:tcPr>
            <w:tcW w:type="dxa" w:w="175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components</w:t>
            </w:r>
          </w:p>
        </w:tc>
        <w:tc>
          <w:tcPr>
            <w:tcW w:type="dxa" w:w="38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Presentation, event callbacks and accessibility semantics</w:t>
            </w:r>
          </w:p>
        </w:tc>
        <w:tc>
          <w:tcPr>
            <w:tcW w:type="dxa" w:w="38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FOIR, pricing or verdict thresholds</w:t>
            </w:r>
          </w:p>
        </w:tc>
      </w:tr>
      <w:tr>
        <w:trPr>
          <w:cantSplit/>
        </w:trPr>
        <w:tc>
          <w:tcPr>
            <w:tcW w:type="dxa" w:w="175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questions</w:t>
            </w:r>
          </w:p>
        </w:tc>
        <w:tc>
          <w:tcPr>
            <w:tcW w:type="dxa" w:w="380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Schemas, conditions, impact metadata and validation</w:t>
            </w:r>
          </w:p>
        </w:tc>
        <w:tc>
          <w:tcPr>
            <w:tcW w:type="dxa" w:w="38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Assessment arithmetic</w:t>
            </w:r>
          </w:p>
        </w:tc>
      </w:tr>
      <w:tr>
        <w:trPr>
          <w:cantSplit/>
        </w:trPr>
        <w:tc>
          <w:tcPr>
            <w:tcW w:type="dxa" w:w="175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rules</w:t>
            </w:r>
          </w:p>
        </w:tc>
        <w:tc>
          <w:tcPr>
            <w:tcW w:type="dxa" w:w="38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Values, rationales, sources and effective dates</w:t>
            </w:r>
          </w:p>
        </w:tc>
        <w:tc>
          <w:tcPr>
            <w:tcW w:type="dxa" w:w="38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React imports</w:t>
            </w:r>
          </w:p>
        </w:tc>
      </w:tr>
      <w:tr>
        <w:trPr>
          <w:cantSplit/>
        </w:trPr>
        <w:tc>
          <w:tcPr>
            <w:tcW w:type="dxa" w:w="175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domain</w:t>
            </w:r>
          </w:p>
        </w:tc>
        <w:tc>
          <w:tcPr>
            <w:tcW w:type="dxa" w:w="380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Pure orchestration, derived values and result composition</w:t>
            </w:r>
          </w:p>
        </w:tc>
        <w:tc>
          <w:tcPr>
            <w:tcW w:type="dxa" w:w="381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CSS and browser storage</w:t>
            </w:r>
          </w:p>
        </w:tc>
      </w:tr>
      <w:tr>
        <w:trPr>
          <w:cantSplit/>
        </w:trPr>
        <w:tc>
          <w:tcPr>
            <w:tcW w:type="dxa" w:w="175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fixtures</w:t>
            </w:r>
          </w:p>
        </w:tc>
        <w:tc>
          <w:tcPr>
            <w:tcW w:type="dxa" w:w="38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Stable persona answers for tests and demos</w:t>
            </w:r>
          </w:p>
        </w:tc>
        <w:tc>
          <w:tcPr>
            <w:tcW w:type="dxa" w:w="381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Production branching logic</w:t>
            </w:r>
          </w:p>
        </w:tc>
      </w:tr>
    </w:tbl>
    <w:p>
      <w:pPr>
        <w:pStyle w:val="Heading2"/>
        <w:keepNext/>
        <w:keepLines/>
      </w:pPr>
      <w:r>
        <w:t>14.2 Build commands</w:t>
      </w:r>
    </w:p>
    <w:tbl>
      <w:tblPr>
        <w:tblW w:type="dxa" w:w="9360"/>
        <w:jc w:val="left"/>
        <w:tblLayout w:type="fixed"/>
        <w:tblLook w:firstColumn="1" w:firstRow="1" w:lastColumn="0" w:lastRow="0" w:noHBand="0" w:noVBand="1" w:val="04A0"/>
        <w:tblInd w:w="120" w:type="dxa"/>
        <w:tblBorders>
          <w:top w:val="single" w:sz="4" w:space="0" w:color="D7DEE2"/>
          <w:left w:val="single" w:sz="4" w:space="0" w:color="D7DEE2"/>
          <w:bottom w:val="single" w:sz="4" w:space="0" w:color="D7DEE2"/>
          <w:right w:val="single" w:sz="4" w:space="0" w:color="D7DEE2"/>
          <w:insideH w:val="single" w:sz="4" w:space="0" w:color="D7DEE2"/>
          <w:insideV w:val="single" w:sz="4" w:space="0" w:color="D7DEE2"/>
        </w:tblBorders>
      </w:tblPr>
      <w:tblGrid>
        <w:gridCol w:w="9360"/>
      </w:tblGrid>
      <w:tr>
        <w:trPr>
          <w:cantSplit/>
        </w:trPr>
        <w:tc>
          <w:tcPr>
            <w:tcW w:type="dxa" w:w="9360"/>
            <w:vAlign w:val="center"/>
            <w:tcMar>
              <w:top w:w="100" w:type="dxa"/>
              <w:start w:w="120" w:type="dxa"/>
              <w:bottom w:w="100" w:type="dxa"/>
              <w:end w:w="120" w:type="dxa"/>
            </w:tcMar>
            <w:shd w:fill="F7F9FA"/>
          </w:tcPr>
          <w:p>
            <w:pPr>
              <w:spacing w:after="0" w:line="240" w:lineRule="auto"/>
            </w:pPr>
            <w:r>
              <w:rPr>
                <w:rFonts w:ascii="DejaVu Sans Mono" w:hAnsi="DejaVu Sans Mono" w:eastAsia="DejaVu Sans Mono"/>
                <w:color w:val="16283F"/>
                <w:sz w:val="16"/>
              </w:rPr>
              <w:t>npm install</w:t>
            </w:r>
            <w:r>
              <w:br/>
            </w:r>
            <w:r>
              <w:rPr>
                <w:rFonts w:ascii="DejaVu Sans Mono" w:hAnsi="DejaVu Sans Mono" w:eastAsia="DejaVu Sans Mono"/>
                <w:color w:val="16283F"/>
                <w:sz w:val="16"/>
              </w:rPr>
              <w:t>npm run dev</w:t>
            </w:r>
            <w:r>
              <w:br/>
            </w:r>
            <w:r>
              <w:rPr>
                <w:rFonts w:ascii="DejaVu Sans Mono" w:hAnsi="DejaVu Sans Mono" w:eastAsia="DejaVu Sans Mono"/>
                <w:color w:val="16283F"/>
                <w:sz w:val="16"/>
              </w:rPr>
              <w:t>npm run lint</w:t>
            </w:r>
            <w:r>
              <w:br/>
            </w:r>
            <w:r>
              <w:rPr>
                <w:rFonts w:ascii="DejaVu Sans Mono" w:hAnsi="DejaVu Sans Mono" w:eastAsia="DejaVu Sans Mono"/>
                <w:color w:val="16283F"/>
                <w:sz w:val="16"/>
              </w:rPr>
              <w:t>npm run typecheck</w:t>
            </w:r>
            <w:r>
              <w:br/>
            </w:r>
            <w:r>
              <w:rPr>
                <w:rFonts w:ascii="DejaVu Sans Mono" w:hAnsi="DejaVu Sans Mono" w:eastAsia="DejaVu Sans Mono"/>
                <w:color w:val="16283F"/>
                <w:sz w:val="16"/>
              </w:rPr>
              <w:t>npm run test</w:t>
            </w:r>
            <w:r>
              <w:br/>
            </w:r>
            <w:r>
              <w:rPr>
                <w:rFonts w:ascii="DejaVu Sans Mono" w:hAnsi="DejaVu Sans Mono" w:eastAsia="DejaVu Sans Mono"/>
                <w:color w:val="16283F"/>
                <w:sz w:val="16"/>
              </w:rPr>
              <w:t>npm run test:e2e</w:t>
            </w:r>
            <w:r>
              <w:br/>
            </w:r>
            <w:r>
              <w:rPr>
                <w:rFonts w:ascii="DejaVu Sans Mono" w:hAnsi="DejaVu Sans Mono" w:eastAsia="DejaVu Sans Mono"/>
                <w:color w:val="16283F"/>
                <w:sz w:val="16"/>
              </w:rPr>
              <w:t>npm run build</w:t>
            </w:r>
          </w:p>
        </w:tc>
      </w:tr>
    </w:tbl>
    <w:p>
      <w:r>
        <w:br w:type="page"/>
      </w:r>
    </w:p>
    <w:p>
      <w:pPr>
        <w:pStyle w:val="Heading1"/>
        <w:keepNext/>
        <w:keepLines/>
      </w:pPr>
      <w:r>
        <w:t>15. Test and verification architecture</w:t>
      </w:r>
    </w:p>
    <w:p>
      <w:pPr>
        <w:pStyle w:val="Heading2"/>
        <w:keepNext/>
        <w:keepLines/>
      </w:pPr>
      <w:r>
        <w:t>15.1 Unit coverage</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2100"/>
        <w:gridCol w:w="7260"/>
      </w:tblGrid>
      <w:tr>
        <w:trPr>
          <w:tblHeader w:val="true"/>
          <w:cantSplit/>
        </w:trPr>
        <w:tc>
          <w:tcPr>
            <w:tcW w:type="dxa" w:w="21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Area</w:t>
            </w:r>
          </w:p>
        </w:tc>
        <w:tc>
          <w:tcPr>
            <w:tcW w:type="dxa" w:w="726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Required cases</w:t>
            </w:r>
          </w:p>
        </w:tc>
      </w:tr>
      <w:tr>
        <w:trPr>
          <w:cantSplit/>
        </w:trPr>
        <w:tc>
          <w:tcPr>
            <w:tcW w:type="dxa" w:w="21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EMI/principal</w:t>
            </w:r>
          </w:p>
        </w:tc>
        <w:tc>
          <w:tcPr>
            <w:tcW w:type="dxa" w:w="72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Known examples, zero rate, short tenure, rounding and inverse consistency</w:t>
            </w:r>
          </w:p>
        </w:tc>
      </w:tr>
      <w:tr>
        <w:trPr>
          <w:cantSplit/>
        </w:trPr>
        <w:tc>
          <w:tcPr>
            <w:tcW w:type="dxa" w:w="21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APR</w:t>
            </w:r>
          </w:p>
        </w:tc>
        <w:tc>
          <w:tcPr>
            <w:tcW w:type="dxa" w:w="72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Zero fee, upfront fee, fee range, invalid cash flow and solver bounds</w:t>
            </w:r>
          </w:p>
        </w:tc>
      </w:tr>
      <w:tr>
        <w:trPr>
          <w:cantSplit/>
        </w:trPr>
        <w:tc>
          <w:tcPr>
            <w:tcW w:type="dxa" w:w="21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Affordability</w:t>
            </w:r>
          </w:p>
        </w:tc>
        <w:tc>
          <w:tcPr>
            <w:tcW w:type="dxa" w:w="72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No obligations, high obligations, negative surplus and variable income</w:t>
            </w:r>
          </w:p>
        </w:tc>
      </w:tr>
      <w:tr>
        <w:trPr>
          <w:cantSplit/>
        </w:trPr>
        <w:tc>
          <w:tcPr>
            <w:tcW w:type="dxa" w:w="21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Pricing</w:t>
            </w:r>
          </w:p>
        </w:tc>
        <w:tc>
          <w:tcPr>
            <w:tcW w:type="dxa" w:w="72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Strong score, unknown score, adverse repayment, collateral and modifier ordering</w:t>
            </w:r>
          </w:p>
        </w:tc>
      </w:tr>
      <w:tr>
        <w:trPr>
          <w:cantSplit/>
        </w:trPr>
        <w:tc>
          <w:tcPr>
            <w:tcW w:type="dxa" w:w="21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Confidence</w:t>
            </w:r>
          </w:p>
        </w:tc>
        <w:tc>
          <w:tcPr>
            <w:tcW w:type="dxa" w:w="72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Essential only, fully refined, unknown evidence and range widening by output</w:t>
            </w:r>
          </w:p>
        </w:tc>
      </w:tr>
      <w:tr>
        <w:trPr>
          <w:cantSplit/>
        </w:trPr>
        <w:tc>
          <w:tcPr>
            <w:tcW w:type="dxa" w:w="21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Verdict</w:t>
            </w:r>
          </w:p>
        </w:tc>
        <w:tc>
          <w:tcPr>
            <w:tcW w:type="dxa" w:w="72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Hard-stop precedence, borrow-less threshold and safe borrow route</w:t>
            </w:r>
          </w:p>
        </w:tc>
      </w:tr>
      <w:tr>
        <w:trPr>
          <w:cantSplit/>
        </w:trPr>
        <w:tc>
          <w:tcPr>
            <w:tcW w:type="dxa" w:w="21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Product route</w:t>
            </w:r>
          </w:p>
        </w:tc>
        <w:tc>
          <w:tcPr>
            <w:tcW w:type="dxa" w:w="72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Ravi-style collateral route and Anita-style safer vehicle/debt-repair route</w:t>
            </w:r>
          </w:p>
        </w:tc>
      </w:tr>
    </w:tbl>
    <w:p>
      <w:pPr>
        <w:pStyle w:val="Heading2"/>
        <w:keepNext/>
        <w:keepLines/>
      </w:pPr>
      <w:r>
        <w:t>15.2 Component and integration coverage</w:t>
      </w:r>
    </w:p>
    <w:p>
      <w:pPr>
        <w:pStyle w:val="ListBullet"/>
        <w:spacing w:after="80" w:line="278" w:lineRule="auto"/>
        <w:ind w:left="720" w:hanging="360"/>
        <w:keepLines/>
      </w:pPr>
      <w:r>
        <w:rPr>
          <w:rFonts w:ascii="DejaVu Sans" w:hAnsi="DejaVu Sans" w:eastAsia="DejaVu Sans"/>
          <w:color w:val="17202A"/>
          <w:sz w:val="21"/>
        </w:rPr>
        <w:t>Branching changes after income type is edited.</w:t>
      </w:r>
    </w:p>
    <w:p>
      <w:pPr>
        <w:pStyle w:val="ListBullet"/>
        <w:spacing w:after="80" w:line="278" w:lineRule="auto"/>
        <w:ind w:left="720" w:hanging="360"/>
        <w:keepLines/>
      </w:pPr>
      <w:r>
        <w:rPr>
          <w:rFonts w:ascii="DejaVu Sans" w:hAnsi="DejaVu Sans" w:eastAsia="DejaVu Sans"/>
          <w:color w:val="17202A"/>
          <w:sz w:val="21"/>
        </w:rPr>
        <w:t>Back navigation preserves answers and recalculates progress.</w:t>
      </w:r>
    </w:p>
    <w:p>
      <w:pPr>
        <w:pStyle w:val="ListBullet"/>
        <w:spacing w:after="80" w:line="278" w:lineRule="auto"/>
        <w:ind w:left="720" w:hanging="360"/>
        <w:keepLines/>
      </w:pPr>
      <w:r>
        <w:rPr>
          <w:rFonts w:ascii="DejaVu Sans" w:hAnsi="DejaVu Sans" w:eastAsia="DejaVu Sans"/>
          <w:color w:val="17202A"/>
          <w:sz w:val="21"/>
        </w:rPr>
        <w:t>Unknown credit score lowers pricing confidence without becoming zero.</w:t>
      </w:r>
    </w:p>
    <w:p>
      <w:pPr>
        <w:pStyle w:val="ListBullet"/>
        <w:spacing w:after="80" w:line="278" w:lineRule="auto"/>
        <w:ind w:left="720" w:hanging="360"/>
        <w:keepLines/>
      </w:pPr>
      <w:r>
        <w:rPr>
          <w:rFonts w:ascii="DejaVu Sans" w:hAnsi="DejaVu Sans" w:eastAsia="DejaVu Sans"/>
          <w:color w:val="17202A"/>
          <w:sz w:val="21"/>
        </w:rPr>
        <w:t>Essential-only answers produce all four outputs.</w:t>
      </w:r>
    </w:p>
    <w:p>
      <w:pPr>
        <w:pStyle w:val="ListBullet"/>
        <w:spacing w:after="80" w:line="278" w:lineRule="auto"/>
        <w:ind w:left="720" w:hanging="360"/>
        <w:keepLines/>
      </w:pPr>
      <w:r>
        <w:rPr>
          <w:rFonts w:ascii="DejaVu Sans" w:hAnsi="DejaVu Sans" w:eastAsia="DejaVu Sans"/>
          <w:color w:val="17202A"/>
          <w:sz w:val="21"/>
        </w:rPr>
        <w:t>Additional answers visibly narrow a relevant range or improve confidence.</w:t>
      </w:r>
    </w:p>
    <w:p>
      <w:pPr>
        <w:pStyle w:val="ListBullet"/>
        <w:spacing w:after="80" w:line="278" w:lineRule="auto"/>
        <w:ind w:left="720" w:hanging="360"/>
        <w:keepLines/>
      </w:pPr>
      <w:r>
        <w:rPr>
          <w:rFonts w:ascii="DejaVu Sans" w:hAnsi="DejaVu Sans" w:eastAsia="DejaVu Sans"/>
          <w:color w:val="17202A"/>
          <w:sz w:val="21"/>
        </w:rPr>
        <w:t>Reset removes answers and print view hides interactive controls.</w:t>
      </w:r>
    </w:p>
    <w:p>
      <w:pPr>
        <w:pStyle w:val="Heading2"/>
        <w:keepNext/>
        <w:keepLines/>
      </w:pPr>
      <w:r>
        <w:t>15.3 End-to-end persona journeys</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800"/>
        <w:gridCol w:w="7560"/>
      </w:tblGrid>
      <w:tr>
        <w:trPr>
          <w:tblHeader w:val="true"/>
          <w:cantSplit/>
        </w:trPr>
        <w:tc>
          <w:tcPr>
            <w:tcW w:type="dxa" w:w="180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Journey</w:t>
            </w:r>
          </w:p>
        </w:tc>
        <w:tc>
          <w:tcPr>
            <w:tcW w:type="dxa" w:w="756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Assertions</w:t>
            </w:r>
          </w:p>
        </w:tc>
      </w:tr>
      <w:tr>
        <w:trPr>
          <w:cantSplit/>
        </w:trPr>
        <w:tc>
          <w:tcPr>
            <w:tcW w:type="dxa" w:w="18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Priya</w:t>
            </w:r>
          </w:p>
        </w:tc>
        <w:tc>
          <w:tcPr>
            <w:tcW w:type="dxa" w:w="75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Salaried path; strong-credit trace; distinct lender/safe ranges; controlled EMI</w:t>
            </w:r>
          </w:p>
        </w:tc>
      </w:tr>
      <w:tr>
        <w:trPr>
          <w:cantSplit/>
        </w:trPr>
        <w:tc>
          <w:tcPr>
            <w:tcW w:type="dxa" w:w="18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Ravi</w:t>
            </w:r>
          </w:p>
        </w:tc>
        <w:tc>
          <w:tcPr>
            <w:tcW w:type="dxa" w:w="75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Self-employed path; documented-income caution; secured-product recommendation</w:t>
            </w:r>
          </w:p>
        </w:tc>
      </w:tr>
      <w:tr>
        <w:trPr>
          <w:cantSplit/>
        </w:trPr>
        <w:tc>
          <w:tcPr>
            <w:tcW w:type="dxa" w:w="18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Anita</w:t>
            </w:r>
          </w:p>
        </w:tc>
        <w:tc>
          <w:tcPr>
            <w:tcW w:type="dxa" w:w="75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Informal path; payment-stress flag; Do not borrow now is reachable</w:t>
            </w:r>
          </w:p>
        </w:tc>
      </w:tr>
      <w:tr>
        <w:trPr>
          <w:cantSplit/>
        </w:trPr>
        <w:tc>
          <w:tcPr>
            <w:tcW w:type="dxa" w:w="18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Mobile</w:t>
            </w:r>
          </w:p>
        </w:tc>
        <w:tc>
          <w:tcPr>
            <w:tcW w:type="dxa" w:w="75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No horizontal overflow; sticky actions; usable card and print trigger</w:t>
            </w:r>
          </w:p>
        </w:tc>
      </w:tr>
      <w:tr>
        <w:trPr>
          <w:cantSplit/>
        </w:trPr>
        <w:tc>
          <w:tcPr>
            <w:tcW w:type="dxa" w:w="18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Keyboard</w:t>
            </w:r>
          </w:p>
        </w:tc>
        <w:tc>
          <w:tcPr>
            <w:tcW w:type="dxa" w:w="75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Complete essential flow without a pointer; visible focus and announced errors</w:t>
            </w:r>
          </w:p>
        </w:tc>
      </w:tr>
    </w:tbl>
    <w:tbl>
      <w:tblPr>
        <w:tblW w:type="dxa" w:w="9360"/>
        <w:jc w:val="left"/>
        <w:tblLayout w:type="fixed"/>
        <w:tblLook w:firstColumn="1" w:firstRow="1" w:lastColumn="0" w:lastRow="0" w:noHBand="0" w:noVBand="1" w:val="04A0"/>
        <w:tblInd w:w="120" w:type="dxa"/>
        <w:tblBorders>
          <w:top w:val="single" w:sz="2" w:space="0" w:color="FDECEC"/>
          <w:left w:val="single" w:sz="2" w:space="0" w:color="FDECEC"/>
          <w:bottom w:val="single" w:sz="2" w:space="0" w:color="FDECEC"/>
          <w:right w:val="single" w:sz="2" w:space="0" w:color="FDECEC"/>
          <w:insideH w:val="single" w:sz="2" w:space="0" w:color="FDECEC"/>
          <w:insideV w:val="single" w:sz="2" w:space="0" w:color="FDECEC"/>
        </w:tblBorders>
      </w:tblPr>
      <w:tblGrid>
        <w:gridCol w:w="9360"/>
      </w:tblGrid>
      <w:tr>
        <w:trPr>
          <w:cantSplit/>
        </w:trPr>
        <w:tc>
          <w:tcPr>
            <w:tcW w:type="dxa" w:w="9360"/>
            <w:vAlign w:val="center"/>
            <w:tcMar>
              <w:top w:w="100" w:type="dxa"/>
              <w:start w:w="120" w:type="dxa"/>
              <w:bottom w:w="100" w:type="dxa"/>
              <w:end w:w="120" w:type="dxa"/>
            </w:tcMar>
            <w:shd w:fill="FDECEC"/>
          </w:tcPr>
          <w:p>
            <w:pPr>
              <w:spacing w:before="40" w:after="40" w:line="264" w:lineRule="auto"/>
            </w:pPr>
            <w:r>
              <w:rPr>
                <w:rFonts w:ascii="DejaVu Sans" w:hAnsi="DejaVu Sans" w:eastAsia="DejaVu Sans"/>
                <w:b/>
                <w:color w:val="B42318"/>
                <w:sz w:val="18"/>
              </w:rPr>
              <w:t xml:space="preserve">REGRESSION INVARIANT  </w:t>
            </w:r>
            <w:r>
              <w:rPr>
                <w:rFonts w:ascii="DejaVu Sans" w:hAnsi="DejaVu Sans" w:eastAsia="DejaVu Sans"/>
                <w:color w:val="17202A"/>
                <w:sz w:val="20"/>
              </w:rPr>
              <w:t>For every persona, recommended amount must not exceed the top of the safe range, and a displayed EMI must be mathematically consistent with amount, rate and tenure.</w:t>
            </w:r>
          </w:p>
        </w:tc>
      </w:tr>
    </w:tbl>
    <w:p>
      <w:r>
        <w:br w:type="page"/>
      </w:r>
    </w:p>
    <w:p>
      <w:pPr>
        <w:pStyle w:val="Heading1"/>
        <w:keepNext/>
        <w:keepLines/>
      </w:pPr>
      <w:r>
        <w:t>16. Documentation, deployment and operations</w:t>
      </w:r>
    </w:p>
    <w:p>
      <w:pPr>
        <w:pStyle w:val="Heading2"/>
        <w:keepNext/>
        <w:keepLines/>
      </w:pPr>
      <w:r>
        <w:t>16.1 Root deliverables</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3000"/>
        <w:gridCol w:w="6360"/>
      </w:tblGrid>
      <w:tr>
        <w:trPr>
          <w:tblHeader w:val="true"/>
          <w:cantSplit/>
        </w:trPr>
        <w:tc>
          <w:tcPr>
            <w:tcW w:type="dxa" w:w="30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File</w:t>
            </w:r>
          </w:p>
        </w:tc>
        <w:tc>
          <w:tcPr>
            <w:tcW w:type="dxa" w:w="636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Purpose</w:t>
            </w:r>
          </w:p>
        </w:tc>
      </w:tr>
      <w:tr>
        <w:trPr>
          <w:cantSplit/>
        </w:trPr>
        <w:tc>
          <w:tcPr>
            <w:tcW w:type="dxa" w:w="30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README.md</w:t>
            </w:r>
          </w:p>
        </w:tc>
        <w:tc>
          <w:tcPr>
            <w:tcW w:type="dxa" w:w="63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Setup, architecture summary, commands, screenshots, privacy and deployment link</w:t>
            </w:r>
          </w:p>
        </w:tc>
      </w:tr>
      <w:tr>
        <w:trPr>
          <w:cantSplit/>
        </w:trPr>
        <w:tc>
          <w:tcPr>
            <w:tcW w:type="dxa" w:w="30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RULES.md</w:t>
            </w:r>
          </w:p>
        </w:tc>
        <w:tc>
          <w:tcPr>
            <w:tcW w:type="dxa" w:w="63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Every threshold, band and assumption: what, value, why, source and effective date</w:t>
            </w:r>
          </w:p>
        </w:tc>
      </w:tr>
      <w:tr>
        <w:trPr>
          <w:cantSplit/>
        </w:trPr>
        <w:tc>
          <w:tcPr>
            <w:tcW w:type="dxa" w:w="30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RUN_THROUGHS.md</w:t>
            </w:r>
          </w:p>
        </w:tc>
        <w:tc>
          <w:tcPr>
            <w:tcW w:type="dxa" w:w="63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Questions, answers, outputs, traces and Negotiation Cards for all three personas</w:t>
            </w:r>
          </w:p>
        </w:tc>
      </w:tr>
      <w:tr>
        <w:trPr>
          <w:cantSplit/>
        </w:trPr>
        <w:tc>
          <w:tcPr>
            <w:tcW w:type="dxa" w:w="30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8"/>
              </w:rPr>
              <w:t>WALKTHROUGH.md</w:t>
            </w:r>
          </w:p>
        </w:tc>
        <w:tc>
          <w:tcPr>
            <w:tcW w:type="dxa" w:w="63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8"/>
              </w:rPr>
              <w:t>Five-minute demo sequence, trade-offs, next steps and deliberate cuts</w:t>
            </w:r>
          </w:p>
        </w:tc>
      </w:tr>
    </w:tbl>
    <w:p>
      <w:pPr>
        <w:pStyle w:val="Heading2"/>
        <w:keepNext/>
        <w:keepLines/>
      </w:pPr>
      <w:r>
        <w:t>16.2 Deployment</w:t>
      </w:r>
    </w:p>
    <w:p>
      <w:pPr>
        <w:pStyle w:val="ListBullet"/>
        <w:spacing w:after="80" w:line="278" w:lineRule="auto"/>
        <w:ind w:left="720" w:hanging="360"/>
        <w:keepLines/>
      </w:pPr>
      <w:r>
        <w:rPr>
          <w:rFonts w:ascii="DejaVu Sans" w:hAnsi="DejaVu Sans" w:eastAsia="DejaVu Sans"/>
          <w:color w:val="17202A"/>
          <w:sz w:val="21"/>
        </w:rPr>
        <w:t>Deploy the static production build to Vercel with a single public URL.</w:t>
      </w:r>
    </w:p>
    <w:p>
      <w:pPr>
        <w:pStyle w:val="ListBullet"/>
        <w:spacing w:after="80" w:line="278" w:lineRule="auto"/>
        <w:ind w:left="720" w:hanging="360"/>
        <w:keepLines/>
      </w:pPr>
      <w:r>
        <w:rPr>
          <w:rFonts w:ascii="DejaVu Sans" w:hAnsi="DejaVu Sans" w:eastAsia="DejaVu Sans"/>
          <w:color w:val="17202A"/>
          <w:sz w:val="21"/>
        </w:rPr>
        <w:t>Verify a clean clone, npm install and npm run dev before submission.</w:t>
      </w:r>
    </w:p>
    <w:p>
      <w:pPr>
        <w:pStyle w:val="ListBullet"/>
        <w:spacing w:after="80" w:line="278" w:lineRule="auto"/>
        <w:ind w:left="720" w:hanging="360"/>
        <w:keepLines/>
      </w:pPr>
      <w:r>
        <w:rPr>
          <w:rFonts w:ascii="DejaVu Sans" w:hAnsi="DejaVu Sans" w:eastAsia="DejaVu Sans"/>
          <w:color w:val="17202A"/>
          <w:sz w:val="21"/>
        </w:rPr>
        <w:t>Run lint, typecheck, unit tests, Playwright and production build in CI or before every final deployment.</w:t>
      </w:r>
    </w:p>
    <w:p>
      <w:pPr>
        <w:pStyle w:val="ListBullet"/>
        <w:spacing w:after="80" w:line="278" w:lineRule="auto"/>
        <w:ind w:left="720" w:hanging="360"/>
        <w:keepLines/>
      </w:pPr>
      <w:r>
        <w:rPr>
          <w:rFonts w:ascii="DejaVu Sans" w:hAnsi="DejaVu Sans" w:eastAsia="DejaVu Sans"/>
          <w:color w:val="17202A"/>
          <w:sz w:val="21"/>
        </w:rPr>
        <w:t>Avoid remote fonts if they cause offline startup issues; bundle or use resilient fallbacks.</w:t>
      </w:r>
    </w:p>
    <w:p>
      <w:pPr>
        <w:pStyle w:val="Heading2"/>
        <w:keepNext/>
        <w:keepLines/>
      </w:pPr>
      <w:r>
        <w:t>16.3 Minimal observability</w:t>
      </w:r>
    </w:p>
    <w:p>
      <w:pPr>
        <w:spacing w:before="0" w:after="120" w:line="264" w:lineRule="auto"/>
      </w:pPr>
      <w:r>
        <w:rPr>
          <w:rFonts w:ascii="DejaVu Sans" w:hAnsi="DejaVu Sans" w:eastAsia="DejaVu Sans"/>
          <w:b w:val="0"/>
          <w:i w:val="0"/>
          <w:color w:val="17202A"/>
          <w:sz w:val="22"/>
        </w:rPr>
        <w:t>No borrower-answer analytics are needed. Build-time and test feedback are sufficient. If anonymous analytics are added later, record only non-sensitive aggregate flow events after consent and never input values.</w:t>
      </w:r>
    </w:p>
    <w:p>
      <w:pPr>
        <w:pStyle w:val="Heading2"/>
        <w:keepNext/>
        <w:keepLines/>
      </w:pPr>
      <w:r>
        <w:t>16.4 Regulatory-source handling</w:t>
      </w:r>
    </w:p>
    <w:p>
      <w:pPr>
        <w:spacing w:before="0" w:after="120" w:line="264" w:lineRule="auto"/>
      </w:pPr>
      <w:r>
        <w:rPr>
          <w:rFonts w:ascii="DejaVu Sans" w:hAnsi="DejaVu Sans" w:eastAsia="DejaVu Sans"/>
          <w:b w:val="0"/>
          <w:i w:val="0"/>
          <w:color w:val="17202A"/>
          <w:sz w:val="22"/>
        </w:rPr>
        <w:t>Use official sources to justify disclosure behavior, while clearly separating regulatory requirements from judgement-based affordability rules. RBI's April 2024 KFS circular requires applicable retail and MSME term-loan KFS documents to include APR computation and an amortisation schedule. Current digital-lending directions retain KFS/APR disclosure requirements. Product rate bands should be dated and sourced from current official lender pages when the rules are finalized.</w:t>
      </w:r>
    </w:p>
    <w:p>
      <w:r>
        <w:br w:type="page"/>
      </w:r>
    </w:p>
    <w:p>
      <w:pPr>
        <w:pStyle w:val="Heading1"/>
        <w:keepNext/>
        <w:keepLines/>
      </w:pPr>
      <w:r>
        <w:t>17. Four-day implementation roadmap</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1500"/>
        <w:gridCol w:w="900"/>
        <w:gridCol w:w="3800"/>
        <w:gridCol w:w="3160"/>
      </w:tblGrid>
      <w:tr>
        <w:trPr>
          <w:tblHeader w:val="true"/>
          <w:cantSplit/>
        </w:trPr>
        <w:tc>
          <w:tcPr>
            <w:tcW w:type="dxa" w:w="150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Phase</w:t>
            </w:r>
          </w:p>
        </w:tc>
        <w:tc>
          <w:tcPr>
            <w:tcW w:type="dxa" w:w="90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Time</w:t>
            </w:r>
          </w:p>
        </w:tc>
        <w:tc>
          <w:tcPr>
            <w:tcW w:type="dxa" w:w="380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Work</w:t>
            </w:r>
          </w:p>
        </w:tc>
        <w:tc>
          <w:tcPr>
            <w:tcW w:type="dxa" w:w="316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Exit criteria</w:t>
            </w:r>
          </w:p>
        </w:tc>
      </w:tr>
      <w:tr>
        <w:trPr>
          <w:cantSplit/>
        </w:trPr>
        <w:tc>
          <w:tcPr>
            <w:tcW w:type="dxa" w:w="15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6"/>
              </w:rPr>
              <w:t>Day 1 - Domain</w:t>
            </w:r>
          </w:p>
        </w:tc>
        <w:tc>
          <w:tcPr>
            <w:tcW w:type="dxa" w:w="9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6"/>
              </w:rPr>
              <w:t>4h</w:t>
            </w:r>
          </w:p>
        </w:tc>
        <w:tc>
          <w:tcPr>
            <w:tcW w:type="dxa" w:w="38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6"/>
              </w:rPr>
              <w:t>Types, questions, rules, EMI/principal/APR, confidence, traces and RULES draft</w:t>
            </w:r>
          </w:p>
        </w:tc>
        <w:tc>
          <w:tcPr>
            <w:tcW w:type="dxa" w:w="31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6"/>
              </w:rPr>
              <w:t>Pure functions tested; sample assessments return valid contracts</w:t>
            </w:r>
          </w:p>
        </w:tc>
      </w:tr>
      <w:tr>
        <w:trPr>
          <w:cantSplit/>
        </w:trPr>
        <w:tc>
          <w:tcPr>
            <w:tcW w:type="dxa" w:w="15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6"/>
              </w:rPr>
              <w:t>Day 2 - Flow</w:t>
            </w:r>
          </w:p>
        </w:tc>
        <w:tc>
          <w:tcPr>
            <w:tcW w:type="dxa" w:w="90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6"/>
              </w:rPr>
              <w:t>4h</w:t>
            </w:r>
          </w:p>
        </w:tc>
        <w:tc>
          <w:tcPr>
            <w:tcW w:type="dxa" w:w="380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6"/>
              </w:rPr>
              <w:t>Landing, reducer, essential questions, adaptive refinement, validation and mobile navigation</w:t>
            </w:r>
          </w:p>
        </w:tc>
        <w:tc>
          <w:tcPr>
            <w:tcW w:type="dxa" w:w="31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6"/>
              </w:rPr>
              <w:t>Essential-only path works; branches and Back are stable</w:t>
            </w:r>
          </w:p>
        </w:tc>
      </w:tr>
      <w:tr>
        <w:trPr>
          <w:cantSplit/>
        </w:trPr>
        <w:tc>
          <w:tcPr>
            <w:tcW w:type="dxa" w:w="15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6"/>
              </w:rPr>
              <w:t>Day 3 - Results</w:t>
            </w:r>
          </w:p>
        </w:tc>
        <w:tc>
          <w:tcPr>
            <w:tcW w:type="dxa" w:w="9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6"/>
              </w:rPr>
              <w:t>4h</w:t>
            </w:r>
          </w:p>
        </w:tc>
        <w:tc>
          <w:tcPr>
            <w:tcW w:type="dxa" w:w="380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6"/>
              </w:rPr>
              <w:t>Verdict, amount comparison, pricing, repayment, stress, explanations and print card</w:t>
            </w:r>
          </w:p>
        </w:tc>
        <w:tc>
          <w:tcPr>
            <w:tcW w:type="dxa" w:w="31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6"/>
              </w:rPr>
              <w:t>All required outputs readable on desktop and phone</w:t>
            </w:r>
          </w:p>
        </w:tc>
      </w:tr>
      <w:tr>
        <w:trPr>
          <w:cantSplit/>
        </w:trPr>
        <w:tc>
          <w:tcPr>
            <w:tcW w:type="dxa" w:w="15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6"/>
              </w:rPr>
              <w:t>Day 4 - Proof</w:t>
            </w:r>
          </w:p>
        </w:tc>
        <w:tc>
          <w:tcPr>
            <w:tcW w:type="dxa" w:w="90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6"/>
              </w:rPr>
              <w:t>3-4h</w:t>
            </w:r>
          </w:p>
        </w:tc>
        <w:tc>
          <w:tcPr>
            <w:tcW w:type="dxa" w:w="380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6"/>
              </w:rPr>
              <w:t>Persona E2E tests, docs, accessibility pass, build, deploy and walkthrough</w:t>
            </w:r>
          </w:p>
        </w:tc>
        <w:tc>
          <w:tcPr>
            <w:tcW w:type="dxa" w:w="31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6"/>
              </w:rPr>
              <w:t>Clean clone works; tests/build pass; all deliverables complete</w:t>
            </w:r>
          </w:p>
        </w:tc>
      </w:tr>
    </w:tbl>
    <w:p>
      <w:pPr>
        <w:pStyle w:val="Heading2"/>
        <w:keepNext/>
        <w:keepLines/>
      </w:pPr>
      <w:r>
        <w:t>17.1 Recommended commit sequence</w:t>
      </w:r>
    </w:p>
    <w:p>
      <w:pPr>
        <w:spacing w:after="100" w:line="278" w:lineRule="auto"/>
        <w:ind w:left="720" w:hanging="360"/>
        <w:numPr>
          <w:ilvl w:val="0"/>
          <w:numId w:val="13"/>
        </w:numPr>
      </w:pPr>
      <w:r>
        <w:rPr>
          <w:rFonts w:ascii="DejaVu Sans" w:hAnsi="DejaVu Sans" w:eastAsia="DejaVu Sans"/>
          <w:color w:val="17202A"/>
          <w:sz w:val="21"/>
        </w:rPr>
        <w:t>chore: initialize React TypeScript application and quality scripts</w:t>
      </w:r>
    </w:p>
    <w:p>
      <w:pPr>
        <w:spacing w:after="100" w:line="278" w:lineRule="auto"/>
        <w:ind w:left="720" w:hanging="360"/>
        <w:numPr>
          <w:ilvl w:val="0"/>
          <w:numId w:val="13"/>
        </w:numPr>
      </w:pPr>
      <w:r>
        <w:rPr>
          <w:rFonts w:ascii="DejaVu Sans" w:hAnsi="DejaVu Sans" w:eastAsia="DejaVu Sans"/>
          <w:color w:val="17202A"/>
          <w:sz w:val="21"/>
        </w:rPr>
        <w:t>feat: add domain contracts, questionnaire definitions and rules</w:t>
      </w:r>
    </w:p>
    <w:p>
      <w:pPr>
        <w:spacing w:after="100" w:line="278" w:lineRule="auto"/>
        <w:ind w:left="720" w:hanging="360"/>
        <w:numPr>
          <w:ilvl w:val="0"/>
          <w:numId w:val="13"/>
        </w:numPr>
      </w:pPr>
      <w:r>
        <w:rPr>
          <w:rFonts w:ascii="DejaVu Sans" w:hAnsi="DejaVu Sans" w:eastAsia="DejaVu Sans"/>
          <w:color w:val="17202A"/>
          <w:sz w:val="21"/>
        </w:rPr>
        <w:t>feat: implement affordability, EMI, pricing, APR and confidence engines</w:t>
      </w:r>
    </w:p>
    <w:p>
      <w:pPr>
        <w:spacing w:after="100" w:line="278" w:lineRule="auto"/>
        <w:ind w:left="720" w:hanging="360"/>
        <w:numPr>
          <w:ilvl w:val="0"/>
          <w:numId w:val="13"/>
        </w:numPr>
      </w:pPr>
      <w:r>
        <w:rPr>
          <w:rFonts w:ascii="DejaVu Sans" w:hAnsi="DejaVu Sans" w:eastAsia="DejaVu Sans"/>
          <w:color w:val="17202A"/>
          <w:sz w:val="21"/>
        </w:rPr>
        <w:t>feat: build adaptive questionnaire and in-memory application flow</w:t>
      </w:r>
    </w:p>
    <w:p>
      <w:pPr>
        <w:spacing w:after="100" w:line="278" w:lineRule="auto"/>
        <w:ind w:left="720" w:hanging="360"/>
        <w:numPr>
          <w:ilvl w:val="0"/>
          <w:numId w:val="13"/>
        </w:numPr>
      </w:pPr>
      <w:r>
        <w:rPr>
          <w:rFonts w:ascii="DejaVu Sans" w:hAnsi="DejaVu Sans" w:eastAsia="DejaVu Sans"/>
          <w:color w:val="17202A"/>
          <w:sz w:val="21"/>
        </w:rPr>
        <w:t>feat: add results experience, stress case and Negotiation Card</w:t>
      </w:r>
    </w:p>
    <w:p>
      <w:pPr>
        <w:spacing w:after="100" w:line="278" w:lineRule="auto"/>
        <w:ind w:left="720" w:hanging="360"/>
        <w:numPr>
          <w:ilvl w:val="0"/>
          <w:numId w:val="13"/>
        </w:numPr>
      </w:pPr>
      <w:r>
        <w:rPr>
          <w:rFonts w:ascii="DejaVu Sans" w:hAnsi="DejaVu Sans" w:eastAsia="DejaVu Sans"/>
          <w:color w:val="17202A"/>
          <w:sz w:val="21"/>
        </w:rPr>
        <w:t>test: add persona unit, integration and Playwright coverage</w:t>
      </w:r>
    </w:p>
    <w:p>
      <w:pPr>
        <w:spacing w:after="100" w:line="278" w:lineRule="auto"/>
        <w:ind w:left="720" w:hanging="360"/>
        <w:numPr>
          <w:ilvl w:val="0"/>
          <w:numId w:val="13"/>
        </w:numPr>
      </w:pPr>
      <w:r>
        <w:rPr>
          <w:rFonts w:ascii="DejaVu Sans" w:hAnsi="DejaVu Sans" w:eastAsia="DejaVu Sans"/>
          <w:color w:val="17202A"/>
          <w:sz w:val="21"/>
        </w:rPr>
        <w:t>docs: complete rules, run-throughs, walkthrough and final README</w:t>
      </w:r>
    </w:p>
    <w:p>
      <w:pPr>
        <w:spacing w:after="100" w:line="278" w:lineRule="auto"/>
        <w:ind w:left="720" w:hanging="360"/>
        <w:numPr>
          <w:ilvl w:val="0"/>
          <w:numId w:val="13"/>
        </w:numPr>
      </w:pPr>
      <w:r>
        <w:rPr>
          <w:rFonts w:ascii="DejaVu Sans" w:hAnsi="DejaVu Sans" w:eastAsia="DejaVu Sans"/>
          <w:color w:val="17202A"/>
          <w:sz w:val="21"/>
        </w:rPr>
        <w:t>fix: accessibility, responsive layout and final QA</w:t>
      </w:r>
    </w:p>
    <w:tbl>
      <w:tblPr>
        <w:tblW w:type="dxa" w:w="9360"/>
        <w:jc w:val="left"/>
        <w:tblLayout w:type="fixed"/>
        <w:tblLook w:firstColumn="1" w:firstRow="1" w:lastColumn="0" w:lastRow="0" w:noHBand="0" w:noVBand="1" w:val="04A0"/>
        <w:tblInd w:w="120" w:type="dxa"/>
        <w:tblBorders>
          <w:top w:val="single" w:sz="2" w:space="0" w:color="FBF4E3"/>
          <w:left w:val="single" w:sz="2" w:space="0" w:color="FBF4E3"/>
          <w:bottom w:val="single" w:sz="2" w:space="0" w:color="FBF4E3"/>
          <w:right w:val="single" w:sz="2" w:space="0" w:color="FBF4E3"/>
          <w:insideH w:val="single" w:sz="2" w:space="0" w:color="FBF4E3"/>
          <w:insideV w:val="single" w:sz="2" w:space="0" w:color="FBF4E3"/>
        </w:tblBorders>
      </w:tblPr>
      <w:tblGrid>
        <w:gridCol w:w="9360"/>
      </w:tblGrid>
      <w:tr>
        <w:trPr>
          <w:cantSplit/>
        </w:trPr>
        <w:tc>
          <w:tcPr>
            <w:tcW w:type="dxa" w:w="9360"/>
            <w:vAlign w:val="center"/>
            <w:tcMar>
              <w:top w:w="100" w:type="dxa"/>
              <w:start w:w="120" w:type="dxa"/>
              <w:bottom w:w="100" w:type="dxa"/>
              <w:end w:w="120" w:type="dxa"/>
            </w:tcMar>
            <w:shd w:fill="FBF4E3"/>
          </w:tcPr>
          <w:p>
            <w:pPr>
              <w:spacing w:before="40" w:after="40" w:line="264" w:lineRule="auto"/>
            </w:pPr>
            <w:r>
              <w:rPr>
                <w:rFonts w:ascii="DejaVu Sans" w:hAnsi="DejaVu Sans" w:eastAsia="DejaVu Sans"/>
                <w:b/>
                <w:color w:val="8A6500"/>
                <w:sz w:val="18"/>
              </w:rPr>
              <w:t xml:space="preserve">BUILD-ORDER GUARDRAIL  </w:t>
            </w:r>
            <w:r>
              <w:rPr>
                <w:rFonts w:ascii="DejaVu Sans" w:hAnsi="DejaVu Sans" w:eastAsia="DejaVu Sans"/>
                <w:color w:val="17202A"/>
                <w:sz w:val="20"/>
              </w:rPr>
              <w:t>Do not spend the first day polishing cards. Establish the rule schema, calculation contracts and persona tests before final visual styling.</w:t>
            </w:r>
          </w:p>
        </w:tc>
      </w:tr>
    </w:tbl>
    <w:p>
      <w:r>
        <w:br w:type="page"/>
      </w:r>
    </w:p>
    <w:p>
      <w:pPr>
        <w:pStyle w:val="Heading1"/>
        <w:keepNext/>
        <w:keepLines/>
      </w:pPr>
      <w:r>
        <w:t>18. Follow-up readiness and delivery risks</w:t>
      </w:r>
    </w:p>
    <w:p>
      <w:pPr>
        <w:pStyle w:val="Heading2"/>
        <w:keepNext/>
        <w:keepLines/>
      </w:pPr>
      <w:r>
        <w:t>18.1 Live rule-change scenario</w:t>
      </w:r>
    </w:p>
    <w:p>
      <w:pPr>
        <w:spacing w:before="0" w:after="120" w:line="264" w:lineRule="auto"/>
      </w:pPr>
      <w:r>
        <w:rPr>
          <w:rFonts w:ascii="DejaVu Sans" w:hAnsi="DejaVu Sans" w:eastAsia="DejaVu Sans"/>
          <w:b w:val="0"/>
          <w:i w:val="0"/>
          <w:color w:val="17202A"/>
          <w:sz w:val="22"/>
        </w:rPr>
        <w:t>The evaluator may change a safe FOIR threshold, income haircut or pricing adjustment. The intended live workflow is:</w:t>
      </w:r>
    </w:p>
    <w:p>
      <w:pPr>
        <w:spacing w:after="100" w:line="278" w:lineRule="auto"/>
        <w:ind w:left="720" w:hanging="360"/>
        <w:numPr>
          <w:ilvl w:val="0"/>
          <w:numId w:val="14"/>
        </w:numPr>
      </w:pPr>
      <w:r>
        <w:rPr>
          <w:rFonts w:ascii="DejaVu Sans" w:hAnsi="DejaVu Sans" w:eastAsia="DejaVu Sans"/>
          <w:color w:val="17202A"/>
          <w:sz w:val="21"/>
        </w:rPr>
        <w:t>Open the relevant named rule in src/rules.</w:t>
      </w:r>
    </w:p>
    <w:p>
      <w:pPr>
        <w:spacing w:after="100" w:line="278" w:lineRule="auto"/>
        <w:ind w:left="720" w:hanging="360"/>
        <w:numPr>
          <w:ilvl w:val="0"/>
          <w:numId w:val="14"/>
        </w:numPr>
      </w:pPr>
      <w:r>
        <w:rPr>
          <w:rFonts w:ascii="DejaVu Sans" w:hAnsi="DejaVu Sans" w:eastAsia="DejaVu Sans"/>
          <w:color w:val="17202A"/>
          <w:sz w:val="21"/>
        </w:rPr>
        <w:t>Change one documented value and rationale if requested.</w:t>
      </w:r>
    </w:p>
    <w:p>
      <w:pPr>
        <w:spacing w:after="100" w:line="278" w:lineRule="auto"/>
        <w:ind w:left="720" w:hanging="360"/>
        <w:numPr>
          <w:ilvl w:val="0"/>
          <w:numId w:val="14"/>
        </w:numPr>
      </w:pPr>
      <w:r>
        <w:rPr>
          <w:rFonts w:ascii="DejaVu Sans" w:hAnsi="DejaVu Sans" w:eastAsia="DejaVu Sans"/>
          <w:color w:val="17202A"/>
          <w:sz w:val="21"/>
        </w:rPr>
        <w:t>Run the targeted unit and persona tests.</w:t>
      </w:r>
    </w:p>
    <w:p>
      <w:pPr>
        <w:spacing w:after="100" w:line="278" w:lineRule="auto"/>
        <w:ind w:left="720" w:hanging="360"/>
        <w:numPr>
          <w:ilvl w:val="0"/>
          <w:numId w:val="14"/>
        </w:numPr>
      </w:pPr>
      <w:r>
        <w:rPr>
          <w:rFonts w:ascii="DejaVu Sans" w:hAnsi="DejaVu Sans" w:eastAsia="DejaVu Sans"/>
          <w:color w:val="17202A"/>
          <w:sz w:val="21"/>
        </w:rPr>
        <w:t>Refresh the assessment and show the updated amount, explanation and Negotiation Card.</w:t>
      </w:r>
    </w:p>
    <w:p>
      <w:pPr>
        <w:spacing w:after="100" w:line="278" w:lineRule="auto"/>
        <w:ind w:left="720" w:hanging="360"/>
        <w:numPr>
          <w:ilvl w:val="0"/>
          <w:numId w:val="14"/>
        </w:numPr>
      </w:pPr>
      <w:r>
        <w:rPr>
          <w:rFonts w:ascii="DejaVu Sans" w:hAnsi="DejaVu Sans" w:eastAsia="DejaVu Sans"/>
          <w:color w:val="17202A"/>
          <w:sz w:val="21"/>
        </w:rPr>
        <w:t>Update RULES.md if the change is retained.</w:t>
      </w:r>
    </w:p>
    <w:p>
      <w:pPr>
        <w:pStyle w:val="Heading2"/>
        <w:keepNext/>
        <w:keepLines/>
      </w:pPr>
      <w:r>
        <w:t>18.2 Key risks and mitigations</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2900"/>
        <w:gridCol w:w="6460"/>
      </w:tblGrid>
      <w:tr>
        <w:trPr>
          <w:tblHeader w:val="true"/>
          <w:cantSplit/>
        </w:trPr>
        <w:tc>
          <w:tcPr>
            <w:tcW w:type="dxa" w:w="290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Risk</w:t>
            </w:r>
          </w:p>
        </w:tc>
        <w:tc>
          <w:tcPr>
            <w:tcW w:type="dxa" w:w="6460"/>
            <w:shd w:fill="16283F"/>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Mitigation</w:t>
            </w:r>
          </w:p>
        </w:tc>
      </w:tr>
      <w:tr>
        <w:trPr>
          <w:cantSplit/>
        </w:trPr>
        <w:tc>
          <w:tcPr>
            <w:tcW w:type="dxa" w:w="29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False precision</w:t>
            </w:r>
          </w:p>
        </w:tc>
        <w:tc>
          <w:tcPr>
            <w:tcW w:type="dxa" w:w="64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Use ranges, sensible rounding and visible confidence/assumption text.</w:t>
            </w:r>
          </w:p>
        </w:tc>
      </w:tr>
      <w:tr>
        <w:trPr>
          <w:cantSplit/>
        </w:trPr>
        <w:tc>
          <w:tcPr>
            <w:tcW w:type="dxa" w:w="29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Rules drift from docs</w:t>
            </w:r>
          </w:p>
        </w:tc>
        <w:tc>
          <w:tcPr>
            <w:tcW w:type="dxa" w:w="64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Give each rule a stable ID and verify RULES.md coverage in review.</w:t>
            </w:r>
          </w:p>
        </w:tc>
      </w:tr>
      <w:tr>
        <w:trPr>
          <w:cantSplit/>
        </w:trPr>
        <w:tc>
          <w:tcPr>
            <w:tcW w:type="dxa" w:w="29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UI contains hidden logic</w:t>
            </w:r>
          </w:p>
        </w:tc>
        <w:tc>
          <w:tcPr>
            <w:tcW w:type="dxa" w:w="64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Ban financial conditions in components; test the domain independently.</w:t>
            </w:r>
          </w:p>
        </w:tc>
      </w:tr>
      <w:tr>
        <w:trPr>
          <w:cantSplit/>
        </w:trPr>
        <w:tc>
          <w:tcPr>
            <w:tcW w:type="dxa" w:w="29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Extra questions add no value</w:t>
            </w:r>
          </w:p>
        </w:tc>
        <w:tc>
          <w:tcPr>
            <w:tcW w:type="dxa" w:w="64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Require impactAreas and an observable output/confidence effect.</w:t>
            </w:r>
          </w:p>
        </w:tc>
      </w:tr>
      <w:tr>
        <w:trPr>
          <w:cantSplit/>
        </w:trPr>
        <w:tc>
          <w:tcPr>
            <w:tcW w:type="dxa" w:w="29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APR misleads when fees are unknown</w:t>
            </w:r>
          </w:p>
        </w:tc>
        <w:tc>
          <w:tcPr>
            <w:tcW w:type="dxa" w:w="64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Show an assumption or widened range; never silently copy nominal rate.</w:t>
            </w:r>
          </w:p>
        </w:tc>
      </w:tr>
      <w:tr>
        <w:trPr>
          <w:cantSplit/>
        </w:trPr>
        <w:tc>
          <w:tcPr>
            <w:tcW w:type="dxa" w:w="2900"/>
            <w:shd w:fill="F4F7F7"/>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Distress result feels punitive</w:t>
            </w:r>
          </w:p>
        </w:tc>
        <w:tc>
          <w:tcPr>
            <w:tcW w:type="dxa" w:w="646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Pair the warning with a practical next action and respectful language.</w:t>
            </w:r>
          </w:p>
        </w:tc>
      </w:tr>
      <w:tr>
        <w:trPr>
          <w:cantSplit/>
        </w:trPr>
        <w:tc>
          <w:tcPr>
            <w:tcW w:type="dxa" w:w="2900"/>
            <w:vAlign w:val="center"/>
            <w:tcMar>
              <w:top w:w="100" w:type="dxa"/>
              <w:start w:w="120" w:type="dxa"/>
              <w:bottom w:w="100" w:type="dxa"/>
              <w:end w:w="120" w:type="dxa"/>
            </w:tcMar>
          </w:tcPr>
          <w:p>
            <w:pPr>
              <w:spacing w:after="0" w:line="252" w:lineRule="auto"/>
            </w:pPr>
            <w:r>
              <w:rPr>
                <w:rFonts w:ascii="DejaVu Sans" w:hAnsi="DejaVu Sans" w:eastAsia="DejaVu Sans"/>
                <w:b/>
                <w:color w:val="17202A"/>
                <w:sz w:val="17"/>
              </w:rPr>
              <w:t>Overengineering</w:t>
            </w:r>
          </w:p>
        </w:tc>
        <w:tc>
          <w:tcPr>
            <w:tcW w:type="dxa" w:w="646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Keep a static frontend, one reducer and pure modules; no backend or AI API.</w:t>
            </w:r>
          </w:p>
        </w:tc>
      </w:tr>
    </w:tbl>
    <w:p>
      <w:pPr>
        <w:pStyle w:val="Heading2"/>
        <w:keepNext/>
        <w:keepLines/>
      </w:pPr>
      <w:r>
        <w:t>18.3 Definition of done</w:t>
      </w:r>
    </w:p>
    <w:p>
      <w:pPr>
        <w:pStyle w:val="ListBullet"/>
        <w:spacing w:after="80" w:line="278" w:lineRule="auto"/>
        <w:ind w:left="720" w:hanging="360"/>
        <w:keepLines/>
      </w:pPr>
      <w:r>
        <w:rPr>
          <w:rFonts w:ascii="DejaVu Sans" w:hAnsi="DejaVu Sans" w:eastAsia="DejaVu Sans"/>
          <w:color w:val="17202A"/>
          <w:sz w:val="21"/>
        </w:rPr>
        <w:t>All four outputs and the Negotiation Card work from essential answers.</w:t>
      </w:r>
    </w:p>
    <w:p>
      <w:pPr>
        <w:pStyle w:val="ListBullet"/>
        <w:spacing w:after="80" w:line="278" w:lineRule="auto"/>
        <w:ind w:left="720" w:hanging="360"/>
        <w:keepLines/>
      </w:pPr>
      <w:r>
        <w:rPr>
          <w:rFonts w:ascii="DejaVu Sans" w:hAnsi="DejaVu Sans" w:eastAsia="DejaVu Sans"/>
          <w:color w:val="17202A"/>
          <w:sz w:val="21"/>
        </w:rPr>
        <w:t>Optional answers narrow the correct ranges or improve confidence.</w:t>
      </w:r>
    </w:p>
    <w:p>
      <w:pPr>
        <w:pStyle w:val="ListBullet"/>
        <w:spacing w:after="80" w:line="278" w:lineRule="auto"/>
        <w:ind w:left="720" w:hanging="360"/>
        <w:keepLines/>
      </w:pPr>
      <w:r>
        <w:rPr>
          <w:rFonts w:ascii="DejaVu Sans" w:hAnsi="DejaVu Sans" w:eastAsia="DejaVu Sans"/>
          <w:color w:val="17202A"/>
          <w:sz w:val="21"/>
        </w:rPr>
        <w:t>Priya, Ravi and Anita each follow a relevant adaptive path and receive actionable guidance.</w:t>
      </w:r>
    </w:p>
    <w:p>
      <w:pPr>
        <w:pStyle w:val="ListBullet"/>
        <w:spacing w:after="80" w:line="278" w:lineRule="auto"/>
        <w:ind w:left="720" w:hanging="360"/>
        <w:keepLines/>
      </w:pPr>
      <w:r>
        <w:rPr>
          <w:rFonts w:ascii="DejaVu Sans" w:hAnsi="DejaVu Sans" w:eastAsia="DejaVu Sans"/>
          <w:color w:val="17202A"/>
          <w:sz w:val="21"/>
        </w:rPr>
        <w:t>Unknown values remain unknown; Do not borrow is reachable; Ravi can receive a secured route.</w:t>
      </w:r>
    </w:p>
    <w:p>
      <w:pPr>
        <w:pStyle w:val="ListBullet"/>
        <w:spacing w:after="80" w:line="278" w:lineRule="auto"/>
        <w:ind w:left="720" w:hanging="360"/>
        <w:keepLines/>
      </w:pPr>
      <w:r>
        <w:rPr>
          <w:rFonts w:ascii="DejaVu Sans" w:hAnsi="DejaVu Sans" w:eastAsia="DejaVu Sans"/>
          <w:color w:val="17202A"/>
          <w:sz w:val="21"/>
        </w:rPr>
        <w:t>Rules are centralized, sourced or labelled My judgement, and traceable in displayed explanations.</w:t>
      </w:r>
    </w:p>
    <w:p>
      <w:pPr>
        <w:pStyle w:val="ListBullet"/>
        <w:spacing w:after="80" w:line="278" w:lineRule="auto"/>
        <w:ind w:left="720" w:hanging="360"/>
        <w:keepLines/>
      </w:pPr>
      <w:r>
        <w:rPr>
          <w:rFonts w:ascii="DejaVu Sans" w:hAnsi="DejaVu Sans" w:eastAsia="DejaVu Sans"/>
          <w:color w:val="17202A"/>
          <w:sz w:val="21"/>
        </w:rPr>
        <w:t>The application is responsive, keyboard usable, printable and contains no persistent personal-data storage.</w:t>
      </w:r>
    </w:p>
    <w:p>
      <w:pPr>
        <w:pStyle w:val="ListBullet"/>
        <w:spacing w:after="80" w:line="278" w:lineRule="auto"/>
        <w:ind w:left="720" w:hanging="360"/>
        <w:keepLines/>
      </w:pPr>
      <w:r>
        <w:rPr>
          <w:rFonts w:ascii="DejaVu Sans" w:hAnsi="DejaVu Sans" w:eastAsia="DejaVu Sans"/>
          <w:color w:val="17202A"/>
          <w:sz w:val="21"/>
        </w:rPr>
        <w:t>Lint, typecheck, unit tests, persona E2E tests and production build pass.</w:t>
      </w:r>
    </w:p>
    <w:p>
      <w:pPr>
        <w:pStyle w:val="ListBullet"/>
        <w:spacing w:after="80" w:line="278" w:lineRule="auto"/>
        <w:ind w:left="720" w:hanging="360"/>
        <w:keepLines/>
      </w:pPr>
      <w:r>
        <w:rPr>
          <w:rFonts w:ascii="DejaVu Sans" w:hAnsi="DejaVu Sans" w:eastAsia="DejaVu Sans"/>
          <w:color w:val="17202A"/>
          <w:sz w:val="21"/>
        </w:rPr>
        <w:t>README, RULES, RUN_THROUGHS and WALKTHROUGH match the implemented behavior.</w:t>
      </w:r>
    </w:p>
    <w:p>
      <w:pPr>
        <w:pStyle w:val="Heading1"/>
        <w:keepNext/>
        <w:keepLines/>
      </w:pPr>
      <w:r>
        <w:t>Appendix A - Source and assumption policy</w:t>
      </w:r>
    </w:p>
    <w:p>
      <w:pPr>
        <w:spacing w:before="0" w:after="120" w:line="264" w:lineRule="auto"/>
      </w:pPr>
      <w:r>
        <w:rPr>
          <w:rFonts w:ascii="DejaVu Sans" w:hAnsi="DejaVu Sans" w:eastAsia="DejaVu Sans"/>
          <w:b w:val="0"/>
          <w:i w:val="0"/>
          <w:color w:val="17202A"/>
          <w:sz w:val="22"/>
        </w:rPr>
        <w:t>This architecture defines how to encode and disclose rules; it does not freeze unsourced lender-specific thresholds. Final product bands and modifiers must carry an as-of date and source. If a threshold reflects product judgement rather than an official requirement, label it My judgement.</w:t>
      </w:r>
    </w:p>
    <w:p>
      <w:pPr>
        <w:pStyle w:val="Heading2"/>
        <w:keepNext/>
        <w:keepLines/>
      </w:pPr>
      <w:r>
        <w:t>Primary references</w:t>
      </w:r>
    </w:p>
    <w:p>
      <w:pPr>
        <w:spacing w:after="140"/>
      </w:pPr>
      <w:r>
        <w:rPr>
          <w:rFonts w:ascii="DejaVu Sans" w:hAnsi="DejaVu Sans" w:eastAsia="DejaVu Sans"/>
          <w:b/>
          <w:color w:val="17202A"/>
          <w:sz w:val="20"/>
        </w:rPr>
        <w:t xml:space="preserve">1. Lokta. </w:t>
      </w:r>
      <w:r>
        <w:rPr>
          <w:rFonts w:ascii="DejaVu Sans" w:hAnsi="DejaVu Sans" w:eastAsia="DejaVu Sans"/>
          <w:color w:val="17202A"/>
          <w:sz w:val="20"/>
        </w:rPr>
        <w:t>Borrower Copilot Build Challenge v2, issued 2 September 2026.</w:t>
      </w:r>
    </w:p>
    <w:p>
      <w:pPr>
        <w:spacing w:after="140"/>
      </w:pPr>
      <w:r>
        <w:rPr>
          <w:rFonts w:ascii="DejaVu Sans" w:hAnsi="DejaVu Sans" w:eastAsia="DejaVu Sans"/>
          <w:b/>
          <w:color w:val="17202A"/>
          <w:sz w:val="20"/>
        </w:rPr>
        <w:t xml:space="preserve">2. Reserve Bank of India. </w:t>
      </w:r>
      <w:hyperlink r:id="rId14">
        <w:r>
          <w:rPr>
            <w:color w:val="167D78"/>
            <w:u w:val="single"/>
          </w:rPr>
          <w:t>Key Facts Statement (KFS) for Loans &amp; Advances, 15 April 2024</w:t>
        </w:r>
      </w:hyperlink>
    </w:p>
    <w:p>
      <w:pPr>
        <w:spacing w:after="140"/>
      </w:pPr>
      <w:r>
        <w:rPr>
          <w:rFonts w:ascii="DejaVu Sans" w:hAnsi="DejaVu Sans" w:eastAsia="DejaVu Sans"/>
          <w:b/>
          <w:color w:val="17202A"/>
          <w:sz w:val="20"/>
        </w:rPr>
        <w:t xml:space="preserve">3. Reserve Bank of India. </w:t>
      </w:r>
      <w:hyperlink r:id="rId15">
        <w:r>
          <w:rPr>
            <w:color w:val="167D78"/>
            <w:u w:val="single"/>
          </w:rPr>
          <w:t>Reserve Bank of India (Digital Lending) Directions, 2025</w:t>
        </w:r>
      </w:hyperlink>
    </w:p>
    <w:p>
      <w:pPr>
        <w:pStyle w:val="Heading1"/>
        <w:keepNext/>
        <w:keepLines/>
      </w:pPr>
      <w:r>
        <w:t>Appendix B - Codex implementation contract</w:t>
      </w:r>
    </w:p>
    <w:p>
      <w:pPr>
        <w:spacing w:before="0" w:after="120" w:line="264" w:lineRule="auto"/>
      </w:pPr>
      <w:r>
        <w:rPr>
          <w:rFonts w:ascii="DejaVu Sans" w:hAnsi="DejaVu Sans" w:eastAsia="DejaVu Sans"/>
          <w:b w:val="0"/>
          <w:i w:val="0"/>
          <w:color w:val="17202A"/>
          <w:sz w:val="22"/>
        </w:rPr>
        <w:t>Codex should execute this document phase by phase. Before each phase, inspect current code and state the acceptance checks. After each phase, run the narrowest relevant tests plus typecheck. Do not silently introduce new thresholds or move rules into UI components.</w:t>
      </w:r>
    </w:p>
    <w:tbl>
      <w:tblPr>
        <w:tblStyle w:val="TableGrid"/>
        <w:tblW w:type="dxa" w:w="9360"/>
        <w:jc w:val="left"/>
        <w:tblLayout w:type="fixed"/>
        <w:tblLook w:firstColumn="1" w:firstRow="1" w:lastColumn="0" w:lastRow="0" w:noHBand="0" w:noVBand="1" w:val="04A0"/>
        <w:tblInd w:w="120" w:type="dxa"/>
        <w:tblBorders>
          <w:top w:val="single" w:sz="6" w:space="0" w:color="D7DEE2"/>
          <w:left w:val="single" w:sz="6" w:space="0" w:color="D7DEE2"/>
          <w:bottom w:val="single" w:sz="6" w:space="0" w:color="D7DEE2"/>
          <w:right w:val="single" w:sz="6" w:space="0" w:color="D7DEE2"/>
          <w:insideH w:val="single" w:sz="6" w:space="0" w:color="D7DEE2"/>
          <w:insideV w:val="single" w:sz="6" w:space="0" w:color="D7DEE2"/>
        </w:tblBorders>
      </w:tblPr>
      <w:tblGrid>
        <w:gridCol w:w="4680"/>
        <w:gridCol w:w="4680"/>
      </w:tblGrid>
      <w:tr>
        <w:trPr>
          <w:tblHeader w:val="true"/>
          <w:cantSplit/>
        </w:trPr>
        <w:tc>
          <w:tcPr>
            <w:tcW w:type="dxa" w:w="468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Always</w:t>
            </w:r>
          </w:p>
        </w:tc>
        <w:tc>
          <w:tcPr>
            <w:tcW w:type="dxa" w:w="4680"/>
            <w:shd w:fill="167D78"/>
            <w:vAlign w:val="center"/>
            <w:tcMar>
              <w:top w:w="100" w:type="dxa"/>
              <w:start w:w="120" w:type="dxa"/>
              <w:bottom w:w="100" w:type="dxa"/>
              <w:end w:w="120" w:type="dxa"/>
            </w:tcMar>
          </w:tcPr>
          <w:p>
            <w:pPr>
              <w:spacing w:after="0" w:line="240" w:lineRule="auto"/>
            </w:pPr>
            <w:r>
              <w:rPr>
                <w:rFonts w:ascii="DejaVu Sans" w:hAnsi="DejaVu Sans" w:eastAsia="DejaVu Sans"/>
                <w:b/>
                <w:color w:val="FFFFFF"/>
                <w:sz w:val="17"/>
              </w:rPr>
              <w:t>Never</w:t>
            </w:r>
          </w:p>
        </w:tc>
      </w:tr>
      <w:tr>
        <w:trPr>
          <w:cantSplit/>
        </w:trPr>
        <w:tc>
          <w:tcPr>
            <w:tcW w:type="dxa" w:w="468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Use pure functions for calculations</w:t>
            </w:r>
          </w:p>
        </w:tc>
        <w:tc>
          <w:tcPr>
            <w:tcW w:type="dxa" w:w="468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Store personal answers or send them to an API</w:t>
            </w:r>
          </w:p>
        </w:tc>
      </w:tr>
      <w:tr>
        <w:trPr>
          <w:cantSplit/>
        </w:trPr>
        <w:tc>
          <w:tcPr>
            <w:tcW w:type="dxa" w:w="468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Return rule traces and confidence effects</w:t>
            </w:r>
          </w:p>
        </w:tc>
        <w:tc>
          <w:tcPr>
            <w:tcW w:type="dxa" w:w="468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Replace unknown with zero or a worst-case score</w:t>
            </w:r>
          </w:p>
        </w:tc>
      </w:tr>
      <w:tr>
        <w:trPr>
          <w:cantSplit/>
        </w:trPr>
        <w:tc>
          <w:tcPr>
            <w:tcW w:type="dxa" w:w="468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Keep lender and safe capacity separate</w:t>
            </w:r>
          </w:p>
        </w:tc>
        <w:tc>
          <w:tcPr>
            <w:tcW w:type="dxa" w:w="468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Use one unexplained maximum-loan number</w:t>
            </w:r>
          </w:p>
        </w:tc>
      </w:tr>
      <w:tr>
        <w:trPr>
          <w:cantSplit/>
        </w:trPr>
        <w:tc>
          <w:tcPr>
            <w:tcW w:type="dxa" w:w="468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Date and source rule bands</w:t>
            </w:r>
          </w:p>
        </w:tc>
        <w:tc>
          <w:tcPr>
            <w:tcW w:type="dxa" w:w="468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Claim judgement thresholds are RBI rules</w:t>
            </w:r>
          </w:p>
        </w:tc>
      </w:tr>
      <w:tr>
        <w:trPr>
          <w:cantSplit/>
        </w:trPr>
        <w:tc>
          <w:tcPr>
            <w:tcW w:type="dxa" w:w="468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Verify three persona journeys</w:t>
            </w:r>
          </w:p>
        </w:tc>
        <w:tc>
          <w:tcPr>
            <w:tcW w:type="dxa" w:w="4680"/>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Optimize only the happy salaried path</w:t>
            </w:r>
          </w:p>
        </w:tc>
      </w:tr>
      <w:tr>
        <w:trPr>
          <w:cantSplit/>
        </w:trPr>
        <w:tc>
          <w:tcPr>
            <w:tcW w:type="dxa" w:w="468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Run tests after rule changes</w:t>
            </w:r>
          </w:p>
        </w:tc>
        <w:tc>
          <w:tcPr>
            <w:tcW w:type="dxa" w:w="4680"/>
            <w:shd w:fill="F4F7F7"/>
            <w:vAlign w:val="center"/>
            <w:tcMar>
              <w:top w:w="100" w:type="dxa"/>
              <w:start w:w="120" w:type="dxa"/>
              <w:bottom w:w="100" w:type="dxa"/>
              <w:end w:w="120" w:type="dxa"/>
            </w:tcMar>
          </w:tcPr>
          <w:p>
            <w:pPr>
              <w:spacing w:after="0" w:line="252" w:lineRule="auto"/>
            </w:pPr>
            <w:r>
              <w:rPr>
                <w:rFonts w:ascii="DejaVu Sans" w:hAnsi="DejaVu Sans" w:eastAsia="DejaVu Sans"/>
                <w:b w:val="0"/>
                <w:color w:val="17202A"/>
                <w:sz w:val="17"/>
              </w:rPr>
              <w:t>Polish UI while calculations remain unverified</w:t>
            </w:r>
          </w:p>
        </w:tc>
      </w:tr>
    </w:tbl>
    <w:tbl>
      <w:tblPr>
        <w:tblW w:type="dxa" w:w="9360"/>
        <w:jc w:val="left"/>
        <w:tblLayout w:type="fixed"/>
        <w:tblLook w:firstColumn="1" w:firstRow="1" w:lastColumn="0" w:lastRow="0" w:noHBand="0" w:noVBand="1" w:val="04A0"/>
        <w:tblInd w:w="120" w:type="dxa"/>
        <w:tblBorders>
          <w:top w:val="single" w:sz="2" w:space="0" w:color="E7F4F2"/>
          <w:left w:val="single" w:sz="2" w:space="0" w:color="E7F4F2"/>
          <w:bottom w:val="single" w:sz="2" w:space="0" w:color="E7F4F2"/>
          <w:right w:val="single" w:sz="2" w:space="0" w:color="E7F4F2"/>
          <w:insideH w:val="single" w:sz="2" w:space="0" w:color="E7F4F2"/>
          <w:insideV w:val="single" w:sz="2" w:space="0" w:color="E7F4F2"/>
        </w:tblBorders>
      </w:tblPr>
      <w:tblGrid>
        <w:gridCol w:w="9360"/>
      </w:tblGrid>
      <w:tr>
        <w:trPr>
          <w:cantSplit/>
        </w:trPr>
        <w:tc>
          <w:tcPr>
            <w:tcW w:type="dxa" w:w="9360"/>
            <w:vAlign w:val="center"/>
            <w:tcMar>
              <w:top w:w="100" w:type="dxa"/>
              <w:start w:w="120" w:type="dxa"/>
              <w:bottom w:w="100" w:type="dxa"/>
              <w:end w:w="120" w:type="dxa"/>
            </w:tcMar>
            <w:shd w:fill="E7F4F2"/>
          </w:tcPr>
          <w:p>
            <w:pPr>
              <w:spacing w:before="40" w:after="40" w:line="264" w:lineRule="auto"/>
            </w:pPr>
            <w:r>
              <w:rPr>
                <w:rFonts w:ascii="DejaVu Sans" w:hAnsi="DejaVu Sans" w:eastAsia="DejaVu Sans"/>
                <w:b/>
                <w:color w:val="167D78"/>
                <w:sz w:val="18"/>
              </w:rPr>
              <w:t xml:space="preserve">FINAL ARCHITECTURE PRINCIPLE  </w:t>
            </w:r>
            <w:r>
              <w:rPr>
                <w:rFonts w:ascii="DejaVu Sans" w:hAnsi="DejaVu Sans" w:eastAsia="DejaVu Sans"/>
                <w:color w:val="17202A"/>
                <w:sz w:val="20"/>
              </w:rPr>
              <w:t>A borrower should be able to challenge every number, and a developer should be able to change every rule without hunting through the UI.</w:t>
            </w:r>
          </w:p>
        </w:tc>
      </w:tr>
    </w:tbl>
    <w:sectPr w:rsidR="00FC693F" w:rsidRPr="0006063C" w:rsidSect="00034616">
      <w:headerReference w:type="default" r:id="rId9"/>
      <w:footerReference w:type="default" r:id="rId10"/>
      <w:pgSz w:w="12240" w:h="15840"/>
      <w:pgMar w:top="1181" w:right="1224" w:bottom="1123" w:left="1224"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DejaVu Sans" w:hAnsi="DejaVu Sans" w:eastAsia="DejaVu Sans"/>
        <w:color w:val="667085"/>
        <w:sz w:val="16"/>
      </w:rPr>
      <w:t xml:space="preserve">Architecture and implementation specification  |  </w:t>
    </w:r>
    <w:r>
      <w:rPr>
        <w:rFonts w:ascii="DejaVu Sans" w:hAnsi="DejaVu Sans" w:eastAsia="DejaVu Sans"/>
        <w:color w:val="66708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92" w:val="right"/>
      </w:tabs>
      <w:spacing w:after="0"/>
      <w:jc w:val="left"/>
    </w:pPr>
    <w:r>
      <w:rPr>
        <w:rFonts w:ascii="DejaVu Sans" w:hAnsi="DejaVu Sans" w:eastAsia="DejaVu Sans"/>
        <w:b/>
        <w:color w:val="167D78"/>
        <w:sz w:val="16"/>
      </w:rPr>
      <w:t>LOKTA  |  BORROWER COPILOT</w:t>
    </w:r>
    <w:r>
      <w:rPr>
        <w:rFonts w:ascii="DejaVu Sans" w:hAnsi="DejaVu Sans" w:eastAsia="DejaVu Sans"/>
        <w:color w:val="667085"/>
        <w:sz w:val="16"/>
      </w:rPr>
      <w:tab/>
      <w:t>TECHNICAL DESIGN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decimal"/>
      <w:lvlText w:val="%1."/>
      <w:lvlJc w:val="left"/>
      <w:pPr>
        <w:tabs>
          <w:tab w:val="num" w:pos="720"/>
        </w:tabs>
        <w:ind w:left="720" w:hanging="36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DejaVu Sans" w:hAnsi="DejaVu Sans"/>
      <w:b/>
      <w:bCs/>
      <w:color w:val="167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DejaVu Sans" w:hAnsi="DejaVu Sans"/>
      <w:b/>
      <w:bCs/>
      <w:color w:val="16283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1628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DejaVu Sans" w:hAnsi="DejaVu Sans"/>
      <w:b/>
      <w:color w:val="16283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contextualSpacing/>
    </w:pPr>
    <w:rPr>
      <w:rFonts w:ascii="DejaVu Sans" w:hAnsi="DejaVu Sans"/>
      <w:sz w:val="21"/>
    </w:rPr>
  </w:style>
  <w:style w:type="paragraph" w:styleId="ListBullet2">
    <w:name w:val="List Bullet 2"/>
    <w:basedOn w:val="Normal"/>
    <w:uiPriority w:val="99"/>
    <w:unhideWhenUsed/>
    <w:rsid w:val="00326F90"/>
    <w:pPr>
      <w:numPr>
        <w:numId w:val="2"/>
      </w:numPr>
      <w:spacing w:after="80" w:line="278" w:lineRule="auto"/>
      <w:contextualSpacing/>
    </w:pPr>
    <w:rPr>
      <w:rFonts w:ascii="DejaVu Sans" w:hAnsi="DejaVu San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contextualSpacing/>
    </w:pPr>
    <w:rPr>
      <w:rFonts w:ascii="DejaVu Sans" w:hAnsi="DejaVu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m.rbi.org.in/Scripts/NotificationUser.aspx?Id=12663&amp;Mode=0" TargetMode="External"/><Relationship Id="rId15" Type="http://schemas.openxmlformats.org/officeDocument/2006/relationships/hyperlink" Target="https://www.rbi.org.in/scripts/NotificationUser.aspx?Id=12848&amp;Mod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Borrower Copilot - End-to-End Architecture</dc:title>
  <dc:subject>Technical architecture and implementation plan for the Lokta Borrower Copilot Build Challenge</dc:subject>
  <dc:creator>Chetan Sai Vatti</dc:creator>
  <cp:keywords>Borrower Copilot, lending, React, architecture, UX, rule engine</cp:keywords>
  <dc:description>generated by python-docx</dc:description>
  <cp:lastModifiedBy/>
  <cp:revision>1</cp:revision>
  <dcterms:created xsi:type="dcterms:W3CDTF">2013-12-23T23:15:00Z</dcterms:created>
  <dcterms:modified xsi:type="dcterms:W3CDTF">2013-12-23T23:15:00Z</dcterms:modified>
  <cp:category/>
</cp:coreProperties>
</file>