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44409f1db44489c" /><Relationship Type="http://schemas.openxmlformats.org/package/2006/relationships/metadata/core-properties" Target="/docProps/core.xml" Id="Rbb189b980c9345a4" /><Relationship Type="http://schemas.openxmlformats.org/officeDocument/2006/relationships/extended-properties" Target="/docProps/app.xml" Id="Rb47b5e13319840e5" /><Relationship Type="http://schemas.openxmlformats.org/officeDocument/2006/relationships/custom-properties" Target="/docProps/custom.xml" Id="Rc3f0e9a305d94236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00" w14:textId="00100001">
            <w:r>
              <w:t xml:space="preserve">Feature</w:t>
            </w:r>
          </w:p>
        </w:tc>
        <w:tc>
          <w:p w14:paraId="00100002" w14:textId="00100003">
            <w:r>
              <w:t xml:space="preserve">Description</w:t>
            </w:r>
          </w:p>
        </w:tc>
        <w:tc>
          <w:p w14:paraId="00100004" w14:textId="00100005">
            <w:r>
              <w:t xml:space="preserve">Range / Type</w:t>
            </w:r>
          </w:p>
        </w:tc>
      </w:tr>
      <w:tr>
        <w:trPr/>
        <w:tc>
          <w:p w14:paraId="00100006" w14:textId="00100007">
            <w:r>
              <w:t xml:space="preserve">Square_Footage</w:t>
            </w:r>
          </w:p>
        </w:tc>
        <w:tc>
          <w:p w14:paraId="00100008" w14:textId="00100009">
            <w:r>
              <w:t xml:space="preserve">Total living area in square feet</w:t>
            </w:r>
          </w:p>
        </w:tc>
        <w:tc>
          <w:p w14:paraId="0010000A" w14:textId="0010000B">
            <w:r>
              <w:t xml:space="preserve">503 – 4,999 sq ft</w:t>
            </w:r>
          </w:p>
        </w:tc>
      </w:tr>
      <w:tr>
        <w:trPr/>
        <w:tc>
          <w:p w14:paraId="0010000C" w14:textId="0010000D">
            <w:r>
              <w:t xml:space="preserve">Num_Bedrooms</w:t>
            </w:r>
          </w:p>
        </w:tc>
        <w:tc>
          <w:p w14:paraId="0010000E" w14:textId="0010000F">
            <w:r>
              <w:t xml:space="preserve">Number of bedrooms</w:t>
            </w:r>
          </w:p>
        </w:tc>
        <w:tc>
          <w:p w14:paraId="00100010" w14:textId="00100011">
            <w:r>
              <w:t xml:space="preserve">1 – 5</w:t>
            </w:r>
          </w:p>
        </w:tc>
      </w:tr>
      <w:tr>
        <w:trPr/>
        <w:tc>
          <w:p w14:paraId="00100012" w14:textId="00100013">
            <w:r>
              <w:t xml:space="preserve">Num_Bathrooms</w:t>
            </w:r>
          </w:p>
        </w:tc>
        <w:tc>
          <w:p w14:paraId="00100014" w14:textId="00100015">
            <w:r>
              <w:t xml:space="preserve">Number of bathrooms</w:t>
            </w:r>
          </w:p>
        </w:tc>
        <w:tc>
          <w:p w14:paraId="00100016" w14:textId="00100017">
            <w:r>
              <w:t xml:space="preserve">1 – 3</w:t>
            </w:r>
          </w:p>
        </w:tc>
      </w:tr>
      <w:tr>
        <w:trPr/>
        <w:tc>
          <w:p w14:paraId="00100018" w14:textId="00100019">
            <w:r>
              <w:t xml:space="preserve">Year_Built</w:t>
            </w:r>
          </w:p>
        </w:tc>
        <w:tc>
          <w:p w14:paraId="0010001A" w14:textId="0010001B">
            <w:r>
              <w:t xml:space="preserve">Year the house was constructed</w:t>
            </w:r>
          </w:p>
        </w:tc>
        <w:tc>
          <w:p w14:paraId="0010001C" w14:textId="0010001D">
            <w:r>
              <w:t xml:space="preserve">1950 – 2022</w:t>
            </w:r>
          </w:p>
        </w:tc>
      </w:tr>
      <w:tr>
        <w:trPr/>
        <w:tc>
          <w:p w14:paraId="0010001E" w14:textId="0010001F">
            <w:r>
              <w:t xml:space="preserve">Lot_Size</w:t>
            </w:r>
          </w:p>
        </w:tc>
        <w:tc>
          <w:p w14:paraId="00100020" w14:textId="00100021">
            <w:r>
              <w:t xml:space="preserve">Property lot size in acres</w:t>
            </w:r>
          </w:p>
        </w:tc>
        <w:tc>
          <w:p w14:paraId="00100022" w14:textId="00100023">
            <w:r>
              <w:t xml:space="preserve">0.5 – 5.0 acres</w:t>
            </w:r>
          </w:p>
        </w:tc>
      </w:tr>
      <w:tr>
        <w:trPr/>
        <w:tc>
          <w:p w14:paraId="00100024" w14:textId="00100025">
            <w:r>
              <w:t xml:space="preserve">Garage_Size</w:t>
            </w:r>
          </w:p>
        </w:tc>
        <w:tc>
          <w:p w14:paraId="00100026" w14:textId="00100027">
            <w:r>
              <w:t xml:space="preserve">Number of cars garage can hold</w:t>
            </w:r>
          </w:p>
        </w:tc>
        <w:tc>
          <w:p w14:paraId="00100028" w14:textId="00100029">
            <w:r>
              <w:t xml:space="preserve">0 – 2</w:t>
            </w:r>
          </w:p>
        </w:tc>
      </w:tr>
      <w:tr>
        <w:trPr/>
        <w:tc>
          <w:p w14:paraId="0010002A" w14:textId="0010002B">
            <w:r>
              <w:t xml:space="preserve">Neighborhood_Quality</w:t>
            </w:r>
          </w:p>
        </w:tc>
        <w:tc>
          <w:p w14:paraId="0010002C" w14:textId="0010002D">
            <w:r>
              <w:t xml:space="preserve">Quality score of neighbourhood</w:t>
            </w:r>
          </w:p>
        </w:tc>
        <w:tc>
          <w:p w14:paraId="0010002E" w14:textId="0010002F">
            <w:r>
              <w:t xml:space="preserve">1 – 10 (integer)</w:t>
            </w:r>
          </w:p>
        </w:tc>
      </w:tr>
      <w:tr>
        <w:trPr/>
        <w:tc>
          <w:p w14:paraId="00100030" w14:textId="00100031">
            <w:r>
              <w:t xml:space="preserve">House_Price (TARGET)</w:t>
            </w:r>
          </w:p>
        </w:tc>
        <w:tc>
          <w:p w14:paraId="00100032" w14:textId="00100033">
            <w:r>
              <w:t xml:space="preserve">Sale price of the house in USD</w:t>
            </w:r>
          </w:p>
        </w:tc>
        <w:tc>
          <w:p w14:paraId="00100034" w14:textId="00100035">
            <w:r>
              <w:t xml:space="preserve">$111,627 – $1,108,237</w:t>
            </w:r>
          </w:p>
        </w:tc>
      </w:tr>
    </w:tbl>
    <w:p w14:paraId="00100036" w14:textId="00100037">
      <w:pPr>
        <w:pStyle w:val="Heading2"/>
        <w:spacing w:before="280" w:after="120"/>
      </w:pPr>
      <w:r>
        <w:rPr>
          <w:b/>
          <w:sz w:val="26"/>
        </w:rPr>
        <w:t xml:space="preserve">Dataset Statistics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p w14:paraId="00100038" w14:textId="00100039">
            <w:r>
              <w:t xml:space="preserve">Statistic</w:t>
            </w:r>
          </w:p>
        </w:tc>
        <w:tc>
          <w:p w14:paraId="0010003A" w14:textId="0010003B">
            <w:r>
              <w:t xml:space="preserve">Square Footage</w:t>
            </w:r>
          </w:p>
        </w:tc>
        <w:tc>
          <w:p w14:paraId="0010003C" w14:textId="0010003D">
            <w:r>
              <w:t xml:space="preserve">House Price ($)</w:t>
            </w:r>
          </w:p>
        </w:tc>
        <w:tc>
          <w:p w14:paraId="0010003E" w14:textId="0010003F">
            <w:r>
              <w:t xml:space="preserve">Lot Size (acres)</w:t>
            </w:r>
          </w:p>
        </w:tc>
      </w:tr>
      <w:tr>
        <w:trPr/>
        <w:tc>
          <w:p w14:paraId="00100040" w14:textId="00100041">
            <w:r>
              <w:t xml:space="preserve">Mean</w:t>
            </w:r>
          </w:p>
        </w:tc>
        <w:tc>
          <w:p w14:paraId="00100042" w14:textId="00100043">
            <w:r>
              <w:t xml:space="preserve">2,815</w:t>
            </w:r>
          </w:p>
        </w:tc>
        <w:tc>
          <w:p w14:paraId="00100044" w14:textId="00100045">
            <w:r>
              <w:t xml:space="preserve">618,861</w:t>
            </w:r>
          </w:p>
        </w:tc>
        <w:tc>
          <w:p w14:paraId="00100046" w14:textId="00100047">
            <w:r>
              <w:t xml:space="preserve">2.78</w:t>
            </w:r>
          </w:p>
        </w:tc>
      </w:tr>
      <w:tr>
        <w:trPr/>
        <w:tc>
          <w:p w14:paraId="00100048" w14:textId="00100049">
            <w:r>
              <w:t xml:space="preserve">Std Dev</w:t>
            </w:r>
          </w:p>
        </w:tc>
        <w:tc>
          <w:p w14:paraId="0010004A" w14:textId="0010004B">
            <w:r>
              <w:t xml:space="preserve">1,256</w:t>
            </w:r>
          </w:p>
        </w:tc>
        <w:tc>
          <w:p w14:paraId="0010004C" w14:textId="0010004D">
            <w:r>
              <w:t xml:space="preserve">253,568</w:t>
            </w:r>
          </w:p>
        </w:tc>
        <w:tc>
          <w:p w14:paraId="0010004E" w14:textId="0010004F">
            <w:r>
              <w:t xml:space="preserve">1.30</w:t>
            </w:r>
          </w:p>
        </w:tc>
      </w:tr>
      <w:tr>
        <w:trPr/>
        <w:tc>
          <w:p w14:paraId="00100050" w14:textId="00100051">
            <w:r>
              <w:t xml:space="preserve">Min</w:t>
            </w:r>
          </w:p>
        </w:tc>
        <w:tc>
          <w:p w14:paraId="00100052" w14:textId="00100053">
            <w:r>
              <w:t xml:space="preserve">503</w:t>
            </w:r>
          </w:p>
        </w:tc>
        <w:tc>
          <w:p w14:paraId="00100054" w14:textId="00100055">
            <w:r>
              <w:t xml:space="preserve">111,627</w:t>
            </w:r>
          </w:p>
        </w:tc>
        <w:tc>
          <w:p w14:paraId="00100056" w14:textId="00100057">
            <w:r>
              <w:t xml:space="preserve">0.51</w:t>
            </w:r>
          </w:p>
        </w:tc>
      </w:tr>
      <w:tr>
        <w:trPr/>
        <w:tc>
          <w:p w14:paraId="00100058" w14:textId="00100059">
            <w:r>
              <w:t xml:space="preserve">Max</w:t>
            </w:r>
          </w:p>
        </w:tc>
        <w:tc>
          <w:p w14:paraId="0010005A" w14:textId="0010005B">
            <w:r>
              <w:t xml:space="preserve">4,999</w:t>
            </w:r>
          </w:p>
        </w:tc>
        <w:tc>
          <w:p w14:paraId="0010005C" w14:textId="0010005D">
            <w:r>
              <w:t xml:space="preserve">1,108,237</w:t>
            </w:r>
          </w:p>
        </w:tc>
        <w:tc>
          <w:p w14:paraId="0010005E" w14:textId="0010005F">
            <w:r>
              <w:t xml:space="preserve">4.99</w:t>
            </w:r>
          </w:p>
        </w:tc>
      </w:tr>
    </w:tbl>
    <w:p w14:paraId="00100060" w14:textId="00100061">
      <w:pPr>
        <w:pStyle w:val="Heading1"/>
        <w:spacing w:before="280" w:after="160"/>
      </w:pPr>
      <w:r>
        <w:rPr>
          <w:b/>
          <w:sz w:val="32"/>
        </w:rPr>
        <w:t xml:space="preserve">3. Project Architecture</w:t>
      </w:r>
    </w:p>
    <w:p w14:paraId="00100062" w14:textId="00100063">
      <w:pPr>
        <w:pStyle w:val="Normal"/>
        <w:spacing w:after="120"/>
      </w:pPr>
      <w:r>
        <w:rPr>
          <w:sz w:val="22"/>
        </w:rPr>
        <w:t xml:space="preserve">The project follows a three-layer architecture:</w:t>
      </w:r>
    </w:p>
    <w:p w14:paraId="00100064" w14:textId="00100065">
      <w:pPr>
        <w:pStyle w:val="Normal"/>
        <w:numPr>
          <w:ilvl w:val="0"/>
          <w:numId w:val="1"/>
        </w:numPr>
        <w:spacing w:after="60"/>
      </w:pPr>
      <w:r>
        <w:rPr>
          <w:sz w:val="22"/>
        </w:rPr>
        <w:t xml:space="preserve">Data Layer: CSV dataset stored in data/, read by pandas for both training and EDA.</w:t>
      </w:r>
    </w:p>
    <w:p w14:paraId="00100066" w14:textId="00100067">
      <w:pPr>
        <w:pStyle w:val="Normal"/>
        <w:numPr>
          <w:ilvl w:val="0"/>
          <w:numId w:val="1"/>
        </w:numPr>
        <w:spacing w:after="60"/>
      </w:pPr>
      <w:r>
        <w:rPr>
          <w:sz w:val="22"/>
        </w:rPr>
        <w:t xml:space="preserve">Backend Layer: Flask REST API (app.py) loads the trained model and scaler from models/, and serves predictions via HTTP POST /predict. Additional endpoints expose metrics and feature importance.</w:t>
      </w:r>
    </w:p>
    <w:p w14:paraId="00100068" w14:textId="00100069">
      <w:pPr>
        <w:pStyle w:val="Normal"/>
        <w:numPr>
          <w:ilvl w:val="0"/>
          <w:numId w:val="1"/>
        </w:numPr>
        <w:spacing w:after="200"/>
      </w:pPr>
      <w:r>
        <w:rPr>
          <w:sz w:val="22"/>
        </w:rPr>
        <w:t xml:space="preserve">Frontend Layer: Streamlit application (streamlit_app.py) renders three tabs — Predict, Data Analysis, and Model Performance — calling the Flask API for predictions and loading model artifacts for offline fallback.</w:t>
      </w:r>
    </w:p>
    <w:p w14:paraId="0010006A" w14:textId="0010006B">
      <w:pPr>
        <w:pStyle w:val="Heading2"/>
        <w:spacing w:before="200" w:after="120"/>
      </w:pPr>
      <w:r>
        <w:rPr>
          <w:b/>
          <w:sz w:val="26"/>
        </w:rPr>
        <w:t xml:space="preserve">Project File Structure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06C" w14:textId="0010006D">
            <w:r>
              <w:t xml:space="preserve">File / Folder</w:t>
            </w:r>
          </w:p>
        </w:tc>
        <w:tc>
          <w:p w14:paraId="0010006E" w14:textId="0010006F">
            <w:r>
              <w:t xml:space="preserve">Purpose</w:t>
            </w:r>
          </w:p>
        </w:tc>
      </w:tr>
      <w:tr>
        <w:trPr/>
        <w:tc>
          <w:p w14:paraId="00100070" w14:textId="00100071">
            <w:r>
              <w:t xml:space="preserve">data/house_price_regression_dataset.csv</w:t>
            </w:r>
          </w:p>
        </w:tc>
        <w:tc>
          <w:p w14:paraId="00100072" w14:textId="00100073">
            <w:r>
              <w:t xml:space="preserve">Raw dataset (1,000 records)</w:t>
            </w:r>
          </w:p>
        </w:tc>
      </w:tr>
      <w:tr>
        <w:trPr/>
        <w:tc>
          <w:p w14:paraId="00100074" w14:textId="00100075">
            <w:r>
              <w:t xml:space="preserve">train_model.py</w:t>
            </w:r>
          </w:p>
        </w:tc>
        <w:tc>
          <w:p w14:paraId="00100076" w14:textId="00100077">
            <w:r>
              <w:t xml:space="preserve">Trains GBR model, saves artifacts and evaluation plots</w:t>
            </w:r>
          </w:p>
        </w:tc>
      </w:tr>
      <w:tr>
        <w:trPr/>
        <w:tc>
          <w:p w14:paraId="00100078" w14:textId="00100079">
            <w:r>
              <w:t xml:space="preserve">app.py</w:t>
            </w:r>
          </w:p>
        </w:tc>
        <w:tc>
          <w:p w14:paraId="0010007A" w14:textId="0010007B">
            <w:r>
              <w:t xml:space="preserve">Flask REST API — /predict, /metrics, /feature_importance</w:t>
            </w:r>
          </w:p>
        </w:tc>
      </w:tr>
      <w:tr>
        <w:trPr/>
        <w:tc>
          <w:p w14:paraId="0010007C" w14:textId="0010007D">
            <w:r>
              <w:t xml:space="preserve">streamlit_app.py</w:t>
            </w:r>
          </w:p>
        </w:tc>
        <w:tc>
          <w:p w14:paraId="0010007E" w14:textId="0010007F">
            <w:r>
              <w:t xml:space="preserve">3-tab Streamlit web UI</w:t>
            </w:r>
          </w:p>
        </w:tc>
      </w:tr>
      <w:tr>
        <w:trPr/>
        <w:tc>
          <w:p w14:paraId="00100080" w14:textId="00100081">
            <w:r>
              <w:t xml:space="preserve">models/gbr_model.pkl</w:t>
            </w:r>
          </w:p>
        </w:tc>
        <w:tc>
          <w:p w14:paraId="00100082" w14:textId="00100083">
            <w:r>
              <w:t xml:space="preserve">Serialised trained Gradient Boosting model</w:t>
            </w:r>
          </w:p>
        </w:tc>
      </w:tr>
      <w:tr>
        <w:trPr/>
        <w:tc>
          <w:p w14:paraId="00100084" w14:textId="00100085">
            <w:r>
              <w:t xml:space="preserve">models/scaler.pkl</w:t>
            </w:r>
          </w:p>
        </w:tc>
        <w:tc>
          <w:p w14:paraId="00100086" w14:textId="00100087">
            <w:r>
              <w:t xml:space="preserve">Fitted StandardScaler for feature normalisation</w:t>
            </w:r>
          </w:p>
        </w:tc>
      </w:tr>
      <w:tr>
        <w:trPr/>
        <w:tc>
          <w:p w14:paraId="00100088" w14:textId="00100089">
            <w:r>
              <w:t xml:space="preserve">models/metrics.json</w:t>
            </w:r>
          </w:p>
        </w:tc>
        <w:tc>
          <w:p w14:paraId="0010008A" w14:textId="0010008B">
            <w:r>
              <w:t xml:space="preserve">Test-set MAE, RMSE, R² scores</w:t>
            </w:r>
          </w:p>
        </w:tc>
      </w:tr>
      <w:tr>
        <w:trPr/>
        <w:tc>
          <w:p w14:paraId="0010008C" w14:textId="0010008D">
            <w:r>
              <w:t xml:space="preserve">requirements.txt</w:t>
            </w:r>
          </w:p>
        </w:tc>
        <w:tc>
          <w:p w14:paraId="0010008E" w14:textId="0010008F">
            <w:r>
              <w:t xml:space="preserve">All Python dependencies</w:t>
            </w:r>
          </w:p>
        </w:tc>
      </w:tr>
    </w:tbl>
    <w:p w14:paraId="00100090" w14:textId="00100091">
      <w:pPr>
        <w:pStyle w:val="Heading1"/>
        <w:spacing w:before="280" w:after="160"/>
      </w:pPr>
      <w:r>
        <w:rPr>
          <w:b/>
          <w:sz w:val="32"/>
        </w:rPr>
        <w:t xml:space="preserve">4. Exploratory Data Analysis (EDA)</w:t>
      </w:r>
    </w:p>
    <w:p w14:paraId="00100092" w14:textId="00100093">
      <w:pPr>
        <w:pStyle w:val="Normal"/>
        <w:spacing w:after="200"/>
      </w:pPr>
      <w:r>
        <w:rPr>
          <w:sz w:val="22"/>
        </w:rPr>
        <w:t xml:space="preserve">Before model training, the dataset was analysed to understand feature distributions, relationships with the target, and inter-feature correlations.</w:t>
      </w:r>
    </w:p>
    <w:p w14:paraId="00100094" w14:textId="00100095">
      <w:pPr>
        <w:pStyle w:val="Heading2"/>
        <w:spacing w:before="200" w:after="120"/>
      </w:pPr>
      <w:r>
        <w:rPr>
          <w:b/>
          <w:sz w:val="26"/>
        </w:rPr>
        <w:t xml:space="preserve">4.1 House Price Distribution</w:t>
      </w:r>
    </w:p>
    <w:p w14:paraId="00100096" w14:textId="00100097">
      <w:pPr>
        <w:pStyle w:val="Normal"/>
        <w:spacing w:after="160"/>
      </w:pPr>
      <w:r>
        <w:rPr>
          <w:sz w:val="22"/>
        </w:rPr>
        <w:t xml:space="preserve">The distribution of house prices is approximately normal, centred around $618,861 with a standard deviation of $253,568. No extreme outliers or skew were detected.</w:t>
      </w:r>
    </w:p>
    <w:p w14:paraId="00100098" w14:textId="00100099">
      <w:pPr>
        <w:spacing w:line="240" w:lineRule="auto"/>
      </w:pPr>
      <w:r>
        <w:rPr/>
        <w:drawing>
          <wp:inline distT="0" distB="0" distL="0" distR="0">
            <wp:extent cx="5040000" cy="2520000"/>
            <wp:effectExtent l="0" t="0" r="0" b="0"/>
            <wp:docPr id="1" name="price_distribution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rice_distribution.png"/>
                    <pic:cNvPicPr/>
                  </pic:nvPicPr>
                  <pic:blipFill>
                    <a:blip r:embed="R383680e1f8284e2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9A" w14:textId="0010009B">
      <w:pPr>
        <w:pStyle w:val="Heading2"/>
        <w:spacing w:before="240" w:after="120"/>
      </w:pPr>
      <w:r>
        <w:rPr>
          <w:b/>
          <w:sz w:val="26"/>
        </w:rPr>
        <w:t xml:space="preserve">4.2 Price vs Square Footage</w:t>
      </w:r>
    </w:p>
    <w:p w14:paraId="0010009C" w14:textId="0010009D">
      <w:pPr>
        <w:pStyle w:val="Normal"/>
        <w:spacing w:after="160"/>
      </w:pPr>
      <w:r>
        <w:rPr>
          <w:sz w:val="22"/>
        </w:rPr>
        <w:t xml:space="preserve">A strong positive linear relationship exists between Square Footage and House Price. Neighbourhood Quality (colour gradient) shows that higher quality areas command higher prices for the same size property.</w:t>
      </w:r>
    </w:p>
    <w:p w14:paraId="0010009E" w14:textId="0010009F">
      <w:pPr>
        <w:spacing w:line="240" w:lineRule="auto"/>
      </w:pPr>
      <w:r>
        <w:rPr/>
        <w:drawing>
          <wp:inline distT="0" distB="0" distL="0" distR="0">
            <wp:extent cx="5040000" cy="2520000"/>
            <wp:effectExtent l="0" t="0" r="0" b="0"/>
            <wp:docPr id="2" name="price_vs_sqft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price_vs_sqft.png"/>
                    <pic:cNvPicPr/>
                  </pic:nvPicPr>
                  <pic:blipFill>
                    <a:blip r:embed="Rdf1073c17a3944b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A0" w14:textId="001000A1">
      <w:pPr>
        <w:pStyle w:val="Heading2"/>
        <w:spacing w:before="240" w:after="120"/>
      </w:pPr>
      <w:r>
        <w:rPr>
          <w:b/>
          <w:sz w:val="26"/>
        </w:rPr>
        <w:t xml:space="preserve">4.3 Average Price by Number of Bedrooms</w:t>
      </w:r>
    </w:p>
    <w:p w14:paraId="001000A2" w14:textId="001000A3">
      <w:pPr>
        <w:pStyle w:val="Normal"/>
        <w:spacing w:after="160"/>
      </w:pPr>
      <w:r>
        <w:rPr>
          <w:sz w:val="22"/>
        </w:rPr>
        <w:t xml:space="preserve">Houses with more bedrooms generally sell at higher prices, though the relationship plateaus at 4-5 bedrooms, suggesting diminishing returns at higher bedroom counts.</w:t>
      </w:r>
    </w:p>
    <w:p w14:paraId="001000A4" w14:textId="001000A5">
      <w:pPr>
        <w:spacing w:line="240" w:lineRule="auto"/>
      </w:pPr>
      <w:r>
        <w:rPr/>
        <w:drawing>
          <wp:inline distT="0" distB="0" distL="0" distR="0">
            <wp:extent cx="4320000" cy="2880000"/>
            <wp:effectExtent l="0" t="0" r="0" b="0"/>
            <wp:docPr id="3" name="price_by_bedrooms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price_by_bedrooms.png"/>
                    <pic:cNvPicPr/>
                  </pic:nvPicPr>
                  <pic:blipFill>
                    <a:blip r:embed="R6d017c900c214c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A6" w14:textId="001000A7">
      <w:pPr>
        <w:pStyle w:val="Heading2"/>
        <w:spacing w:before="240" w:after="120"/>
      </w:pPr>
      <w:r>
        <w:rPr>
          <w:b/>
          <w:sz w:val="26"/>
        </w:rPr>
        <w:t xml:space="preserve">4.4 Correlation Heatmap</w:t>
      </w:r>
    </w:p>
    <w:p w14:paraId="001000A8" w14:textId="001000A9">
      <w:pPr>
        <w:pStyle w:val="Normal"/>
        <w:spacing w:after="160"/>
      </w:pPr>
      <w:r>
        <w:rPr>
          <w:sz w:val="22"/>
        </w:rPr>
        <w:t xml:space="preserve">Square_Footage has the strongest correlation with House_Price (r approximately 0.80), followed by Neighborhood_Quality. Features are largely independent, reducing multicollinearity concerns.</w:t>
      </w:r>
    </w:p>
    <w:p w14:paraId="001000AA" w14:textId="001000AB">
      <w:pPr>
        <w:spacing w:line="240" w:lineRule="auto"/>
      </w:pPr>
      <w:r>
        <w:rPr/>
        <w:drawing>
          <wp:inline distT="0" distB="0" distL="0" distR="0">
            <wp:extent cx="4680000" cy="3342857"/>
            <wp:effectExtent l="0" t="0" r="0" b="0"/>
            <wp:docPr id="4" name="correlation_heatmap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correlation_heatmap.png"/>
                    <pic:cNvPicPr/>
                  </pic:nvPicPr>
                  <pic:blipFill>
                    <a:blip r:embed="Rcd5c2d2140bc4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AC" w14:textId="001000AD">
      <w:pPr>
        <w:pStyle w:val="Heading2"/>
        <w:spacing w:before="240" w:after="120"/>
      </w:pPr>
      <w:r>
        <w:rPr>
          <w:b/>
          <w:sz w:val="26"/>
        </w:rPr>
        <w:t xml:space="preserve">4.5 Price by Neighbourhood Quality</w:t>
      </w:r>
    </w:p>
    <w:p w14:paraId="001000AE" w14:textId="001000AF">
      <w:pPr>
        <w:pStyle w:val="Normal"/>
        <w:spacing w:after="160"/>
      </w:pPr>
      <w:r>
        <w:rPr>
          <w:sz w:val="22"/>
        </w:rPr>
        <w:t xml:space="preserve">A clear monotonic increase in median house price is observed as Neighbourhood Quality increases from 1 to 10. The spread (IQR) also increases with quality, indicating greater price variability in premium areas.</w:t>
      </w:r>
    </w:p>
    <w:p w14:paraId="001000B0" w14:textId="001000B1">
      <w:pPr>
        <w:spacing w:line="240" w:lineRule="auto"/>
      </w:pPr>
      <w:r>
        <w:rPr/>
        <w:drawing>
          <wp:inline distT="0" distB="0" distL="0" distR="0">
            <wp:extent cx="5040000" cy="2240000"/>
            <wp:effectExtent l="0" t="0" r="0" b="0"/>
            <wp:docPr id="5" name="price_by_neighborhood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price_by_neighborhood.png"/>
                    <pic:cNvPicPr/>
                  </pic:nvPicPr>
                  <pic:blipFill>
                    <a:blip r:embed="R874b22e693204eb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B2" w14:textId="001000B3">
      <w:pPr>
        <w:pStyle w:val="Normal"/>
        <w:spacing w:after="240"/>
        <w:jc w:val="center"/>
      </w:pPr>
      <w:r>
        <w:rPr>
          <w:color w:val="57606A"/>
          <w:sz w:val="18"/>
        </w:rPr>
        <w:t xml:space="preserve">Figure 1: House Price Distribution</w:t>
      </w:r>
    </w:p>
    <w:p w14:paraId="001000B4" w14:textId="001000B5">
      <w:pPr>
        <w:pStyle w:val="Normal"/>
        <w:spacing w:after="240"/>
        <w:jc w:val="center"/>
      </w:pPr>
      <w:r>
        <w:rPr>
          <w:color w:val="57606A"/>
          <w:sz w:val="18"/>
        </w:rPr>
        <w:t xml:space="preserve">Figure 2: Price vs Square Footage</w:t>
      </w:r>
    </w:p>
    <w:p w14:paraId="001000B6" w14:textId="001000B7">
      <w:pPr>
        <w:pStyle w:val="Normal"/>
        <w:spacing w:after="240"/>
        <w:jc w:val="center"/>
      </w:pPr>
      <w:r>
        <w:rPr>
          <w:color w:val="57606A"/>
          <w:sz w:val="18"/>
        </w:rPr>
        <w:t xml:space="preserve">Figure 3: Average Price by Bedrooms</w:t>
      </w:r>
    </w:p>
    <w:p w14:paraId="001000B8" w14:textId="001000B9">
      <w:pPr>
        <w:pStyle w:val="Normal"/>
        <w:spacing w:after="240"/>
        <w:jc w:val="center"/>
      </w:pPr>
      <w:r>
        <w:rPr>
          <w:color w:val="57606A"/>
          <w:sz w:val="18"/>
        </w:rPr>
        <w:t xml:space="preserve">Figure 4: Correlation Heatmap</w:t>
      </w:r>
    </w:p>
    <w:p w14:paraId="001000BA" w14:textId="001000BB">
      <w:pPr>
        <w:pStyle w:val="Normal"/>
        <w:spacing w:after="240"/>
        <w:jc w:val="center"/>
      </w:pPr>
      <w:r>
        <w:rPr>
          <w:color w:val="57606A"/>
          <w:sz w:val="18"/>
        </w:rPr>
        <w:t xml:space="preserve">Figure 5: Price by Neighbourhood Quality</w:t>
      </w:r>
    </w:p>
    <w:p w14:paraId="001000BC" w14:textId="001000BD">
      <w:pPr>
        <w:pStyle w:val="Heading1"/>
        <w:spacing w:before="280" w:after="160"/>
      </w:pPr>
      <w:r>
        <w:rPr>
          <w:b/>
          <w:sz w:val="32"/>
        </w:rPr>
        <w:t xml:space="preserve">5. Machine Learning Model</w:t>
      </w:r>
    </w:p>
    <w:p w14:paraId="001000BE" w14:textId="001000BF">
      <w:pPr>
        <w:pStyle w:val="Heading2"/>
        <w:spacing w:before="200" w:after="120"/>
      </w:pPr>
      <w:r>
        <w:rPr>
          <w:b/>
          <w:sz w:val="26"/>
        </w:rPr>
        <w:t xml:space="preserve">5.1 Algorithm Selection</w:t>
      </w:r>
    </w:p>
    <w:p w14:paraId="001000C0" w14:textId="001000C1">
      <w:pPr>
        <w:pStyle w:val="Normal"/>
        <w:spacing w:after="160"/>
      </w:pPr>
      <w:r>
        <w:rPr>
          <w:sz w:val="22"/>
        </w:rPr>
        <w:t xml:space="preserve">Gradient Boosting Regressor (GBR) was selected for its ability to capture non-linear feature interactions, resistance to outliers, and strong out-of-the-box performance on tabular regression tasks. It iteratively fits shallow decision trees to the residuals of previous predictions, producing a powerful ensemble.</w:t>
      </w:r>
    </w:p>
    <w:p w14:paraId="001000C2" w14:textId="001000C3">
      <w:pPr>
        <w:pStyle w:val="Heading2"/>
        <w:spacing w:before="200" w:after="120"/>
      </w:pPr>
      <w:r>
        <w:rPr>
          <w:b/>
          <w:sz w:val="26"/>
        </w:rPr>
        <w:t xml:space="preserve">5.2 Preprocessing Pipeline</w:t>
      </w:r>
    </w:p>
    <w:p w14:paraId="001000C4" w14:textId="001000C5">
      <w:pPr>
        <w:pStyle w:val="Normal"/>
        <w:spacing w:after="160"/>
      </w:pPr>
      <w:r>
        <w:rPr>
          <w:sz w:val="22"/>
        </w:rPr>
        <w:t xml:space="preserve">All 7 features were scaled using StandardScaler (zero mean, unit variance) before training. The dataset was split 80/20 into training (800 samples) and test (200 samples) sets using a fixed random seed (42) for reproducibility.</w:t>
      </w:r>
    </w:p>
    <w:p w14:paraId="001000C6" w14:textId="001000C7">
      <w:pPr>
        <w:pStyle w:val="Heading2"/>
        <w:spacing w:before="200" w:after="120"/>
      </w:pPr>
      <w:r>
        <w:rPr>
          <w:b/>
          <w:sz w:val="26"/>
        </w:rPr>
        <w:t xml:space="preserve">5.3 Hyperparameters</w:t>
      </w:r>
    </w:p>
    <w:tbl>
      <w:tblPr>
        <w:tblW w:w="3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0C8" w14:textId="001000C9">
            <w:r>
              <w:t xml:space="preserve">Hyperparameter</w:t>
            </w:r>
          </w:p>
        </w:tc>
        <w:tc>
          <w:p w14:paraId="001000CA" w14:textId="001000CB">
            <w:r>
              <w:t xml:space="preserve">Value</w:t>
            </w:r>
          </w:p>
        </w:tc>
      </w:tr>
      <w:tr>
        <w:trPr/>
        <w:tc>
          <w:p w14:paraId="001000CC" w14:textId="001000CD">
            <w:r>
              <w:t xml:space="preserve">n_estimators</w:t>
            </w:r>
          </w:p>
        </w:tc>
        <w:tc>
          <w:p w14:paraId="001000CE" w14:textId="001000CF">
            <w:r>
              <w:t xml:space="preserve">300</w:t>
            </w:r>
          </w:p>
        </w:tc>
      </w:tr>
      <w:tr>
        <w:trPr/>
        <w:tc>
          <w:p w14:paraId="001000D0" w14:textId="001000D1">
            <w:r>
              <w:t xml:space="preserve">learning_rate</w:t>
            </w:r>
          </w:p>
        </w:tc>
        <w:tc>
          <w:p w14:paraId="001000D2" w14:textId="001000D3">
            <w:r>
              <w:t xml:space="preserve">0.05</w:t>
            </w:r>
          </w:p>
        </w:tc>
      </w:tr>
      <w:tr>
        <w:trPr/>
        <w:tc>
          <w:p w14:paraId="001000D4" w14:textId="001000D5">
            <w:r>
              <w:t xml:space="preserve">max_depth</w:t>
            </w:r>
          </w:p>
        </w:tc>
        <w:tc>
          <w:p w14:paraId="001000D6" w14:textId="001000D7">
            <w:r>
              <w:t xml:space="preserve">5</w:t>
            </w:r>
          </w:p>
        </w:tc>
      </w:tr>
      <w:tr>
        <w:trPr/>
        <w:tc>
          <w:p w14:paraId="001000D8" w14:textId="001000D9">
            <w:r>
              <w:t xml:space="preserve">subsample</w:t>
            </w:r>
          </w:p>
        </w:tc>
        <w:tc>
          <w:p w14:paraId="001000DA" w14:textId="001000DB">
            <w:r>
              <w:t xml:space="preserve">0.8</w:t>
            </w:r>
          </w:p>
        </w:tc>
      </w:tr>
      <w:tr>
        <w:trPr/>
        <w:tc>
          <w:p w14:paraId="001000DC" w14:textId="001000DD">
            <w:r>
              <w:t xml:space="preserve">random_state</w:t>
            </w:r>
          </w:p>
        </w:tc>
        <w:tc>
          <w:p w14:paraId="001000DE" w14:textId="001000DF">
            <w:r>
              <w:t xml:space="preserve">42</w:t>
            </w:r>
          </w:p>
        </w:tc>
      </w:tr>
      <w:tr>
        <w:trPr/>
        <w:tc>
          <w:p w14:paraId="001000E0" w14:textId="001000E1">
            <w:r>
              <w:t xml:space="preserve">Feature Scaling</w:t>
            </w:r>
          </w:p>
        </w:tc>
        <w:tc>
          <w:p w14:paraId="001000E2" w14:textId="001000E3">
            <w:r>
              <w:t xml:space="preserve">StandardScaler</w:t>
            </w:r>
          </w:p>
        </w:tc>
      </w:tr>
      <w:tr>
        <w:trPr/>
        <w:tc>
          <w:p w14:paraId="001000E4" w14:textId="001000E5">
            <w:r>
              <w:t xml:space="preserve">Train / Test Split</w:t>
            </w:r>
          </w:p>
        </w:tc>
        <w:tc>
          <w:p w14:paraId="001000E6" w14:textId="001000E7">
            <w:r>
              <w:t xml:space="preserve">80% / 20%</w:t>
            </w:r>
          </w:p>
        </w:tc>
      </w:tr>
    </w:tbl>
    <w:p w14:paraId="001000E8" w14:textId="001000E9">
      <w:pPr>
        <w:pStyle w:val="Heading2"/>
        <w:spacing w:before="240" w:after="120"/>
      </w:pPr>
      <w:r>
        <w:rPr>
          <w:b/>
          <w:sz w:val="26"/>
        </w:rPr>
        <w:t xml:space="preserve">5.4 Feature Importance</w:t>
      </w:r>
    </w:p>
    <w:p w14:paraId="001000EA" w14:textId="001000EB">
      <w:pPr>
        <w:pStyle w:val="Normal"/>
        <w:spacing w:after="160"/>
      </w:pPr>
      <w:r>
        <w:rPr>
          <w:sz w:val="22"/>
        </w:rPr>
        <w:t xml:space="preserve">The model assigned the highest importance to Square_Footage and Neighborhood_Quality, confirming the EDA findings. Year_Built and Lot_Size contribute moderately, while Garage_Size has the least predictive power.</w:t>
      </w:r>
    </w:p>
    <w:p w14:paraId="001000EC" w14:textId="001000ED">
      <w:pPr>
        <w:spacing w:line="240" w:lineRule="auto"/>
      </w:pPr>
      <w:r>
        <w:drawing>
          <wp:inline distT="0" distB="0" distL="0" distR="0">
            <wp:extent cx="4680000" cy="2674285"/>
            <wp:effectExtent l="0" t="0" r="0" b="0"/>
            <wp:docPr id="6" name="feature_importance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feature_importance.png"/>
                    <pic:cNvPicPr/>
                  </pic:nvPicPr>
                  <pic:blipFill>
                    <a:blip r:embed="Rb6f34fb9c81e49f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7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EE" w14:textId="001000EF">
      <w:pPr>
        <w:pStyle w:val="Normal"/>
        <w:spacing w:after="240"/>
        <w:jc w:val="center"/>
      </w:pPr>
      <w:r>
        <w:rPr>
          <w:color w:val="57606A"/>
          <w:sz w:val="18"/>
        </w:rPr>
        <w:t xml:space="preserve">Figure 6: Feature Importance (Gradient Boosting)</w:t>
      </w:r>
    </w:p>
    <w:p w14:paraId="001000F0" w14:textId="001000F1">
      <w:pPr>
        <w:pStyle w:val="Heading1"/>
        <w:spacing w:before="280" w:after="160"/>
      </w:pPr>
      <w:r>
        <w:rPr>
          <w:b/>
          <w:sz w:val="32"/>
        </w:rPr>
        <w:t xml:space="preserve">6. Model Evaluation Results</w:t>
      </w:r>
    </w:p>
    <w:p w14:paraId="001000F2" w14:textId="001000F3">
      <w:pPr>
        <w:pStyle w:val="Normal"/>
        <w:spacing w:after="200"/>
      </w:pPr>
      <w:r>
        <w:rPr>
          <w:sz w:val="22"/>
        </w:rPr>
        <w:t xml:space="preserve">The trained model was evaluated on the held-out 20% test set (200 samples). The results demonstrate excellent predictive accuracy.</w:t>
      </w:r>
    </w:p>
    <w:p w14:paraId="001000F4" w14:textId="001000F5">
      <w:pPr>
        <w:pStyle w:val="Heading2"/>
        <w:spacing w:before="200" w:after="120"/>
      </w:pPr>
      <w:r>
        <w:rPr>
          <w:b/>
          <w:sz w:val="26"/>
        </w:rPr>
        <w:t xml:space="preserve">6.1 Test-Set Metrics</w:t>
      </w:r>
    </w:p>
    <w:tbl>
      <w:tblPr>
        <w:tblW w:w="4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F6" w14:textId="001000F7">
            <w:r>
              <w:t xml:space="preserve">Metric</w:t>
            </w:r>
          </w:p>
        </w:tc>
        <w:tc>
          <w:p w14:paraId="001000F8" w14:textId="001000F9">
            <w:r>
              <w:t xml:space="preserve">Value</w:t>
            </w:r>
          </w:p>
        </w:tc>
        <w:tc>
          <w:p w14:paraId="001000FA" w14:textId="001000FB">
            <w:r>
              <w:t xml:space="preserve">Interpretation</w:t>
            </w:r>
          </w:p>
        </w:tc>
      </w:tr>
      <w:tr>
        <w:trPr/>
        <w:tc>
          <w:p w14:paraId="001000FC" w14:textId="001000FD">
            <w:r>
              <w:t xml:space="preserve">Mean Absolute Error (MAE)</w:t>
            </w:r>
          </w:p>
        </w:tc>
        <w:tc>
          <w:p w14:paraId="001000FE" w14:textId="001000FF">
            <w:r>
              <w:t xml:space="preserve">$10,862.99</w:t>
            </w:r>
          </w:p>
        </w:tc>
        <w:tc>
          <w:p w14:paraId="00100100" w14:textId="00100101">
            <w:r>
              <w:t xml:space="preserve">Average prediction is off by ~$10.9K</w:t>
            </w:r>
          </w:p>
        </w:tc>
      </w:tr>
      <w:tr>
        <w:trPr/>
        <w:tc>
          <w:p w14:paraId="00100102" w14:textId="00100103">
            <w:r>
              <w:t xml:space="preserve">Root Mean Squared Error (RMSE)</w:t>
            </w:r>
          </w:p>
        </w:tc>
        <w:tc>
          <w:p w14:paraId="00100104" w14:textId="00100105">
            <w:r>
              <w:t xml:space="preserve">$13,465.10</w:t>
            </w:r>
          </w:p>
        </w:tc>
        <w:tc>
          <w:p w14:paraId="00100106" w14:textId="00100107">
            <w:r>
              <w:t xml:space="preserve">Penalises large errors more than MAE</w:t>
            </w:r>
          </w:p>
        </w:tc>
      </w:tr>
      <w:tr>
        <w:trPr/>
        <w:tc>
          <w:p w14:paraId="00100108" w14:textId="00100109">
            <w:r>
              <w:t xml:space="preserve">R-Squared (R2)</w:t>
            </w:r>
          </w:p>
        </w:tc>
        <w:tc>
          <w:p w14:paraId="0010010A" w14:textId="0010010B">
            <w:r>
              <w:t xml:space="preserve">0.9972</w:t>
            </w:r>
          </w:p>
        </w:tc>
        <w:tc>
          <w:p w14:paraId="0010010C" w14:textId="0010010D">
            <w:r>
              <w:t xml:space="preserve">Model explains 99.72% of price variance</w:t>
            </w:r>
          </w:p>
        </w:tc>
      </w:tr>
    </w:tbl>
    <w:p w14:paraId="0010010E" w14:textId="0010010F">
      <w:pPr>
        <w:pStyle w:val="Normal"/>
        <w:spacing w:before="160" w:after="200"/>
      </w:pPr>
      <w:r>
        <w:rPr>
          <w:sz w:val="22"/>
        </w:rPr>
        <w:t xml:space="preserve">An R2 score of 0.9972 is outstanding for a regression task on structured data. The low MAE relative to the average house price of $618,861 (error ratio of ~1.76%) confirms the model is highly production-ready.</w:t>
      </w:r>
    </w:p>
    <w:p w14:paraId="00100110" w14:textId="00100111">
      <w:pPr>
        <w:pStyle w:val="Heading2"/>
        <w:spacing w:before="200" w:after="120"/>
      </w:pPr>
      <w:r>
        <w:rPr>
          <w:b/>
          <w:sz w:val="26"/>
        </w:rPr>
        <w:t xml:space="preserve">6.2 Actual vs Predicted Prices</w:t>
      </w:r>
    </w:p>
    <w:p w14:paraId="00100112" w14:textId="00100113">
      <w:pPr>
        <w:pStyle w:val="Normal"/>
        <w:spacing w:after="160"/>
      </w:pPr>
      <w:r>
        <w:rPr>
          <w:sz w:val="22"/>
        </w:rPr>
        <w:t xml:space="preserve">The scatter plot below compares actual test prices against model predictions. Points clustering tightly along the diagonal perfect-fit line confirm the model generalises well across the full price range.</w:t>
      </w:r>
    </w:p>
    <w:p w14:paraId="00100114" w14:textId="00100115">
      <w:pPr>
        <w:spacing w:line="240" w:lineRule="auto"/>
      </w:pPr>
      <w:r>
        <w:drawing>
          <wp:inline distT="0" distB="0" distL="0" distR="0">
            <wp:extent cx="3960000" cy="3960000"/>
            <wp:effectExtent l="0" t="0" r="0" b="0"/>
            <wp:docPr id="7" name="actual_vs_predicted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actual_vs_predicted.png"/>
                    <pic:cNvPicPr/>
                  </pic:nvPicPr>
                  <pic:blipFill>
                    <a:blip r:embed="Rd29974185c714d6b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16" w14:textId="00100117">
      <w:pPr>
        <w:pStyle w:val="Normal"/>
        <w:spacing w:after="280"/>
        <w:jc w:val="center"/>
      </w:pPr>
      <w:r>
        <w:rPr>
          <w:color w:val="57606A"/>
          <w:sz w:val="18"/>
        </w:rPr>
        <w:t xml:space="preserve">Figure 7: Actual vs Predicted House Prices (Test Set, n=200)</w:t>
      </w:r>
    </w:p>
    <w:p w14:paraId="00100118" w14:textId="00100119">
      <w:pPr>
        <w:pStyle w:val="Heading1"/>
        <w:spacing w:before="280" w:after="160"/>
      </w:pPr>
      <w:r>
        <w:rPr>
          <w:b/>
          <w:sz w:val="32"/>
        </w:rPr>
        <w:t xml:space="preserve">7. Application UI Walkthrough</w:t>
      </w:r>
    </w:p>
    <w:p w14:paraId="0010011A" w14:textId="0010011B">
      <w:pPr>
        <w:pStyle w:val="Normal"/>
        <w:spacing w:after="200"/>
      </w:pPr>
      <w:r>
        <w:rPr>
          <w:sz w:val="22"/>
        </w:rPr>
        <w:t xml:space="preserve">The Streamlit frontend is organised into three tabs accessible from the top navigation bar.</w:t>
      </w:r>
    </w:p>
    <w:p w14:paraId="0010011C" w14:textId="0010011D">
      <w:pPr>
        <w:pStyle w:val="Heading2"/>
        <w:spacing w:before="200" w:after="120"/>
      </w:pPr>
      <w:r>
        <w:rPr>
          <w:b/>
          <w:sz w:val="26"/>
        </w:rPr>
        <w:t xml:space="preserve">7.1 Predict Tab</w:t>
      </w:r>
    </w:p>
    <w:p w14:paraId="0010011E" w14:textId="0010011F">
      <w:pPr>
        <w:pStyle w:val="Normal"/>
        <w:spacing w:after="160"/>
      </w:pPr>
      <w:r>
        <w:rPr>
          <w:sz w:val="22"/>
        </w:rPr>
        <w:t xml:space="preserve">Users adjust sliders and dropdown selectors to specify house attributes. On clicking Predict Price, the inputs are sent via HTTP POST to the Flask API (/predict). The estimated price is displayed in a highlighted result card. If the API is offline, the app automatically falls back to loading the model artifacts locally.</w:t>
      </w:r>
    </w:p>
    <w:p w14:paraId="00100120" w14:textId="00100121">
      <w:pPr>
        <w:spacing w:line="240" w:lineRule="auto"/>
      </w:pPr>
      <w:r>
        <w:drawing>
          <wp:inline distT="0" distB="0" distL="0" distR="0">
            <wp:extent cx="5040000" cy="2491685"/>
            <wp:effectExtent l="0" t="0" r="0" b="0"/>
            <wp:docPr id="8" name="ui_predict_tab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ui_predict_tab.png"/>
                    <pic:cNvPicPr/>
                  </pic:nvPicPr>
                  <pic:blipFill>
                    <a:blip r:embed="R0a3d9ca4f2ff468e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22" w14:textId="00100123">
      <w:pPr>
        <w:pStyle w:val="Normal"/>
        <w:spacing w:after="240"/>
        <w:jc w:val="center"/>
      </w:pPr>
      <w:r>
        <w:rPr>
          <w:color w:val="57606A"/>
          <w:sz w:val="18"/>
        </w:rPr>
        <w:t xml:space="preserve">Figure 8: Predict Tab — Sample Input (2,500 sq ft, 3 bed, 2 bath, 2010, Quality 7) → Estimated Price $574,274</w:t>
      </w:r>
    </w:p>
    <w:p w14:paraId="00100124" w14:textId="00100125">
      <w:pPr>
        <w:pStyle w:val="Heading2"/>
        <w:spacing w:before="200" w:after="120"/>
      </w:pPr>
      <w:r>
        <w:rPr>
          <w:b/>
          <w:sz w:val="26"/>
        </w:rPr>
        <w:t xml:space="preserve">7.2 Data Analysis Tab</w:t>
      </w:r>
    </w:p>
    <w:p w14:paraId="00100126" w14:textId="00100127">
      <w:pPr>
        <w:pStyle w:val="Normal"/>
        <w:spacing w:after="120"/>
      </w:pPr>
      <w:r>
        <w:rPr>
          <w:sz w:val="22"/>
        </w:rPr>
        <w:t xml:space="preserve">This tab presents five interactive Plotly charts rendered directly in the browser:</w:t>
      </w:r>
    </w:p>
    <w:p w14:paraId="00100128" w14:textId="00100129">
      <w:pPr>
        <w:pStyle w:val="Normal"/>
        <w:numPr>
          <w:ilvl w:val="0"/>
          <w:numId w:val="2"/>
        </w:numPr>
        <w:spacing w:after="60"/>
      </w:pPr>
      <w:r>
        <w:rPr>
          <w:sz w:val="22"/>
        </w:rPr>
        <w:t xml:space="preserve">House Price Distribution histogram</w:t>
      </w:r>
    </w:p>
    <w:p w14:paraId="0010012A" w14:textId="0010012B">
      <w:pPr>
        <w:pStyle w:val="Normal"/>
        <w:numPr>
          <w:ilvl w:val="0"/>
          <w:numId w:val="2"/>
        </w:numPr>
        <w:spacing w:after="60"/>
      </w:pPr>
      <w:r>
        <w:rPr>
          <w:sz w:val="22"/>
        </w:rPr>
        <w:t xml:space="preserve">Price vs Square Footage scatter (coloured by Neighbourhood Quality)</w:t>
      </w:r>
    </w:p>
    <w:p w14:paraId="0010012C" w14:textId="0010012D">
      <w:pPr>
        <w:pStyle w:val="Normal"/>
        <w:numPr>
          <w:ilvl w:val="0"/>
          <w:numId w:val="2"/>
        </w:numPr>
        <w:spacing w:after="60"/>
      </w:pPr>
      <w:r>
        <w:rPr>
          <w:sz w:val="22"/>
        </w:rPr>
        <w:t xml:space="preserve">Average Price by Number of Bedrooms bar chart</w:t>
      </w:r>
    </w:p>
    <w:p w14:paraId="0010012E" w14:textId="0010012F">
      <w:pPr>
        <w:pStyle w:val="Normal"/>
        <w:numPr>
          <w:ilvl w:val="0"/>
          <w:numId w:val="2"/>
        </w:numPr>
        <w:spacing w:after="60"/>
      </w:pPr>
      <w:r>
        <w:rPr>
          <w:sz w:val="22"/>
        </w:rPr>
        <w:t xml:space="preserve">Feature Correlation Heatmap</w:t>
      </w:r>
    </w:p>
    <w:p w14:paraId="00100130" w14:textId="00100131">
      <w:pPr>
        <w:pStyle w:val="Normal"/>
        <w:numPr>
          <w:ilvl w:val="0"/>
          <w:numId w:val="2"/>
        </w:numPr>
        <w:spacing w:after="160"/>
      </w:pPr>
      <w:r>
        <w:rPr>
          <w:sz w:val="22"/>
        </w:rPr>
        <w:t xml:space="preserve">Price Distribution by Neighbourhood Quality box plot</w:t>
      </w:r>
    </w:p>
    <w:p w14:paraId="00100132" w14:textId="00100133">
      <w:pPr>
        <w:pStyle w:val="Normal"/>
        <w:spacing w:after="200"/>
      </w:pPr>
      <w:r>
        <w:rPr>
          <w:sz w:val="22"/>
        </w:rPr>
        <w:t xml:space="preserve">The raw dataset (first 10 rows) and descriptive statistics table are also shown below the charts.</w:t>
      </w:r>
    </w:p>
    <w:p w14:paraId="00100134" w14:textId="00100135">
      <w:pPr>
        <w:pStyle w:val="Heading2"/>
        <w:spacing w:before="200" w:after="120"/>
      </w:pPr>
      <w:r>
        <w:rPr>
          <w:b/>
          <w:sz w:val="26"/>
        </w:rPr>
        <w:t xml:space="preserve">7.3 Model Performance Tab</w:t>
      </w:r>
    </w:p>
    <w:p w14:paraId="00100136" w14:textId="00100137">
      <w:pPr>
        <w:pStyle w:val="Normal"/>
        <w:spacing w:after="240"/>
      </w:pPr>
      <w:r>
        <w:rPr>
          <w:sz w:val="22"/>
        </w:rPr>
        <w:t xml:space="preserve">The third tab displays: MAE, RMSE, and R2 metric cards; an interactive horizontal bar chart of feature importances; and the static training plots (feature importance and actual vs predicted) generated by train_model.py. A model detail table summarises all hyperparameters.</w:t>
      </w:r>
    </w:p>
    <w:p w14:paraId="00100138" w14:textId="00100139">
      <w:pPr>
        <w:pStyle w:val="Heading1"/>
        <w:spacing w:before="280" w:after="160"/>
      </w:pPr>
      <w:r>
        <w:rPr>
          <w:b/>
          <w:sz w:val="32"/>
        </w:rPr>
        <w:t xml:space="preserve">8. API Endpoints</w:t>
      </w:r>
    </w:p>
    <w:p w14:paraId="0010013A" w14:textId="0010013B">
      <w:pPr>
        <w:pStyle w:val="Normal"/>
        <w:spacing w:after="200"/>
      </w:pPr>
      <w:r>
        <w:rPr>
          <w:sz w:val="22"/>
        </w:rPr>
        <w:t xml:space="preserve">The Flask backend exposes four HTTP endpoints. The API runs on port 5000 by default.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p w14:paraId="0010013C" w14:textId="0010013D">
            <w:r>
              <w:t xml:space="preserve">Method</w:t>
            </w:r>
          </w:p>
        </w:tc>
        <w:tc>
          <w:p w14:paraId="0010013E" w14:textId="0010013F">
            <w:r>
              <w:t xml:space="preserve">Endpoint</w:t>
            </w:r>
          </w:p>
        </w:tc>
        <w:tc>
          <w:p w14:paraId="00100140" w14:textId="00100141">
            <w:r>
              <w:t xml:space="preserve">Request Body</w:t>
            </w:r>
          </w:p>
        </w:tc>
        <w:tc>
          <w:p w14:paraId="00100142" w14:textId="00100143">
            <w:r>
              <w:t xml:space="preserve">Description</w:t>
            </w:r>
          </w:p>
        </w:tc>
      </w:tr>
      <w:tr>
        <w:trPr/>
        <w:tc>
          <w:p w14:paraId="00100144" w14:textId="00100145">
            <w:r>
              <w:t xml:space="preserve">GET</w:t>
            </w:r>
          </w:p>
        </w:tc>
        <w:tc>
          <w:p w14:paraId="00100146" w14:textId="00100147">
            <w:r>
              <w:t xml:space="preserve">/health</w:t>
            </w:r>
          </w:p>
        </w:tc>
        <w:tc>
          <w:p w14:paraId="00100148" w14:textId="00100149">
            <w:r>
              <w:t xml:space="preserve">None</w:t>
            </w:r>
          </w:p>
        </w:tc>
        <w:tc>
          <w:p w14:paraId="0010014A" w14:textId="0010014B">
            <w:r>
              <w:t xml:space="preserve">Returns service status and model name</w:t>
            </w:r>
          </w:p>
        </w:tc>
      </w:tr>
      <w:tr>
        <w:trPr/>
        <w:tc>
          <w:p w14:paraId="0010014C" w14:textId="0010014D">
            <w:r>
              <w:t xml:space="preserve">POST</w:t>
            </w:r>
          </w:p>
        </w:tc>
        <w:tc>
          <w:p w14:paraId="0010014E" w14:textId="0010014F">
            <w:r>
              <w:t xml:space="preserve">/predict</w:t>
            </w:r>
          </w:p>
        </w:tc>
        <w:tc>
          <w:p w14:paraId="00100150" w14:textId="00100151">
            <w:r>
              <w:t xml:space="preserve">JSON with 7 feature fields</w:t>
            </w:r>
          </w:p>
        </w:tc>
        <w:tc>
          <w:p w14:paraId="00100152" w14:textId="00100153">
            <w:r>
              <w:t xml:space="preserve">Returns predicted_price in USD</w:t>
            </w:r>
          </w:p>
        </w:tc>
      </w:tr>
      <w:tr>
        <w:trPr/>
        <w:tc>
          <w:p w14:paraId="00100154" w14:textId="00100155">
            <w:r>
              <w:t xml:space="preserve">GET</w:t>
            </w:r>
          </w:p>
        </w:tc>
        <w:tc>
          <w:p w14:paraId="00100156" w14:textId="00100157">
            <w:r>
              <w:t xml:space="preserve">/metrics</w:t>
            </w:r>
          </w:p>
        </w:tc>
        <w:tc>
          <w:p w14:paraId="00100158" w14:textId="00100159">
            <w:r>
              <w:t xml:space="preserve">None</w:t>
            </w:r>
          </w:p>
        </w:tc>
        <w:tc>
          <w:p w14:paraId="0010015A" w14:textId="0010015B">
            <w:r>
              <w:t xml:space="preserve">Returns MAE, RMSE, R2 from test evaluation</w:t>
            </w:r>
          </w:p>
        </w:tc>
      </w:tr>
      <w:tr>
        <w:trPr/>
        <w:tc>
          <w:p w14:paraId="0010015C" w14:textId="0010015D">
            <w:r>
              <w:t xml:space="preserve">GET</w:t>
            </w:r>
          </w:p>
        </w:tc>
        <w:tc>
          <w:p w14:paraId="0010015E" w14:textId="0010015F">
            <w:r>
              <w:t xml:space="preserve">/feature_importance</w:t>
            </w:r>
          </w:p>
        </w:tc>
        <w:tc>
          <w:p w14:paraId="00100160" w14:textId="00100161">
            <w:r>
              <w:t xml:space="preserve">None</w:t>
            </w:r>
          </w:p>
        </w:tc>
        <w:tc>
          <w:p w14:paraId="00100162" w14:textId="00100163">
            <w:r>
              <w:t xml:space="preserve">Returns importance score per feature</w:t>
            </w:r>
          </w:p>
        </w:tc>
      </w:tr>
    </w:tbl>
    <w:p w14:paraId="00100164" w14:textId="00100165">
      <w:pPr>
        <w:pStyle w:val="Normal"/>
        <w:spacing w:before="200" w:after="80"/>
      </w:pPr>
      <w:r>
        <w:rPr>
          <w:b/>
          <w:sz w:val="22"/>
        </w:rPr>
        <w:t xml:space="preserve">Sample /predict JSON Request:</w:t>
      </w:r>
    </w:p>
    <w:p w14:paraId="00100166" w14:textId="00100167">
      <w:pPr>
        <w:pStyle w:val="Normal"/>
        <w:spacing w:after="80"/>
      </w:pPr>
      <w:r>
        <w:rPr>
          <w:color w:val="3B82D4"/>
          <w:sz w:val="20"/>
        </w:rPr>
        <w:t xml:space="preserve">{ "Square_Footage": 2500, "Num_Bedrooms": 3, "Num_Bathrooms": 2, "Year_Built": 2010, "Lot_Size": 3.0, "Garage_Size": 1, "Neighborhood_Quality": 7 }</w:t>
      </w:r>
    </w:p>
    <w:p w14:paraId="00100168" w14:textId="00100169">
      <w:pPr>
        <w:pStyle w:val="Normal"/>
        <w:spacing w:after="280"/>
      </w:pPr>
      <w:r>
        <w:rPr>
          <w:color w:val="3B82D4"/>
          <w:sz w:val="20"/>
        </w:rPr>
        <w:t xml:space="preserve">Sample Response: { "predicted_price": 574274.00, "inputs": { ... } }</w:t>
      </w:r>
    </w:p>
    <w:p w14:paraId="0010016A" w14:textId="0010016B">
      <w:pPr>
        <w:pStyle w:val="Heading1"/>
        <w:spacing w:before="280" w:after="160"/>
      </w:pPr>
      <w:r>
        <w:rPr>
          <w:b/>
          <w:sz w:val="32"/>
        </w:rPr>
        <w:t xml:space="preserve">9. How to Run the Project</w:t>
      </w:r>
    </w:p>
    <w:p w14:paraId="0010016C" w14:textId="0010016D">
      <w:pPr>
        <w:pStyle w:val="Normal"/>
        <w:spacing w:after="160"/>
      </w:pPr>
      <w:r>
        <w:rPr>
          <w:sz w:val="22"/>
        </w:rPr>
        <w:t xml:space="preserve">Prerequisites: Python 3.9+ installed, all packages from requirements.txt installed via pip install -r requirements.txt.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16E" w14:textId="0010016F">
            <w:r>
              <w:t xml:space="preserve">Step</w:t>
            </w:r>
          </w:p>
        </w:tc>
        <w:tc>
          <w:p w14:paraId="00100170" w14:textId="00100171">
            <w:r>
              <w:t xml:space="preserve">Command</w:t>
            </w:r>
          </w:p>
        </w:tc>
        <w:tc>
          <w:p w14:paraId="00100172" w14:textId="00100173">
            <w:r>
              <w:t xml:space="preserve">What It Does</w:t>
            </w:r>
          </w:p>
        </w:tc>
      </w:tr>
      <w:tr>
        <w:trPr/>
        <w:tc>
          <w:p w14:paraId="00100174" w14:textId="00100175">
            <w:r>
              <w:t xml:space="preserve">1. Install dependencies</w:t>
            </w:r>
          </w:p>
        </w:tc>
        <w:tc>
          <w:p w14:paraId="00100176" w14:textId="00100177">
            <w:r>
              <w:t xml:space="preserve">pip install -r requirements.txt</w:t>
            </w:r>
          </w:p>
        </w:tc>
        <w:tc>
          <w:p w14:paraId="00100178" w14:textId="00100179">
            <w:r>
              <w:t xml:space="preserve">Installs Flask, Streamlit, scikit-learn, Plotly, etc.</w:t>
            </w:r>
          </w:p>
        </w:tc>
      </w:tr>
      <w:tr>
        <w:trPr/>
        <w:tc>
          <w:p w14:paraId="0010017A" w14:textId="0010017B">
            <w:r>
              <w:t xml:space="preserve">2. Train the model</w:t>
            </w:r>
          </w:p>
        </w:tc>
        <w:tc>
          <w:p w14:paraId="0010017C" w14:textId="0010017D">
            <w:r>
              <w:t xml:space="preserve">python train_model.py</w:t>
            </w:r>
          </w:p>
        </w:tc>
        <w:tc>
          <w:p w14:paraId="0010017E" w14:textId="0010017F">
            <w:r>
              <w:t xml:space="preserve">Trains GBR, saves model/scaler/metrics/plots to models/</w:t>
            </w:r>
          </w:p>
        </w:tc>
      </w:tr>
      <w:tr>
        <w:trPr/>
        <w:tc>
          <w:p w14:paraId="00100180" w14:textId="00100181">
            <w:r>
              <w:t xml:space="preserve">3. Start Flask API (Terminal 1)</w:t>
            </w:r>
          </w:p>
        </w:tc>
        <w:tc>
          <w:p w14:paraId="00100182" w14:textId="00100183">
            <w:r>
              <w:t xml:space="preserve">python app.py</w:t>
            </w:r>
          </w:p>
        </w:tc>
        <w:tc>
          <w:p w14:paraId="00100184" w14:textId="00100185">
            <w:r>
              <w:t xml:space="preserve">Starts REST API on http://localhost:5000</w:t>
            </w:r>
          </w:p>
        </w:tc>
      </w:tr>
    </w:tbl>
    <w:p w14:paraId="00100186" w14:textId="00100187">
      <w:pPr>
        <w:pStyle w:val="Normal"/>
        <w:spacing w:before="160" w:after="80"/>
      </w:pPr>
      <w:r>
        <w:rPr>
          <w:sz w:val="22"/>
        </w:rPr>
        <w:t xml:space="preserve">In a second terminal, run the Streamlit frontend:</w:t>
      </w:r>
    </w:p>
    <w:p w14:paraId="00100188" w14:textId="00100189">
      <w:pPr>
        <w:pStyle w:val="Normal"/>
        <w:spacing w:after="80"/>
      </w:pPr>
      <w:r>
        <w:rPr>
          <w:b/>
          <w:color w:val="3B82D4"/>
          <w:sz w:val="22"/>
        </w:rPr>
        <w:t xml:space="preserve">streamlit run streamlit_app.py</w:t>
      </w:r>
    </w:p>
    <w:p w14:paraId="0010018A" w14:textId="0010018B">
      <w:pPr>
        <w:pStyle w:val="Normal"/>
        <w:spacing w:after="280"/>
      </w:pPr>
      <w:r>
        <w:rPr>
          <w:sz w:val="22"/>
        </w:rPr>
        <w:t xml:space="preserve">The browser will open automatically at http://localhost:8501. The app also operates in offline mode (without the Flask API) using locally loaded model artifacts.</w:t>
      </w:r>
    </w:p>
    <w:p w14:paraId="0010018C" w14:textId="0010018D">
      <w:pPr>
        <w:pStyle w:val="Heading1"/>
        <w:spacing w:before="280" w:after="160"/>
      </w:pPr>
      <w:r>
        <w:rPr>
          <w:b/>
          <w:sz w:val="32"/>
        </w:rPr>
        <w:t xml:space="preserve">10. Conclusion</w:t>
      </w:r>
    </w:p>
    <w:p w14:paraId="0010018E" w14:textId="0010018F">
      <w:pPr>
        <w:pStyle w:val="Normal"/>
        <w:spacing w:after="160"/>
      </w:pPr>
      <w:r>
        <w:rPr>
          <w:sz w:val="22"/>
        </w:rPr>
        <w:t xml:space="preserve">This project successfully demonstrates end-to-end machine learning deployment for a house price regression problem. Key outcomes achieved:</w:t>
      </w:r>
    </w:p>
    <w:p w14:paraId="00100190" w14:textId="00100191">
      <w:pPr>
        <w:pStyle w:val="Normal"/>
        <w:numPr>
          <w:ilvl w:val="0"/>
          <w:numId w:val="3"/>
        </w:numPr>
        <w:spacing w:after="80"/>
      </w:pPr>
      <w:r>
        <w:rPr>
          <w:sz w:val="22"/>
        </w:rPr>
        <w:t xml:space="preserve">A Gradient Boosting model achieving R2 = 0.9972, MAE = $10,863 — explaining 99.72% of house price variance on unseen data.</w:t>
      </w:r>
    </w:p>
    <w:p w14:paraId="00100192" w14:textId="00100193">
      <w:pPr>
        <w:pStyle w:val="Normal"/>
        <w:numPr>
          <w:ilvl w:val="0"/>
          <w:numId w:val="3"/>
        </w:numPr>
        <w:spacing w:after="80"/>
      </w:pPr>
      <w:r>
        <w:rPr>
          <w:sz w:val="22"/>
        </w:rPr>
        <w:t xml:space="preserve">A REST API backend that serves real-time predictions at sub-millisecond latency once the model is loaded.</w:t>
      </w:r>
    </w:p>
    <w:p w14:paraId="00100194" w14:textId="00100195">
      <w:pPr>
        <w:pStyle w:val="Normal"/>
        <w:numPr>
          <w:ilvl w:val="0"/>
          <w:numId w:val="3"/>
        </w:numPr>
        <w:spacing w:after="80"/>
      </w:pPr>
      <w:r>
        <w:rPr>
          <w:sz w:val="22"/>
        </w:rPr>
        <w:t xml:space="preserve">An interactive Streamlit web UI providing prediction, EDA, and model diagnostics in one application — accessible to non-technical stakeholders.</w:t>
      </w:r>
    </w:p>
    <w:p w14:paraId="00100196" w14:textId="00100197">
      <w:pPr>
        <w:pStyle w:val="Normal"/>
        <w:numPr>
          <w:ilvl w:val="0"/>
          <w:numId w:val="3"/>
        </w:numPr>
        <w:spacing w:after="200"/>
      </w:pPr>
      <w:r>
        <w:rPr>
          <w:sz w:val="22"/>
        </w:rPr>
        <w:t xml:space="preserve">Offline resilience — the frontend can predict without the API server by loading model artifacts directly.</w:t>
      </w:r>
    </w:p>
    <w:p w14:paraId="00100198" w14:textId="00100199">
      <w:pPr>
        <w:pStyle w:val="Heading2"/>
        <w:spacing w:before="200" w:after="120"/>
      </w:pPr>
      <w:r>
        <w:rPr>
          <w:b/>
          <w:sz w:val="26"/>
        </w:rPr>
        <w:t xml:space="preserve">Potential Future Enhancements</w:t>
      </w:r>
    </w:p>
    <w:p w14:paraId="0010019A" w14:textId="0010019B">
      <w:pPr>
        <w:pStyle w:val="Normal"/>
        <w:numPr>
          <w:ilvl w:val="0"/>
          <w:numId w:val="4"/>
        </w:numPr>
        <w:spacing w:after="60"/>
      </w:pPr>
      <w:r>
        <w:rPr>
          <w:sz w:val="22"/>
        </w:rPr>
        <w:t xml:space="preserve">Hyperparameter tuning via GridSearchCV or Optuna for further accuracy gains</w:t>
      </w:r>
    </w:p>
    <w:p w14:paraId="0010019C" w14:textId="0010019D">
      <w:pPr>
        <w:pStyle w:val="Normal"/>
        <w:numPr>
          <w:ilvl w:val="0"/>
          <w:numId w:val="4"/>
        </w:numPr>
        <w:spacing w:after="60"/>
      </w:pPr>
      <w:r>
        <w:rPr>
          <w:sz w:val="22"/>
        </w:rPr>
        <w:t xml:space="preserve">SHAP explanations to provide per-prediction feature contribution breakdowns</w:t>
      </w:r>
    </w:p>
    <w:p w14:paraId="0010019E" w14:textId="0010019F">
      <w:pPr>
        <w:pStyle w:val="Normal"/>
        <w:numPr>
          <w:ilvl w:val="0"/>
          <w:numId w:val="4"/>
        </w:numPr>
        <w:spacing w:after="60"/>
      </w:pPr>
      <w:r>
        <w:rPr>
          <w:sz w:val="22"/>
        </w:rPr>
        <w:t xml:space="preserve">Docker containerisation for one-command deployment</w:t>
      </w:r>
    </w:p>
    <w:p w14:paraId="001001A0" w14:textId="001001A1">
      <w:pPr>
        <w:pStyle w:val="Normal"/>
        <w:numPr>
          <w:ilvl w:val="0"/>
          <w:numId w:val="4"/>
        </w:numPr>
        <w:spacing w:after="400"/>
      </w:pPr>
      <w:r>
        <w:rPr>
          <w:sz w:val="22"/>
        </w:rPr>
        <w:t xml:space="preserve">Support for additional categorical features (e.g., city, house style, school district)</w:t>
      </w:r>
    </w:p>
    <w:p w14:paraId="001001A2" w14:textId="001001A3">
      <w:pPr>
        <w:pStyle w:val="Normal"/>
        <w:spacing w:before="400" w:after="120"/>
        <w:jc w:val="center"/>
      </w:pPr>
      <w:r>
        <w:rPr>
          <w:color w:val="57606A"/>
          <w:sz w:val="20"/>
        </w:rPr>
        <w:t xml:space="preserve">--- End of Report ---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aa72e7214ade4b97" /><Relationship Type="http://schemas.openxmlformats.org/officeDocument/2006/relationships/styles" Target="/word/styles.xml" Id="R1295f0c7b40f4509" /><Relationship Type="http://schemas.openxmlformats.org/officeDocument/2006/relationships/theme" Target="/word/theme/theme1.xml" Id="Re6401d8232004b49" /><Relationship Type="http://schemas.openxmlformats.org/officeDocument/2006/relationships/numbering" Target="/word/numbering.xml" Id="R6327f084b802483b" /><Relationship Type="http://schemas.openxmlformats.org/officeDocument/2006/relationships/image" Target="/media/image.png" Id="R383680e1f8284e2d" /><Relationship Type="http://schemas.openxmlformats.org/officeDocument/2006/relationships/image" Target="/media/image2.png" Id="Rdf1073c17a3944b9" /><Relationship Type="http://schemas.openxmlformats.org/officeDocument/2006/relationships/image" Target="/media/image3.png" Id="R6d017c900c214c36" /><Relationship Type="http://schemas.openxmlformats.org/officeDocument/2006/relationships/image" Target="/media/image4.png" Id="Rcd5c2d2140bc4d23" /><Relationship Type="http://schemas.openxmlformats.org/officeDocument/2006/relationships/image" Target="/media/image5.png" Id="R874b22e693204eb0" /><Relationship Type="http://schemas.openxmlformats.org/officeDocument/2006/relationships/image" Target="/media/image6.png" Id="Rb6f34fb9c81e49f4" /><Relationship Type="http://schemas.openxmlformats.org/officeDocument/2006/relationships/image" Target="/media/image7.png" Id="Rd29974185c714d6b" /><Relationship Type="http://schemas.openxmlformats.org/officeDocument/2006/relationships/image" Target="/media/image8.png" Id="R0a3d9ca4f2ff468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2026-09-23T05:25:29Z</dcterms:created>
  <cp:lastModifiedBy>OfficeCLI</cp:lastModifiedBy>
  <dcterms:modified xsi:type="dcterms:W3CDTF">2026-09-23T05:25:29Z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2026-09-23T05:29:53Z</vt:lpwstr>
  </op:property>
</op:Properties>
</file>