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40"/>
          <w:szCs w:val="40"/>
        </w:rPr>
        <w:t xml:space="preserve">Technical Memo</w:t>
      </w:r>
    </w:p>
    <w:p>
      <w:pPr>
        <w:spacing w:after="40"/>
      </w:pPr>
      <w:r>
        <w:rPr>
          <w:color w:val="555555"/>
          <w:sz w:val="26"/>
          <w:szCs w:val="26"/>
        </w:rPr>
        <w:t xml:space="preserve">Assessment of the “Shadow of Rule 30” project and manuscript</w:t>
      </w:r>
    </w:p>
    <w:p>
      <w:pPr>
        <w:pBdr>
          <w:bottom w:val="single" w:color="1F3A5F" w:sz="8" w:space="4"/>
        </w:pBdr>
        <w:spacing w:after="160"/>
      </w:pPr>
      <w:r>
        <w:rPr>
          <w:color w:val="555555"/>
          <w:sz w:val="20"/>
          <w:szCs w:val="20"/>
        </w:rPr>
        <w:t xml:space="preserve">Prepared for Chetan Patil  •  27 June 2026</w:t>
      </w:r>
    </w:p>
    <w:p>
      <w:pPr>
        <w:pStyle w:val="Heading1"/>
      </w:pPr>
      <w:r>
        <w:t xml:space="preserve">Bottom line</w:t>
      </w:r>
    </w:p>
    <w:p>
      <w:pPr>
        <w:spacing w:after="140"/>
      </w:pPr>
      <w:r>
        <w:rPr>
          <w:b/>
          <w:bCs/>
        </w:rPr>
        <w:t xml:space="preserve">The headline claims do not survive a held-out test. </w:t>
      </w:r>
      <w:r>
        <w:t xml:space="preserve">Across the codebase in </w:t>
      </w:r>
      <w:r>
        <w:rPr>
          <w:rFonts w:ascii="Consolas" w:cs="Consolas" w:eastAsia="Consolas" w:hAnsi="Consolas"/>
          <w:sz w:val="20"/>
          <w:szCs w:val="20"/>
        </w:rPr>
        <w:t xml:space="preserve">lab/infected/rule30/</w:t>
      </w:r>
      <w:r>
        <w:t xml:space="preserve"> and the manuscript </w:t>
      </w:r>
      <w:r>
        <w:rPr>
          <w:rFonts w:ascii="Consolas" w:cs="Consolas" w:eastAsia="Consolas" w:hAnsi="Consolas"/>
          <w:sz w:val="20"/>
          <w:szCs w:val="20"/>
        </w:rPr>
        <w:t xml:space="preserve">main_tex.pdf</w:t>
      </w:r>
      <w:r>
        <w:t xml:space="preserve">, the impressive numbers come from one of two sources: (1) a feature vector that already contains the answer (leakage), or (2) a target quantity that is an analytically known density functional rather than Rule 30’s actual chaotic output. When the genuinely interesting quantity — Rule 30’s true single-cell center column — is predicted on a disjoint trajectory, accuracy collapses to chance (~50%).</w:t>
      </w:r>
    </w:p>
    <w:p>
      <w:pPr>
        <w:spacing w:after="140"/>
      </w:pPr>
      <w:r>
        <w:t xml:space="preserve">Credit where due: your own </w:t>
      </w:r>
      <w:r>
        <w:rPr>
          <w:rFonts w:ascii="Consolas" w:cs="Consolas" w:eastAsia="Consolas" w:hAnsi="Consolas"/>
          <w:sz w:val="20"/>
          <w:szCs w:val="20"/>
        </w:rPr>
        <w:t xml:space="preserve">rule30_leakage_audit.py</w:t>
      </w:r>
      <w:r>
        <w:t xml:space="preserve"> and the “causal” rewrite show you were already circling the right doubts. The conclusions in </w:t>
      </w:r>
      <w:r>
        <w:rPr>
          <w:rFonts w:ascii="Consolas" w:cs="Consolas" w:eastAsia="Consolas" w:hAnsi="Consolas"/>
          <w:sz w:val="20"/>
          <w:szCs w:val="20"/>
        </w:rPr>
        <w:t xml:space="preserve">FINAL_REPORT.md</w:t>
      </w:r>
      <w:r>
        <w:t xml:space="preserve"> and the paper simply haven’t caught up to what those audits imply.</w:t>
      </w:r>
    </w:p>
    <w:p>
      <w:pPr>
        <w:pStyle w:val="Heading1"/>
      </w:pPr>
      <w:r>
        <w:t xml:space="preserve">What the project actually measures</w:t>
      </w:r>
    </w:p>
    <w:p>
      <w:pPr>
        <w:spacing w:after="140"/>
      </w:pPr>
      <w:r>
        <w:t xml:space="preserve">The pipeline never tracks Rule 30’s famous center column — the single middle cell of one evolution traced over time. The quantity it calls the “center column bit” is </w:t>
      </w:r>
      <w:r>
        <w:rPr>
          <w:b/>
          <w:bCs/>
        </w:rPr>
        <w:t xml:space="preserve">the 1-density of the whole row</w:t>
      </w:r>
      <w:r>
        <w:t xml:space="preserve">, thresholded at 0.5. In the code, </w:t>
      </w:r>
      <w:r>
        <w:rPr>
          <w:rFonts w:ascii="Consolas" w:cs="Consolas" w:eastAsia="Consolas" w:hAnsi="Consolas"/>
          <w:sz w:val="20"/>
          <w:szCs w:val="20"/>
        </w:rPr>
        <w:t xml:space="preserve">extract_center_column</w:t>
      </w:r>
      <w:r>
        <w:t xml:space="preserve"> reads index 32 (</w:t>
      </w:r>
      <w:r>
        <w:rPr>
          <w:rFonts w:ascii="Consolas" w:cs="Consolas" w:eastAsia="Consolas" w:hAnsi="Consolas"/>
          <w:sz w:val="20"/>
          <w:szCs w:val="20"/>
        </w:rPr>
        <w:t xml:space="preserve">c_t</w:t>
      </w:r>
      <w:r>
        <w:t xml:space="preserve">), and the tracker computes </w:t>
      </w:r>
      <w:r>
        <w:rPr>
          <w:rFonts w:ascii="Consolas" w:cs="Consolas" w:eastAsia="Consolas" w:hAnsi="Consolas"/>
          <w:sz w:val="20"/>
          <w:szCs w:val="20"/>
        </w:rPr>
        <w:t xml:space="preserve">c_t = sum(freqs where pattern_center==1)</w:t>
      </w:r>
      <w:r>
        <w:t xml:space="preserve"> — i.e. the fraction of cells in the row equal to 1. For any wide Rule 30 grid that density is ≈ 0.5 by construction, so the “bit” is just whether the row is marginally denser than half.</w:t>
      </w:r>
    </w:p>
    <w:p>
      <w:pPr>
        <w:spacing w:after="140"/>
      </w:pPr>
      <w:r>
        <w:rPr>
          <w:b/>
          <w:bCs/>
        </w:rPr>
        <w:t xml:space="preserve">Consequence: </w:t>
      </w:r>
      <w:r>
        <w:t xml:space="preserve">the object the paper invokes for its motivation (“the central column behaves like a pseudorandom generator”) is never the object the model works on.</w:t>
      </w:r>
    </w:p>
    <w:p>
      <w:pPr>
        <w:pStyle w:val="Heading1"/>
      </w:pPr>
      <w:r>
        <w:t xml:space="preserve">Held-out test (clean, no shared data)</w:t>
      </w:r>
    </w:p>
    <w:p>
      <w:pPr>
        <w:spacing w:after="140"/>
      </w:pPr>
      <w:r>
        <w:t xml:space="preserve">I wrote a self-contained test (no dependency on the project code). Train and test trajectories use disjoint seeds. Two targets: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Target A — </w:t>
      </w:r>
      <w:r>
        <w:t xml:space="preserve">the project’s real target: next-row density sign </w:t>
      </w:r>
      <w:r>
        <w:rPr>
          <w:rFonts w:ascii="Consolas" w:cs="Consolas" w:eastAsia="Consolas" w:hAnsi="Consolas"/>
          <w:sz w:val="20"/>
          <w:szCs w:val="20"/>
        </w:rPr>
        <w:t xml:space="preserve">c_{t+1}&gt;0.5</w:t>
      </w:r>
      <w:r>
        <w:t xml:space="preserve"> from current-row n-bit pattern frequencies.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Target B — </w:t>
      </w:r>
      <w:r>
        <w:t xml:space="preserve">the paper’s rhetorical target: Rule 30’s true single-cell center column </w:t>
      </w:r>
      <w:r>
        <w:rPr>
          <w:rFonts w:ascii="Consolas" w:cs="Consolas" w:eastAsia="Consolas" w:hAnsi="Consolas"/>
          <w:sz w:val="20"/>
          <w:szCs w:val="20"/>
        </w:rPr>
        <w:t xml:space="preserve">b_{t+1}</w:t>
      </w:r>
      <w:r>
        <w:t xml:space="preserve">, from the full row and from its 8-D PCA embedding.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Target predicted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Out-of-sample acc.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A. Next-row 1-density sign  (the code's “center column bit”)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B5E20"/>
              </w:rPr>
              <w:t xml:space="preserve">0.9825 (MLP)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Trivial: exact closed-form map scores 1.0000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A. – same target, exact analytic linear map (no ML)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1.0000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Proves A is a known density functional, not geometry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B. True single-cell center column bₜ₊₁ from PCA(row)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9B2226"/>
              </w:rPr>
              <w:t xml:space="preserve">0.4999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Chance (majority 0.5046) – no signal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B. True center column from full raw row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9B2226"/>
              </w:rPr>
              <w:t xml:space="preserve">0.4969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Chance – column stays unpredictable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spacing w:after="140"/>
      </w:pPr>
      <w:r>
        <w:rPr>
          <w:b/>
          <w:bCs/>
        </w:rPr>
        <w:t xml:space="preserve">Reading: </w:t>
      </w:r>
      <w:r>
        <w:t xml:space="preserve">Target A’s 98% is unremarkable because next-row density is an </w:t>
      </w:r>
      <w:r>
        <w:rPr>
          <w:b/>
          <w:bCs/>
        </w:rPr>
        <w:t xml:space="preserve">exact linear function</w:t>
      </w:r>
      <w:r>
        <w:t xml:space="preserve"> of the current row’s 3-bit pattern frequencies (Rule 30 maps 100, 011, 010, 001 → 1). The closed-form map scores a perfect 1.0000, so the MLP is approximating known arithmetic — not recovering a rule “from geometry.” Target B, the real pseudorandom column, is unpredictable out-of-sample at every feature richness, exactly as Rule 30’s reputation predicts.</w:t>
      </w:r>
    </w:p>
    <w:p>
      <w:pPr>
        <w:pStyle w:val="Heading1"/>
      </w:pPr>
      <w:r>
        <w:t xml:space="preserve">The headline 99.7% figure is leakage</w:t>
      </w:r>
    </w:p>
    <w:p>
      <w:pPr>
        <w:spacing w:after="140"/>
      </w:pPr>
      <w:r>
        <w:t xml:space="preserve">The Phase 9/10 decoder behind “99.7%” is fed a 34-dim state </w:t>
      </w:r>
      <w:r>
        <w:rPr>
          <w:rFonts w:ascii="Consolas" w:cs="Consolas" w:eastAsia="Consolas" w:hAnsi="Consolas"/>
          <w:sz w:val="20"/>
          <w:szCs w:val="20"/>
        </w:rPr>
        <w:t xml:space="preserve">[freq_t(16), freq_{t+1}(16), c_t, c_{t+1}]</w:t>
      </w:r>
      <w:r>
        <w:t xml:space="preserve"> — it includes the </w:t>
      </w:r>
      <w:r>
        <w:rPr>
          <w:b/>
          <w:bCs/>
        </w:rPr>
        <w:t xml:space="preserve">next</w:t>
      </w:r>
      <w:r>
        <w:t xml:space="preserve"> timestep’s frequencies and </w:t>
      </w:r>
      <w:r>
        <w:rPr>
          <w:rFonts w:ascii="Consolas" w:cs="Consolas" w:eastAsia="Consolas" w:hAnsi="Consolas"/>
          <w:sz w:val="20"/>
          <w:szCs w:val="20"/>
        </w:rPr>
        <w:t xml:space="preserve">c_{t+1}</w:t>
      </w:r>
      <w:r>
        <w:t xml:space="preserve">, while the label is </w:t>
      </w:r>
      <w:r>
        <w:rPr>
          <w:rFonts w:ascii="Consolas" w:cs="Consolas" w:eastAsia="Consolas" w:hAnsi="Consolas"/>
          <w:sz w:val="20"/>
          <w:szCs w:val="20"/>
        </w:rPr>
        <w:t xml:space="preserve">c_t</w:t>
      </w:r>
      <w:r>
        <w:t xml:space="preserve">, which is itself inside the input vector. Predicting a value from a vector that contains it is circular. Running your own audit on fresh data: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Ablation (saved Phase 9 decoder, fresh data)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True future state fed in (as designed)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0.512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majority 0.510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Future state zeroed 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0.490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–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Future state shuffled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0.514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000000"/>
              </w:rPr>
              <w:t xml:space="preserve">–</w:t>
            </w:r>
          </w:p>
        </w:tc>
      </w:tr>
    </w:tbl>
    <w:p>
      <w:pPr>
        <w:spacing w:after="60"/>
      </w:pPr>
      <w:r>
        <w:rPr>
          <w:sz w:val="4"/>
          <w:szCs w:val="4"/>
        </w:rPr>
        <w:t xml:space="preserve"/>
      </w:r>
    </w:p>
    <w:p>
      <w:pPr>
        <w:spacing w:after="140"/>
      </w:pPr>
      <w:r>
        <w:t xml:space="preserve">With the future-state features in place but evaluated on fresh trajectories, the decoder lands at the majority-class baseline. The reported 99.7% is an in-sample artifact of the leaked features, not out-of-sample skill.</w:t>
      </w:r>
    </w:p>
    <w:p>
      <w:pPr>
        <w:pStyle w:val="Heading1"/>
      </w:pPr>
      <w:r>
        <w:t xml:space="preserve">Specific issues for the manuscript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Reframe the central claim. </w:t>
      </w:r>
      <w:r>
        <w:t xml:space="preserve">“Reconstructing Rule 30’s update law from geometry alone” is not supported. The model is trained on Rule 30’s output; at best it is a statistical surrogate for an aggregate density, not rule recovery.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Fix the “center column” definition. </w:t>
      </w:r>
      <w:r>
        <w:t xml:space="preserve">State explicitly that </w:t>
      </w:r>
      <w:r>
        <w:rPr>
          <w:rFonts w:ascii="Consolas" w:cs="Consolas" w:eastAsia="Consolas" w:hAnsi="Consolas"/>
          <w:sz w:val="20"/>
          <w:szCs w:val="20"/>
        </w:rPr>
        <w:t xml:space="preserve">c_t</w:t>
      </w:r>
      <w:r>
        <w:t xml:space="preserve"> is row density, not Wolfram’s center cell — or actually model the center cell, in which case the results vanish.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Drop or quarantine the 99.7% / 94% decoder numbers</w:t>
      </w:r>
      <w:r>
        <w:t xml:space="preserve"> until they are reproduced on held-out trajectories with no future-state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the missing validation. </w:t>
      </w:r>
      <w:r>
        <w:t xml:space="preserve">Density matching to Δ=0.0005 is matched by any fair coin. Report block entropy, autocorrelation, and a randomness battery (NIST STS / Dieharder) against both real Rule 30 and a Bernoulli(0.49)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Define or remove “Livnium.” </w:t>
      </w:r>
      <w:r>
        <w:t xml:space="preserve">Phase 6 introduces the operator with no equation, then Phase 7 removes it as unnecessary. Either define both variants or cut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Add citations. </w:t>
      </w:r>
      <w:r>
        <w:t xml:space="preserve">Position against Takens delay embedding, SINDy, Koopman methods, and reservoir computing for chaotic attractor reconstruction before claiming a “first.”</w:t>
      </w:r>
    </w:p>
    <w:p>
      <w:pPr>
        <w:pStyle w:val="Heading1"/>
      </w:pPr>
      <w:r>
        <w:t xml:space="preserve">What would actually be publishable</w:t>
      </w:r>
    </w:p>
    <w:p>
      <w:pPr>
        <w:spacing w:after="140"/>
      </w:pPr>
      <w:r>
        <w:t xml:space="preserve">The honest, defensible result inside this work is small but real: </w:t>
      </w:r>
      <w:r>
        <w:rPr>
          <w:b/>
          <w:bCs/>
        </w:rPr>
        <w:t xml:space="preserve">the one-step evolution of Rule 30’s n-bit pattern-frequency vector is well captured by a low-order map, and aggregate densities are predictable while the pointwise center column is not. </w:t>
      </w:r>
      <w:r>
        <w:t xml:space="preserve">That is a clean statement about where Rule 30’s information is (in the measure, not the trajectory) — and it is the opposite of the current headline. Reframed that way, with held-out tests and standard baselines, it could stand.</w:t>
      </w:r>
    </w:p>
    <w:p>
      <w:pPr>
        <w:pBdr>
          <w:top w:val="single" w:color="CCCCCC" w:sz="4" w:space="6"/>
        </w:pBdr>
        <w:spacing w:before="240"/>
      </w:pPr>
      <w:r>
        <w:rPr>
          <w:i/>
          <w:iCs/>
          <w:color w:val="555555"/>
          <w:sz w:val="18"/>
          <w:szCs w:val="18"/>
        </w:rPr>
        <w:t xml:space="preserve">Reproducibility: honest_rule30_test.py (attached) is self-contained — width 20,000, 4,000 steps, n=6, train seed 1 / test seed 2. Leakage figures from rule30_leakage_audit.py on fresh seeds.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2026-06-27T11:11:27.698Z</dcterms:created>
  <dcterms:modified xsi:type="dcterms:W3CDTF">2026-06-27T11:11:27.698Z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