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6"/>
          <w:szCs w:val="26"/>
        </w:rPr>
        <w:t xml:space="preserve">Lab 3: Component Modelling &amp; Architectural Pattern Selection</w:t>
      </w:r>
    </w:p>
    <w:p>
      <w:pPr>
        <w:spacing w:after="60"/>
      </w:pPr>
      <w:r>
        <w:rPr>
          <w:i/>
          <w:iCs/>
          <w:sz w:val="22"/>
          <w:szCs w:val="22"/>
        </w:rPr>
        <w:t xml:space="preserve">Architectural Justification — Academic Elective Bidding &amp; Allocation System (Problem Statement #05)</w:t>
      </w:r>
    </w:p>
    <w:p>
      <w:pPr>
        <w:spacing w:after="220"/>
      </w:pPr>
      <w:r>
        <w:rPr>
          <w:sz w:val="21"/>
          <w:szCs w:val="21"/>
        </w:rPr>
        <w:t xml:space="preserve">Chetha Samrutha V   |   SRN: PES1UG24CS131   |   Section: C   |   Project Key: AEBS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Architecture Selection:  </w:t>
      </w:r>
      <w:r>
        <w:rPr>
          <w:sz w:val="22"/>
          <w:szCs w:val="22"/>
        </w:rPr>
        <w:t xml:space="preserve">We chose the Layered (N-Tier) Architecture for the Academic Elective Bidding &amp; Allocation System.</w:t>
      </w:r>
    </w:p>
    <w:p>
      <w:pPr>
        <w:spacing w:after="200"/>
      </w:pPr>
      <w:r>
        <w:rPr>
          <w:sz w:val="22"/>
          <w:szCs w:val="22"/>
        </w:rPr>
        <w:t xml:space="preserve">The system is organised into three layers — a Presentation Layer (Student &amp; Registrar Portal Component), a Business/Application Layer (Bid Intake &amp; Validation Manager, Bidding Configuration Manager, Allocation Engine, Override &amp; Audit Manager, Notification Service Component), and a Data Layer (Database Component), with the Allocation Engine depending on an external Timetable System. This mirrors the accompanying UML Component Diagram.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Reason 1 — Separation of concerns aligned to the backlog</w:t>
      </w:r>
    </w:p>
    <w:p>
      <w:pPr>
        <w:spacing w:after="180"/>
      </w:pPr>
      <w:r>
        <w:rPr>
          <w:sz w:val="22"/>
          <w:szCs w:val="22"/>
        </w:rPr>
        <w:t xml:space="preserve">The Lab 2 backlog splits the product into five independent epics — Student Elective Bidding, Bidding Configuration, Elective Allocation, Allocation Results &amp; Notifications, and Allocation Override &amp; Audit. A layered architecture lets each epic map to its own Business-layer component (Bid Intake &amp; Validation Manager, Bidding Configuration Manager, Allocation Engine, Notification Service Component, Override &amp; Audit Manager) that sits behind a common Presentation layer and above a shared Data layer. Teams can therefore develop and sprint on one epic's component without touching the UI or database code owned by another, matching the sprint-based delivery model (22/17/11 story-point sprints, Lab 2) this project already follows.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Reason 2 — Centralised consistency for the allocation run</w:t>
      </w:r>
    </w:p>
    <w:p>
      <w:pPr>
        <w:spacing w:after="180"/>
      </w:pPr>
      <w:r>
        <w:rPr>
          <w:sz w:val="22"/>
          <w:szCs w:val="22"/>
        </w:rPr>
        <w:t xml:space="preserve">FR-003 requires the allocation solver to assign every student at most one seat per elective in a single run, reading a consistent snapshot of bids, seat capacities, prerequisite flags and timetable slots at once. A layered design funnels all of this through a single Business-layer component (Allocation Engine) to a single Data-layer component (Database), avoiding the eventual-consistency and duplicated-state problems a microservices split would introduce for this one-shot, scheduling-sensitive operation, at a scale (one academic institution, one bidding cycle at a time) that does not need independently scaled services.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Security Advantage</w:t>
      </w:r>
    </w:p>
    <w:p>
      <w:pPr>
        <w:spacing w:after="180"/>
      </w:pPr>
      <w:r>
        <w:rPr>
          <w:sz w:val="22"/>
          <w:szCs w:val="22"/>
        </w:rPr>
        <w:t xml:space="preserve">NFR-001 is explicitly classified as a Performance &amp; Security requirement. In the layered design, the Presentation layer has no direct interface to the Database Component — every bid, configuration change, and override must pass through a Business-layer component's required interface first. This forces credit and prerequisite validation (FR-001) and role-based access control to be enforced in one place — for example, only the Override &amp; Audit Manager can write to allocation records after the automated run — instead of being duplicated or bypassed in the UI, shrinking the attack surface for unauthorised bid tampering or spoofed overrides.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Performance Benefit</w:t>
      </w:r>
    </w:p>
    <w:p>
      <w:pPr>
        <w:spacing w:after="40"/>
      </w:pPr>
      <w:r>
        <w:rPr>
          <w:sz w:val="22"/>
          <w:szCs w:val="22"/>
        </w:rPr>
        <w:t xml:space="preserve">NFR-002 requires the system to remain available to accept bids with at least 99.5% uptime and support 2,000 concurrent student sessions, and NFR-001 requires the allocation solver to process 5,000 bids in under 30 seconds. Because the layered architecture keeps the Presentation → Business → Data call path within tightly-coupled, in-process/same-deployment calls rather than routing through independently deployed services over a network, it removes the extra inter-service network hops and failure points a microservices split would add — making both the uptime target and the 30-second solver deadline easier to guarantee without extra infrastructure such as a service mesh or distributed job coordination.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2026-09-13T15:32:33.960Z</dcterms:created>
  <dcterms:modified xsi:type="dcterms:W3CDTF">2026-09-13T15:32:33.979Z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