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D2AB8" w14:textId="77777777" w:rsidR="00E42DDF" w:rsidRDefault="00000000">
      <w:pPr>
        <w:pStyle w:val="Title"/>
      </w:pPr>
      <w:r>
        <w:rPr>
          <w:b/>
          <w:bCs/>
        </w:rPr>
        <w:t>Lab 1 – Requirements Table</w:t>
      </w:r>
    </w:p>
    <w:p w14:paraId="62BCE468" w14:textId="77777777" w:rsidR="00E42DDF" w:rsidRDefault="00000000">
      <w:pPr>
        <w:spacing w:after="60"/>
      </w:pPr>
      <w:r>
        <w:rPr>
          <w:b/>
          <w:bCs/>
          <w:sz w:val="22"/>
          <w:szCs w:val="22"/>
        </w:rPr>
        <w:t>Problem Statement #05 – Academic Elective Bidding &amp; Allocation System</w:t>
      </w:r>
    </w:p>
    <w:p w14:paraId="03934486" w14:textId="6C60053D" w:rsidR="00E42DDF" w:rsidRDefault="00000000">
      <w:pPr>
        <w:spacing w:after="200"/>
      </w:pPr>
      <w:r>
        <w:rPr>
          <w:i/>
          <w:iCs/>
        </w:rPr>
        <w:t xml:space="preserve">Name: </w:t>
      </w:r>
      <w:r w:rsidR="002B02C1">
        <w:rPr>
          <w:i/>
          <w:iCs/>
        </w:rPr>
        <w:t>CHETHA SAMRUTHA V</w:t>
      </w:r>
      <w:r>
        <w:rPr>
          <w:i/>
          <w:iCs/>
        </w:rPr>
        <w:t xml:space="preserve">    SRN: </w:t>
      </w:r>
      <w:r w:rsidR="002B02C1">
        <w:rPr>
          <w:i/>
          <w:iCs/>
        </w:rPr>
        <w:t>PES1UG24CS131</w:t>
      </w:r>
      <w:r>
        <w:rPr>
          <w:i/>
          <w:iCs/>
        </w:rPr>
        <w:t xml:space="preserve">     Section: </w:t>
      </w:r>
      <w:r w:rsidR="002B02C1">
        <w:rPr>
          <w:i/>
          <w:iCs/>
        </w:rPr>
        <w:t>C</w:t>
      </w:r>
      <w:r>
        <w:rPr>
          <w:i/>
          <w:iCs/>
        </w:rPr>
        <w:t xml:space="preserve">   Date: 28-Aug-2026</w:t>
      </w:r>
    </w:p>
    <w:p w14:paraId="43B87AE2" w14:textId="77777777" w:rsidR="00E42DDF" w:rsidRDefault="00000000">
      <w:pPr>
        <w:spacing w:after="160"/>
      </w:pPr>
      <w:r>
        <w:rPr>
          <w:i/>
          <w:iCs/>
          <w:color w:val="555555"/>
          <w:sz w:val="18"/>
          <w:szCs w:val="18"/>
        </w:rPr>
        <w:t>Rows shaded amber (FR-001, NFR-001) are the requirements supplied in the problem statement handout. FR-002–FR-005 and NFR-002 were elicited for this lab.</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396"/>
        <w:gridCol w:w="4161"/>
        <w:gridCol w:w="999"/>
        <w:gridCol w:w="3966"/>
        <w:gridCol w:w="2980"/>
      </w:tblGrid>
      <w:tr w:rsidR="00E42DDF" w14:paraId="565838FE" w14:textId="77777777">
        <w:tblPrEx>
          <w:tblCellMar>
            <w:top w:w="0" w:type="dxa"/>
            <w:bottom w:w="0" w:type="dxa"/>
          </w:tblCellMar>
        </w:tblPrEx>
        <w:trPr>
          <w:tblHeader/>
        </w:trPr>
        <w:tc>
          <w:tcPr>
            <w:tcW w:w="900" w:type="dxa"/>
            <w:shd w:val="clear" w:color="auto" w:fill="1F4E78"/>
            <w:tcMar>
              <w:top w:w="100" w:type="dxa"/>
              <w:left w:w="120" w:type="dxa"/>
              <w:bottom w:w="100" w:type="dxa"/>
              <w:right w:w="120" w:type="dxa"/>
            </w:tcMar>
            <w:vAlign w:val="center"/>
          </w:tcPr>
          <w:p w14:paraId="174EFE68" w14:textId="77777777" w:rsidR="00E42DDF" w:rsidRDefault="00000000">
            <w:pPr>
              <w:jc w:val="center"/>
            </w:pPr>
            <w:proofErr w:type="spellStart"/>
            <w:r>
              <w:rPr>
                <w:b/>
                <w:bCs/>
                <w:color w:val="FFFFFF"/>
                <w:sz w:val="21"/>
                <w:szCs w:val="21"/>
              </w:rPr>
              <w:t>Req</w:t>
            </w:r>
            <w:proofErr w:type="spellEnd"/>
            <w:r>
              <w:rPr>
                <w:b/>
                <w:bCs/>
                <w:color w:val="FFFFFF"/>
                <w:sz w:val="21"/>
                <w:szCs w:val="21"/>
              </w:rPr>
              <w:t xml:space="preserve"> ID</w:t>
            </w:r>
          </w:p>
        </w:tc>
        <w:tc>
          <w:tcPr>
            <w:tcW w:w="1300" w:type="dxa"/>
            <w:shd w:val="clear" w:color="auto" w:fill="1F4E78"/>
            <w:tcMar>
              <w:top w:w="100" w:type="dxa"/>
              <w:left w:w="120" w:type="dxa"/>
              <w:bottom w:w="100" w:type="dxa"/>
              <w:right w:w="120" w:type="dxa"/>
            </w:tcMar>
            <w:vAlign w:val="center"/>
          </w:tcPr>
          <w:p w14:paraId="4C828823" w14:textId="77777777" w:rsidR="00E42DDF" w:rsidRDefault="00000000">
            <w:pPr>
              <w:jc w:val="center"/>
            </w:pPr>
            <w:r>
              <w:rPr>
                <w:b/>
                <w:bCs/>
                <w:color w:val="FFFFFF"/>
                <w:sz w:val="21"/>
                <w:szCs w:val="21"/>
              </w:rPr>
              <w:t>Type</w:t>
            </w:r>
          </w:p>
        </w:tc>
        <w:tc>
          <w:tcPr>
            <w:tcW w:w="4200" w:type="dxa"/>
            <w:shd w:val="clear" w:color="auto" w:fill="1F4E78"/>
            <w:tcMar>
              <w:top w:w="100" w:type="dxa"/>
              <w:left w:w="120" w:type="dxa"/>
              <w:bottom w:w="100" w:type="dxa"/>
              <w:right w:w="120" w:type="dxa"/>
            </w:tcMar>
            <w:vAlign w:val="center"/>
          </w:tcPr>
          <w:p w14:paraId="46AD94EF" w14:textId="77777777" w:rsidR="00E42DDF" w:rsidRDefault="00000000">
            <w:pPr>
              <w:jc w:val="center"/>
            </w:pPr>
            <w:r>
              <w:rPr>
                <w:b/>
                <w:bCs/>
                <w:color w:val="FFFFFF"/>
                <w:sz w:val="21"/>
                <w:szCs w:val="21"/>
              </w:rPr>
              <w:t>Description</w:t>
            </w:r>
          </w:p>
        </w:tc>
        <w:tc>
          <w:tcPr>
            <w:tcW w:w="1000" w:type="dxa"/>
            <w:shd w:val="clear" w:color="auto" w:fill="1F4E78"/>
            <w:tcMar>
              <w:top w:w="100" w:type="dxa"/>
              <w:left w:w="120" w:type="dxa"/>
              <w:bottom w:w="100" w:type="dxa"/>
              <w:right w:w="120" w:type="dxa"/>
            </w:tcMar>
            <w:vAlign w:val="center"/>
          </w:tcPr>
          <w:p w14:paraId="0C377616" w14:textId="77777777" w:rsidR="00E42DDF" w:rsidRDefault="00000000">
            <w:pPr>
              <w:jc w:val="center"/>
            </w:pPr>
            <w:r>
              <w:rPr>
                <w:b/>
                <w:bCs/>
                <w:color w:val="FFFFFF"/>
                <w:sz w:val="21"/>
                <w:szCs w:val="21"/>
              </w:rPr>
              <w:t>Priority</w:t>
            </w:r>
          </w:p>
        </w:tc>
        <w:tc>
          <w:tcPr>
            <w:tcW w:w="4000" w:type="dxa"/>
            <w:shd w:val="clear" w:color="auto" w:fill="1F4E78"/>
            <w:tcMar>
              <w:top w:w="100" w:type="dxa"/>
              <w:left w:w="120" w:type="dxa"/>
              <w:bottom w:w="100" w:type="dxa"/>
              <w:right w:w="120" w:type="dxa"/>
            </w:tcMar>
            <w:vAlign w:val="center"/>
          </w:tcPr>
          <w:p w14:paraId="46B9D4A0" w14:textId="77777777" w:rsidR="00E42DDF" w:rsidRDefault="00000000">
            <w:pPr>
              <w:jc w:val="center"/>
            </w:pPr>
            <w:r>
              <w:rPr>
                <w:b/>
                <w:bCs/>
                <w:color w:val="FFFFFF"/>
                <w:sz w:val="21"/>
                <w:szCs w:val="21"/>
              </w:rPr>
              <w:t>Acceptance Criteria</w:t>
            </w:r>
          </w:p>
        </w:tc>
        <w:tc>
          <w:tcPr>
            <w:tcW w:w="3000" w:type="dxa"/>
            <w:shd w:val="clear" w:color="auto" w:fill="1F4E78"/>
            <w:tcMar>
              <w:top w:w="100" w:type="dxa"/>
              <w:left w:w="120" w:type="dxa"/>
              <w:bottom w:w="100" w:type="dxa"/>
              <w:right w:w="120" w:type="dxa"/>
            </w:tcMar>
            <w:vAlign w:val="center"/>
          </w:tcPr>
          <w:p w14:paraId="621EE586" w14:textId="77777777" w:rsidR="00E42DDF" w:rsidRDefault="00000000">
            <w:pPr>
              <w:jc w:val="center"/>
            </w:pPr>
            <w:r>
              <w:rPr>
                <w:b/>
                <w:bCs/>
                <w:color w:val="FFFFFF"/>
                <w:sz w:val="21"/>
                <w:szCs w:val="21"/>
              </w:rPr>
              <w:t>Rationale</w:t>
            </w:r>
          </w:p>
        </w:tc>
      </w:tr>
      <w:tr w:rsidR="00E42DDF" w14:paraId="4F7CE210" w14:textId="77777777">
        <w:tblPrEx>
          <w:tblCellMar>
            <w:top w:w="0" w:type="dxa"/>
            <w:bottom w:w="0" w:type="dxa"/>
          </w:tblCellMar>
        </w:tblPrEx>
        <w:tc>
          <w:tcPr>
            <w:tcW w:w="900" w:type="dxa"/>
            <w:shd w:val="clear" w:color="auto" w:fill="FCE9C9"/>
            <w:tcMar>
              <w:top w:w="100" w:type="dxa"/>
              <w:left w:w="120" w:type="dxa"/>
              <w:bottom w:w="100" w:type="dxa"/>
              <w:right w:w="120" w:type="dxa"/>
            </w:tcMar>
            <w:vAlign w:val="center"/>
          </w:tcPr>
          <w:p w14:paraId="118F5705" w14:textId="77777777" w:rsidR="00E42DDF" w:rsidRDefault="00000000">
            <w:pPr>
              <w:jc w:val="center"/>
            </w:pPr>
            <w:r>
              <w:rPr>
                <w:b/>
                <w:bCs/>
                <w:color w:val="000000"/>
              </w:rPr>
              <w:t>FR-001</w:t>
            </w:r>
          </w:p>
        </w:tc>
        <w:tc>
          <w:tcPr>
            <w:tcW w:w="1300" w:type="dxa"/>
            <w:shd w:val="clear" w:color="auto" w:fill="FCE9C9"/>
            <w:tcMar>
              <w:top w:w="100" w:type="dxa"/>
              <w:left w:w="120" w:type="dxa"/>
              <w:bottom w:w="100" w:type="dxa"/>
              <w:right w:w="120" w:type="dxa"/>
            </w:tcMar>
            <w:vAlign w:val="center"/>
          </w:tcPr>
          <w:p w14:paraId="430A2020" w14:textId="77777777" w:rsidR="00E42DDF" w:rsidRDefault="00000000">
            <w:pPr>
              <w:jc w:val="center"/>
            </w:pPr>
            <w:r>
              <w:rPr>
                <w:color w:val="000000"/>
              </w:rPr>
              <w:t>Functional</w:t>
            </w:r>
          </w:p>
        </w:tc>
        <w:tc>
          <w:tcPr>
            <w:tcW w:w="4200" w:type="dxa"/>
            <w:shd w:val="clear" w:color="auto" w:fill="FCE9C9"/>
            <w:tcMar>
              <w:top w:w="100" w:type="dxa"/>
              <w:left w:w="120" w:type="dxa"/>
              <w:bottom w:w="100" w:type="dxa"/>
              <w:right w:w="120" w:type="dxa"/>
            </w:tcMar>
            <w:vAlign w:val="center"/>
          </w:tcPr>
          <w:p w14:paraId="767F4623" w14:textId="77777777" w:rsidR="00E42DDF" w:rsidRDefault="00000000">
            <w:r>
              <w:rPr>
                <w:color w:val="000000"/>
              </w:rPr>
              <w:t>The system shall allow students to distribute 100 bidding credits across their ranked elective preferences and validate prerequisite course completions.</w:t>
            </w:r>
          </w:p>
        </w:tc>
        <w:tc>
          <w:tcPr>
            <w:tcW w:w="1000" w:type="dxa"/>
            <w:shd w:val="clear" w:color="auto" w:fill="FCE9C9"/>
            <w:tcMar>
              <w:top w:w="100" w:type="dxa"/>
              <w:left w:w="120" w:type="dxa"/>
              <w:bottom w:w="100" w:type="dxa"/>
              <w:right w:w="120" w:type="dxa"/>
            </w:tcMar>
            <w:vAlign w:val="center"/>
          </w:tcPr>
          <w:p w14:paraId="0BB296BE" w14:textId="77777777" w:rsidR="00E42DDF" w:rsidRDefault="00000000">
            <w:pPr>
              <w:jc w:val="center"/>
            </w:pPr>
            <w:r>
              <w:rPr>
                <w:color w:val="000000"/>
              </w:rPr>
              <w:t>High</w:t>
            </w:r>
          </w:p>
        </w:tc>
        <w:tc>
          <w:tcPr>
            <w:tcW w:w="4000" w:type="dxa"/>
            <w:shd w:val="clear" w:color="auto" w:fill="FCE9C9"/>
            <w:tcMar>
              <w:top w:w="100" w:type="dxa"/>
              <w:left w:w="120" w:type="dxa"/>
              <w:bottom w:w="100" w:type="dxa"/>
              <w:right w:w="120" w:type="dxa"/>
            </w:tcMar>
            <w:vAlign w:val="center"/>
          </w:tcPr>
          <w:p w14:paraId="5D4DAB66" w14:textId="77777777" w:rsidR="00E42DDF" w:rsidRDefault="00000000">
            <w:r>
              <w:rPr>
                <w:color w:val="000000"/>
              </w:rPr>
              <w:t>Pass: Credits deduct accurately and prerequisites are validated. Fail: Total allocated credits exceed 100, or a student is allowed to bid on an elective whose prerequisite is unmet.</w:t>
            </w:r>
          </w:p>
        </w:tc>
        <w:tc>
          <w:tcPr>
            <w:tcW w:w="3000" w:type="dxa"/>
            <w:shd w:val="clear" w:color="auto" w:fill="FCE9C9"/>
            <w:tcMar>
              <w:top w:w="100" w:type="dxa"/>
              <w:left w:w="120" w:type="dxa"/>
              <w:bottom w:w="100" w:type="dxa"/>
              <w:right w:w="120" w:type="dxa"/>
            </w:tcMar>
            <w:vAlign w:val="center"/>
          </w:tcPr>
          <w:p w14:paraId="07B540A0" w14:textId="77777777" w:rsidR="00E42DDF" w:rsidRDefault="00000000">
            <w:r>
              <w:rPr>
                <w:color w:val="000000"/>
              </w:rPr>
              <w:t>Core bidding mechanism; given in the problem statement.</w:t>
            </w:r>
          </w:p>
        </w:tc>
      </w:tr>
      <w:tr w:rsidR="00E42DDF" w14:paraId="42ACCB49" w14:textId="77777777">
        <w:tblPrEx>
          <w:tblCellMar>
            <w:top w:w="0" w:type="dxa"/>
            <w:bottom w:w="0" w:type="dxa"/>
          </w:tblCellMar>
        </w:tblPrEx>
        <w:tc>
          <w:tcPr>
            <w:tcW w:w="900" w:type="dxa"/>
            <w:tcMar>
              <w:top w:w="100" w:type="dxa"/>
              <w:left w:w="120" w:type="dxa"/>
              <w:bottom w:w="100" w:type="dxa"/>
              <w:right w:w="120" w:type="dxa"/>
            </w:tcMar>
            <w:vAlign w:val="center"/>
          </w:tcPr>
          <w:p w14:paraId="04F9528A" w14:textId="77777777" w:rsidR="00E42DDF" w:rsidRDefault="00000000">
            <w:pPr>
              <w:jc w:val="center"/>
            </w:pPr>
            <w:r>
              <w:rPr>
                <w:b/>
                <w:bCs/>
                <w:color w:val="000000"/>
              </w:rPr>
              <w:t>FR-002</w:t>
            </w:r>
          </w:p>
        </w:tc>
        <w:tc>
          <w:tcPr>
            <w:tcW w:w="1300" w:type="dxa"/>
            <w:tcMar>
              <w:top w:w="100" w:type="dxa"/>
              <w:left w:w="120" w:type="dxa"/>
              <w:bottom w:w="100" w:type="dxa"/>
              <w:right w:w="120" w:type="dxa"/>
            </w:tcMar>
            <w:vAlign w:val="center"/>
          </w:tcPr>
          <w:p w14:paraId="6BE019A0" w14:textId="77777777" w:rsidR="00E42DDF" w:rsidRDefault="00000000">
            <w:pPr>
              <w:jc w:val="center"/>
            </w:pPr>
            <w:r>
              <w:rPr>
                <w:color w:val="000000"/>
              </w:rPr>
              <w:t>Functional</w:t>
            </w:r>
          </w:p>
        </w:tc>
        <w:tc>
          <w:tcPr>
            <w:tcW w:w="4200" w:type="dxa"/>
            <w:tcMar>
              <w:top w:w="100" w:type="dxa"/>
              <w:left w:w="120" w:type="dxa"/>
              <w:bottom w:w="100" w:type="dxa"/>
              <w:right w:w="120" w:type="dxa"/>
            </w:tcMar>
            <w:vAlign w:val="center"/>
          </w:tcPr>
          <w:p w14:paraId="0F43F063" w14:textId="77777777" w:rsidR="00E42DDF" w:rsidRDefault="00000000">
            <w:r>
              <w:rPr>
                <w:color w:val="000000"/>
              </w:rPr>
              <w:t>The system shall allow the Academic Registrar to configure the bidding window (start/end date-time) and the seat capacity for each elective before bidding opens.</w:t>
            </w:r>
          </w:p>
        </w:tc>
        <w:tc>
          <w:tcPr>
            <w:tcW w:w="1000" w:type="dxa"/>
            <w:tcMar>
              <w:top w:w="100" w:type="dxa"/>
              <w:left w:w="120" w:type="dxa"/>
              <w:bottom w:w="100" w:type="dxa"/>
              <w:right w:w="120" w:type="dxa"/>
            </w:tcMar>
            <w:vAlign w:val="center"/>
          </w:tcPr>
          <w:p w14:paraId="3C69B0C0" w14:textId="77777777" w:rsidR="00E42DDF" w:rsidRDefault="00000000">
            <w:pPr>
              <w:jc w:val="center"/>
            </w:pPr>
            <w:r>
              <w:rPr>
                <w:color w:val="000000"/>
              </w:rPr>
              <w:t>High</w:t>
            </w:r>
          </w:p>
        </w:tc>
        <w:tc>
          <w:tcPr>
            <w:tcW w:w="4000" w:type="dxa"/>
            <w:tcMar>
              <w:top w:w="100" w:type="dxa"/>
              <w:left w:w="120" w:type="dxa"/>
              <w:bottom w:w="100" w:type="dxa"/>
              <w:right w:w="120" w:type="dxa"/>
            </w:tcMar>
            <w:vAlign w:val="center"/>
          </w:tcPr>
          <w:p w14:paraId="3DAE84BA" w14:textId="77777777" w:rsidR="00E42DDF" w:rsidRDefault="00000000">
            <w:r>
              <w:rPr>
                <w:color w:val="000000"/>
              </w:rPr>
              <w:t>Pass: The bidding portal accepts student submissions only within the configured window and rejects submissions outside it; the seat-capacity value stored for each elective exactly matches what the Registrar entered. Fail: A bid is accepted outside the configured window, or a stored capacity differs from the entered value.</w:t>
            </w:r>
          </w:p>
        </w:tc>
        <w:tc>
          <w:tcPr>
            <w:tcW w:w="3000" w:type="dxa"/>
            <w:tcMar>
              <w:top w:w="100" w:type="dxa"/>
              <w:left w:w="120" w:type="dxa"/>
              <w:bottom w:w="100" w:type="dxa"/>
              <w:right w:w="120" w:type="dxa"/>
            </w:tcMar>
            <w:vAlign w:val="center"/>
          </w:tcPr>
          <w:p w14:paraId="6B269847" w14:textId="77777777" w:rsidR="00E42DDF" w:rsidRDefault="00000000">
            <w:r>
              <w:rPr>
                <w:color w:val="000000"/>
              </w:rPr>
              <w:t>Gives the Registrar administrative control over the timing and fairness of each bidding cycle.</w:t>
            </w:r>
          </w:p>
        </w:tc>
      </w:tr>
      <w:tr w:rsidR="00E42DDF" w14:paraId="2B1BF736" w14:textId="77777777">
        <w:tblPrEx>
          <w:tblCellMar>
            <w:top w:w="0" w:type="dxa"/>
            <w:bottom w:w="0" w:type="dxa"/>
          </w:tblCellMar>
        </w:tblPrEx>
        <w:tc>
          <w:tcPr>
            <w:tcW w:w="900" w:type="dxa"/>
            <w:tcMar>
              <w:top w:w="100" w:type="dxa"/>
              <w:left w:w="120" w:type="dxa"/>
              <w:bottom w:w="100" w:type="dxa"/>
              <w:right w:w="120" w:type="dxa"/>
            </w:tcMar>
            <w:vAlign w:val="center"/>
          </w:tcPr>
          <w:p w14:paraId="79FF9425" w14:textId="77777777" w:rsidR="00E42DDF" w:rsidRDefault="00000000">
            <w:pPr>
              <w:jc w:val="center"/>
            </w:pPr>
            <w:r>
              <w:rPr>
                <w:b/>
                <w:bCs/>
                <w:color w:val="000000"/>
              </w:rPr>
              <w:t>FR-003</w:t>
            </w:r>
          </w:p>
        </w:tc>
        <w:tc>
          <w:tcPr>
            <w:tcW w:w="1300" w:type="dxa"/>
            <w:tcMar>
              <w:top w:w="100" w:type="dxa"/>
              <w:left w:w="120" w:type="dxa"/>
              <w:bottom w:w="100" w:type="dxa"/>
              <w:right w:w="120" w:type="dxa"/>
            </w:tcMar>
            <w:vAlign w:val="center"/>
          </w:tcPr>
          <w:p w14:paraId="5CE34D78" w14:textId="77777777" w:rsidR="00E42DDF" w:rsidRDefault="00000000">
            <w:pPr>
              <w:jc w:val="center"/>
            </w:pPr>
            <w:r>
              <w:rPr>
                <w:color w:val="000000"/>
              </w:rPr>
              <w:t>Functional</w:t>
            </w:r>
          </w:p>
        </w:tc>
        <w:tc>
          <w:tcPr>
            <w:tcW w:w="4200" w:type="dxa"/>
            <w:tcMar>
              <w:top w:w="100" w:type="dxa"/>
              <w:left w:w="120" w:type="dxa"/>
              <w:bottom w:w="100" w:type="dxa"/>
              <w:right w:w="120" w:type="dxa"/>
            </w:tcMar>
            <w:vAlign w:val="center"/>
          </w:tcPr>
          <w:p w14:paraId="171FE284" w14:textId="77777777" w:rsidR="00E42DDF" w:rsidRDefault="00000000">
            <w:r>
              <w:rPr>
                <w:color w:val="000000"/>
              </w:rPr>
              <w:t>The system shall run an allocation solver that assigns each student at most one seat per elective based on highest bid credits, subject to seat capacity, prerequisite eligibility and timetable non-collision, using CGPA as the tie-breaker when bid amounts are equal.</w:t>
            </w:r>
          </w:p>
        </w:tc>
        <w:tc>
          <w:tcPr>
            <w:tcW w:w="1000" w:type="dxa"/>
            <w:tcMar>
              <w:top w:w="100" w:type="dxa"/>
              <w:left w:w="120" w:type="dxa"/>
              <w:bottom w:w="100" w:type="dxa"/>
              <w:right w:w="120" w:type="dxa"/>
            </w:tcMar>
            <w:vAlign w:val="center"/>
          </w:tcPr>
          <w:p w14:paraId="3D41A756" w14:textId="77777777" w:rsidR="00E42DDF" w:rsidRDefault="00000000">
            <w:pPr>
              <w:jc w:val="center"/>
            </w:pPr>
            <w:r>
              <w:rPr>
                <w:color w:val="000000"/>
              </w:rPr>
              <w:t>High</w:t>
            </w:r>
          </w:p>
        </w:tc>
        <w:tc>
          <w:tcPr>
            <w:tcW w:w="4000" w:type="dxa"/>
            <w:tcMar>
              <w:top w:w="100" w:type="dxa"/>
              <w:left w:w="120" w:type="dxa"/>
              <w:bottom w:w="100" w:type="dxa"/>
              <w:right w:w="120" w:type="dxa"/>
            </w:tcMar>
            <w:vAlign w:val="center"/>
          </w:tcPr>
          <w:p w14:paraId="1ABD6FBA" w14:textId="77777777" w:rsidR="00E42DDF" w:rsidRDefault="00000000">
            <w:r>
              <w:rPr>
                <w:color w:val="000000"/>
              </w:rPr>
              <w:t>Pass: On a test dataset, the solver output has no student assigned to two electives with overlapping time slots, no elective exceeding its seat capacity, and every equal-bid tie resolved using CGPA. Fail: Any timetable collision, capacity overflow, or unresolved tie occurs.</w:t>
            </w:r>
          </w:p>
        </w:tc>
        <w:tc>
          <w:tcPr>
            <w:tcW w:w="3000" w:type="dxa"/>
            <w:tcMar>
              <w:top w:w="100" w:type="dxa"/>
              <w:left w:w="120" w:type="dxa"/>
              <w:bottom w:w="100" w:type="dxa"/>
              <w:right w:w="120" w:type="dxa"/>
            </w:tcMar>
            <w:vAlign w:val="center"/>
          </w:tcPr>
          <w:p w14:paraId="7073F21B" w14:textId="77777777" w:rsidR="00E42DDF" w:rsidRDefault="00000000">
            <w:r>
              <w:rPr>
                <w:color w:val="000000"/>
              </w:rPr>
              <w:t>This is the core value proposition of the system: solving allocation constraints while preventing timetable collisions.</w:t>
            </w:r>
          </w:p>
        </w:tc>
      </w:tr>
      <w:tr w:rsidR="00E42DDF" w14:paraId="39F78651" w14:textId="77777777">
        <w:tblPrEx>
          <w:tblCellMar>
            <w:top w:w="0" w:type="dxa"/>
            <w:bottom w:w="0" w:type="dxa"/>
          </w:tblCellMar>
        </w:tblPrEx>
        <w:tc>
          <w:tcPr>
            <w:tcW w:w="900" w:type="dxa"/>
            <w:tcMar>
              <w:top w:w="100" w:type="dxa"/>
              <w:left w:w="120" w:type="dxa"/>
              <w:bottom w:w="100" w:type="dxa"/>
              <w:right w:w="120" w:type="dxa"/>
            </w:tcMar>
            <w:vAlign w:val="center"/>
          </w:tcPr>
          <w:p w14:paraId="6AE7A0C4" w14:textId="77777777" w:rsidR="00E42DDF" w:rsidRDefault="00000000">
            <w:pPr>
              <w:jc w:val="center"/>
            </w:pPr>
            <w:r>
              <w:rPr>
                <w:b/>
                <w:bCs/>
                <w:color w:val="000000"/>
              </w:rPr>
              <w:t>FR-004</w:t>
            </w:r>
          </w:p>
        </w:tc>
        <w:tc>
          <w:tcPr>
            <w:tcW w:w="1300" w:type="dxa"/>
            <w:tcMar>
              <w:top w:w="100" w:type="dxa"/>
              <w:left w:w="120" w:type="dxa"/>
              <w:bottom w:w="100" w:type="dxa"/>
              <w:right w:w="120" w:type="dxa"/>
            </w:tcMar>
            <w:vAlign w:val="center"/>
          </w:tcPr>
          <w:p w14:paraId="530F6A5A" w14:textId="77777777" w:rsidR="00E42DDF" w:rsidRDefault="00000000">
            <w:pPr>
              <w:jc w:val="center"/>
            </w:pPr>
            <w:r>
              <w:rPr>
                <w:color w:val="000000"/>
              </w:rPr>
              <w:t>Functional</w:t>
            </w:r>
          </w:p>
        </w:tc>
        <w:tc>
          <w:tcPr>
            <w:tcW w:w="4200" w:type="dxa"/>
            <w:tcMar>
              <w:top w:w="100" w:type="dxa"/>
              <w:left w:w="120" w:type="dxa"/>
              <w:bottom w:w="100" w:type="dxa"/>
              <w:right w:w="120" w:type="dxa"/>
            </w:tcMar>
            <w:vAlign w:val="center"/>
          </w:tcPr>
          <w:p w14:paraId="116FCEF2" w14:textId="77777777" w:rsidR="00E42DDF" w:rsidRDefault="00000000">
            <w:r>
              <w:rPr>
                <w:color w:val="000000"/>
              </w:rPr>
              <w:t>The system shall notify each student of their final allocation result (allocated elective, waitlisted, or unallocated with credits refunded) by email and in-app notification within 5 minutes of the allocation run completing, and shall display the same outcome on the student's results dashboard.</w:t>
            </w:r>
          </w:p>
        </w:tc>
        <w:tc>
          <w:tcPr>
            <w:tcW w:w="1000" w:type="dxa"/>
            <w:tcMar>
              <w:top w:w="100" w:type="dxa"/>
              <w:left w:w="120" w:type="dxa"/>
              <w:bottom w:w="100" w:type="dxa"/>
              <w:right w:w="120" w:type="dxa"/>
            </w:tcMar>
            <w:vAlign w:val="center"/>
          </w:tcPr>
          <w:p w14:paraId="0962E200" w14:textId="77777777" w:rsidR="00E42DDF" w:rsidRDefault="00000000">
            <w:pPr>
              <w:jc w:val="center"/>
            </w:pPr>
            <w:r>
              <w:rPr>
                <w:color w:val="000000"/>
              </w:rPr>
              <w:t>Medium</w:t>
            </w:r>
          </w:p>
        </w:tc>
        <w:tc>
          <w:tcPr>
            <w:tcW w:w="4000" w:type="dxa"/>
            <w:tcMar>
              <w:top w:w="100" w:type="dxa"/>
              <w:left w:w="120" w:type="dxa"/>
              <w:bottom w:w="100" w:type="dxa"/>
              <w:right w:w="120" w:type="dxa"/>
            </w:tcMar>
            <w:vAlign w:val="center"/>
          </w:tcPr>
          <w:p w14:paraId="3184C370" w14:textId="77777777" w:rsidR="00E42DDF" w:rsidRDefault="00000000">
            <w:r>
              <w:rPr>
                <w:color w:val="000000"/>
              </w:rPr>
              <w:t>Pass: In a test run, every student receives a notification and sees a matching dashboard status within 5 minutes of solver completion. Fail: A notification is missing, delayed beyond 5 minutes, or does not match the dashboard status.</w:t>
            </w:r>
          </w:p>
        </w:tc>
        <w:tc>
          <w:tcPr>
            <w:tcW w:w="3000" w:type="dxa"/>
            <w:tcMar>
              <w:top w:w="100" w:type="dxa"/>
              <w:left w:w="120" w:type="dxa"/>
              <w:bottom w:w="100" w:type="dxa"/>
              <w:right w:w="120" w:type="dxa"/>
            </w:tcMar>
            <w:vAlign w:val="center"/>
          </w:tcPr>
          <w:p w14:paraId="4D4A6452" w14:textId="77777777" w:rsidR="00E42DDF" w:rsidRDefault="00000000">
            <w:r>
              <w:rPr>
                <w:color w:val="000000"/>
              </w:rPr>
              <w:t>Timely communication lets students plan add/drop actions and reduces support-desk load.</w:t>
            </w:r>
          </w:p>
        </w:tc>
      </w:tr>
      <w:tr w:rsidR="00E42DDF" w14:paraId="78F15B4D" w14:textId="77777777">
        <w:tblPrEx>
          <w:tblCellMar>
            <w:top w:w="0" w:type="dxa"/>
            <w:bottom w:w="0" w:type="dxa"/>
          </w:tblCellMar>
        </w:tblPrEx>
        <w:tc>
          <w:tcPr>
            <w:tcW w:w="900" w:type="dxa"/>
            <w:tcMar>
              <w:top w:w="100" w:type="dxa"/>
              <w:left w:w="120" w:type="dxa"/>
              <w:bottom w:w="100" w:type="dxa"/>
              <w:right w:w="120" w:type="dxa"/>
            </w:tcMar>
            <w:vAlign w:val="center"/>
          </w:tcPr>
          <w:p w14:paraId="67E893CF" w14:textId="77777777" w:rsidR="00E42DDF" w:rsidRDefault="00000000">
            <w:pPr>
              <w:jc w:val="center"/>
            </w:pPr>
            <w:r>
              <w:rPr>
                <w:b/>
                <w:bCs/>
                <w:color w:val="000000"/>
              </w:rPr>
              <w:t>FR-005</w:t>
            </w:r>
          </w:p>
        </w:tc>
        <w:tc>
          <w:tcPr>
            <w:tcW w:w="1300" w:type="dxa"/>
            <w:tcMar>
              <w:top w:w="100" w:type="dxa"/>
              <w:left w:w="120" w:type="dxa"/>
              <w:bottom w:w="100" w:type="dxa"/>
              <w:right w:w="120" w:type="dxa"/>
            </w:tcMar>
            <w:vAlign w:val="center"/>
          </w:tcPr>
          <w:p w14:paraId="607B69DA" w14:textId="77777777" w:rsidR="00E42DDF" w:rsidRDefault="00000000">
            <w:pPr>
              <w:jc w:val="center"/>
            </w:pPr>
            <w:r>
              <w:rPr>
                <w:color w:val="000000"/>
              </w:rPr>
              <w:t>Functional</w:t>
            </w:r>
          </w:p>
        </w:tc>
        <w:tc>
          <w:tcPr>
            <w:tcW w:w="4200" w:type="dxa"/>
            <w:tcMar>
              <w:top w:w="100" w:type="dxa"/>
              <w:left w:w="120" w:type="dxa"/>
              <w:bottom w:w="100" w:type="dxa"/>
              <w:right w:w="120" w:type="dxa"/>
            </w:tcMar>
            <w:vAlign w:val="center"/>
          </w:tcPr>
          <w:p w14:paraId="7998C17C" w14:textId="77777777" w:rsidR="00E42DDF" w:rsidRDefault="00000000">
            <w:r>
              <w:rPr>
                <w:color w:val="000000"/>
              </w:rPr>
              <w:t xml:space="preserve">The system shall allow the Academic Registrar to manually override a specific student's allocation (add to or remove from an elective) after the automated run, provided a reason code </w:t>
            </w:r>
            <w:r>
              <w:rPr>
                <w:color w:val="000000"/>
              </w:rPr>
              <w:lastRenderedPageBreak/>
              <w:t>is entered, and shall record the override in an audit trail.</w:t>
            </w:r>
          </w:p>
        </w:tc>
        <w:tc>
          <w:tcPr>
            <w:tcW w:w="1000" w:type="dxa"/>
            <w:tcMar>
              <w:top w:w="100" w:type="dxa"/>
              <w:left w:w="120" w:type="dxa"/>
              <w:bottom w:w="100" w:type="dxa"/>
              <w:right w:w="120" w:type="dxa"/>
            </w:tcMar>
            <w:vAlign w:val="center"/>
          </w:tcPr>
          <w:p w14:paraId="7443A476" w14:textId="77777777" w:rsidR="00E42DDF" w:rsidRDefault="00000000">
            <w:pPr>
              <w:jc w:val="center"/>
            </w:pPr>
            <w:r>
              <w:rPr>
                <w:color w:val="000000"/>
              </w:rPr>
              <w:lastRenderedPageBreak/>
              <w:t>Medium</w:t>
            </w:r>
          </w:p>
        </w:tc>
        <w:tc>
          <w:tcPr>
            <w:tcW w:w="4000" w:type="dxa"/>
            <w:tcMar>
              <w:top w:w="100" w:type="dxa"/>
              <w:left w:w="120" w:type="dxa"/>
              <w:bottom w:w="100" w:type="dxa"/>
              <w:right w:w="120" w:type="dxa"/>
            </w:tcMar>
            <w:vAlign w:val="center"/>
          </w:tcPr>
          <w:p w14:paraId="62092ACA" w14:textId="77777777" w:rsidR="00E42DDF" w:rsidRDefault="00000000">
            <w:r>
              <w:rPr>
                <w:color w:val="000000"/>
              </w:rPr>
              <w:t xml:space="preserve">Pass: An override updates the allocation record only when a non-empty reason code is supplied, and an audit-log entry (Registrar ID, timestamp, before/after values) is created for every override. Fail: An override is accepted </w:t>
            </w:r>
            <w:r>
              <w:rPr>
                <w:color w:val="000000"/>
              </w:rPr>
              <w:lastRenderedPageBreak/>
              <w:t>without a reason code, or no audit entry is created.</w:t>
            </w:r>
          </w:p>
        </w:tc>
        <w:tc>
          <w:tcPr>
            <w:tcW w:w="3000" w:type="dxa"/>
            <w:tcMar>
              <w:top w:w="100" w:type="dxa"/>
              <w:left w:w="120" w:type="dxa"/>
              <w:bottom w:w="100" w:type="dxa"/>
              <w:right w:w="120" w:type="dxa"/>
            </w:tcMar>
            <w:vAlign w:val="center"/>
          </w:tcPr>
          <w:p w14:paraId="14BB8531" w14:textId="77777777" w:rsidR="00E42DDF" w:rsidRDefault="00000000">
            <w:r>
              <w:rPr>
                <w:color w:val="000000"/>
              </w:rPr>
              <w:lastRenderedPageBreak/>
              <w:t>Handles exceptional cases (e.g., medical grounds, administrative error) that automated rules cannot anticipate.</w:t>
            </w:r>
          </w:p>
        </w:tc>
      </w:tr>
      <w:tr w:rsidR="00E42DDF" w14:paraId="2A978D07" w14:textId="77777777">
        <w:tblPrEx>
          <w:tblCellMar>
            <w:top w:w="0" w:type="dxa"/>
            <w:bottom w:w="0" w:type="dxa"/>
          </w:tblCellMar>
        </w:tblPrEx>
        <w:tc>
          <w:tcPr>
            <w:tcW w:w="900" w:type="dxa"/>
            <w:shd w:val="clear" w:color="auto" w:fill="FCE9C9"/>
            <w:tcMar>
              <w:top w:w="100" w:type="dxa"/>
              <w:left w:w="120" w:type="dxa"/>
              <w:bottom w:w="100" w:type="dxa"/>
              <w:right w:w="120" w:type="dxa"/>
            </w:tcMar>
            <w:vAlign w:val="center"/>
          </w:tcPr>
          <w:p w14:paraId="5E488325" w14:textId="77777777" w:rsidR="00E42DDF" w:rsidRDefault="00000000">
            <w:pPr>
              <w:jc w:val="center"/>
            </w:pPr>
            <w:r>
              <w:rPr>
                <w:b/>
                <w:bCs/>
                <w:color w:val="000000"/>
              </w:rPr>
              <w:t>NFR-001</w:t>
            </w:r>
          </w:p>
        </w:tc>
        <w:tc>
          <w:tcPr>
            <w:tcW w:w="1300" w:type="dxa"/>
            <w:shd w:val="clear" w:color="auto" w:fill="FCE9C9"/>
            <w:tcMar>
              <w:top w:w="100" w:type="dxa"/>
              <w:left w:w="120" w:type="dxa"/>
              <w:bottom w:w="100" w:type="dxa"/>
              <w:right w:w="120" w:type="dxa"/>
            </w:tcMar>
            <w:vAlign w:val="center"/>
          </w:tcPr>
          <w:p w14:paraId="1EDC0B1E" w14:textId="77777777" w:rsidR="00E42DDF" w:rsidRDefault="00000000">
            <w:pPr>
              <w:jc w:val="center"/>
            </w:pPr>
            <w:r>
              <w:rPr>
                <w:color w:val="000000"/>
              </w:rPr>
              <w:t>Nonfunctional (Performance &amp; Security)</w:t>
            </w:r>
          </w:p>
        </w:tc>
        <w:tc>
          <w:tcPr>
            <w:tcW w:w="4200" w:type="dxa"/>
            <w:shd w:val="clear" w:color="auto" w:fill="FCE9C9"/>
            <w:tcMar>
              <w:top w:w="100" w:type="dxa"/>
              <w:left w:w="120" w:type="dxa"/>
              <w:bottom w:w="100" w:type="dxa"/>
              <w:right w:w="120" w:type="dxa"/>
            </w:tcMar>
            <w:vAlign w:val="center"/>
          </w:tcPr>
          <w:p w14:paraId="7AA34E38" w14:textId="77777777" w:rsidR="00E42DDF" w:rsidRDefault="00000000">
            <w:r>
              <w:rPr>
                <w:color w:val="000000"/>
              </w:rPr>
              <w:t>The final elective allocation solver shall process 5,000 student bids and resolve schedule conflicts in under 30 seconds.</w:t>
            </w:r>
          </w:p>
        </w:tc>
        <w:tc>
          <w:tcPr>
            <w:tcW w:w="1000" w:type="dxa"/>
            <w:shd w:val="clear" w:color="auto" w:fill="FCE9C9"/>
            <w:tcMar>
              <w:top w:w="100" w:type="dxa"/>
              <w:left w:w="120" w:type="dxa"/>
              <w:bottom w:w="100" w:type="dxa"/>
              <w:right w:w="120" w:type="dxa"/>
            </w:tcMar>
            <w:vAlign w:val="center"/>
          </w:tcPr>
          <w:p w14:paraId="65FCAFC1" w14:textId="77777777" w:rsidR="00E42DDF" w:rsidRDefault="00000000">
            <w:pPr>
              <w:jc w:val="center"/>
            </w:pPr>
            <w:r>
              <w:rPr>
                <w:color w:val="000000"/>
              </w:rPr>
              <w:t>High</w:t>
            </w:r>
          </w:p>
        </w:tc>
        <w:tc>
          <w:tcPr>
            <w:tcW w:w="4000" w:type="dxa"/>
            <w:shd w:val="clear" w:color="auto" w:fill="FCE9C9"/>
            <w:tcMar>
              <w:top w:w="100" w:type="dxa"/>
              <w:left w:w="120" w:type="dxa"/>
              <w:bottom w:w="100" w:type="dxa"/>
              <w:right w:w="120" w:type="dxa"/>
            </w:tcMar>
            <w:vAlign w:val="center"/>
          </w:tcPr>
          <w:p w14:paraId="29EF713B" w14:textId="77777777" w:rsidR="00E42DDF" w:rsidRDefault="00000000">
            <w:r>
              <w:rPr>
                <w:color w:val="000000"/>
              </w:rPr>
              <w:t>Pass: Benchmarking tests confirm the target latency and security standards are met under simulated peak load. Fail: Processing exceeds 30 seconds, or a security check fails under load.</w:t>
            </w:r>
          </w:p>
        </w:tc>
        <w:tc>
          <w:tcPr>
            <w:tcW w:w="3000" w:type="dxa"/>
            <w:shd w:val="clear" w:color="auto" w:fill="FCE9C9"/>
            <w:tcMar>
              <w:top w:w="100" w:type="dxa"/>
              <w:left w:w="120" w:type="dxa"/>
              <w:bottom w:w="100" w:type="dxa"/>
              <w:right w:w="120" w:type="dxa"/>
            </w:tcMar>
            <w:vAlign w:val="center"/>
          </w:tcPr>
          <w:p w14:paraId="61D7B069" w14:textId="77777777" w:rsidR="00E42DDF" w:rsidRDefault="00000000">
            <w:r>
              <w:rPr>
                <w:color w:val="000000"/>
              </w:rPr>
              <w:t>Given in the problem statement; the solver must remain usable during a short, high-traffic bidding window.</w:t>
            </w:r>
          </w:p>
        </w:tc>
      </w:tr>
      <w:tr w:rsidR="00E42DDF" w14:paraId="0631AA00" w14:textId="77777777">
        <w:tblPrEx>
          <w:tblCellMar>
            <w:top w:w="0" w:type="dxa"/>
            <w:bottom w:w="0" w:type="dxa"/>
          </w:tblCellMar>
        </w:tblPrEx>
        <w:tc>
          <w:tcPr>
            <w:tcW w:w="900" w:type="dxa"/>
            <w:tcMar>
              <w:top w:w="100" w:type="dxa"/>
              <w:left w:w="120" w:type="dxa"/>
              <w:bottom w:w="100" w:type="dxa"/>
              <w:right w:w="120" w:type="dxa"/>
            </w:tcMar>
            <w:vAlign w:val="center"/>
          </w:tcPr>
          <w:p w14:paraId="130A1A11" w14:textId="77777777" w:rsidR="00E42DDF" w:rsidRDefault="00000000">
            <w:pPr>
              <w:jc w:val="center"/>
            </w:pPr>
            <w:r>
              <w:rPr>
                <w:b/>
                <w:bCs/>
                <w:color w:val="000000"/>
              </w:rPr>
              <w:t>NFR-002</w:t>
            </w:r>
          </w:p>
        </w:tc>
        <w:tc>
          <w:tcPr>
            <w:tcW w:w="1300" w:type="dxa"/>
            <w:tcMar>
              <w:top w:w="100" w:type="dxa"/>
              <w:left w:w="120" w:type="dxa"/>
              <w:bottom w:w="100" w:type="dxa"/>
              <w:right w:w="120" w:type="dxa"/>
            </w:tcMar>
            <w:vAlign w:val="center"/>
          </w:tcPr>
          <w:p w14:paraId="0596AD76" w14:textId="77777777" w:rsidR="00E42DDF" w:rsidRDefault="00000000">
            <w:pPr>
              <w:jc w:val="center"/>
            </w:pPr>
            <w:r>
              <w:rPr>
                <w:color w:val="000000"/>
              </w:rPr>
              <w:t>Nonfunctional (Availability &amp; Scalability)</w:t>
            </w:r>
          </w:p>
        </w:tc>
        <w:tc>
          <w:tcPr>
            <w:tcW w:w="4200" w:type="dxa"/>
            <w:tcMar>
              <w:top w:w="100" w:type="dxa"/>
              <w:left w:w="120" w:type="dxa"/>
              <w:bottom w:w="100" w:type="dxa"/>
              <w:right w:w="120" w:type="dxa"/>
            </w:tcMar>
            <w:vAlign w:val="center"/>
          </w:tcPr>
          <w:p w14:paraId="00892C96" w14:textId="77777777" w:rsidR="00E42DDF" w:rsidRDefault="00000000">
            <w:r>
              <w:rPr>
                <w:color w:val="000000"/>
              </w:rPr>
              <w:t>The system shall maintain at least 99.5% uptime during the active bidding window and support at least 2,000 concurrent student sessions without service degradation.</w:t>
            </w:r>
          </w:p>
        </w:tc>
        <w:tc>
          <w:tcPr>
            <w:tcW w:w="1000" w:type="dxa"/>
            <w:tcMar>
              <w:top w:w="100" w:type="dxa"/>
              <w:left w:w="120" w:type="dxa"/>
              <w:bottom w:w="100" w:type="dxa"/>
              <w:right w:w="120" w:type="dxa"/>
            </w:tcMar>
            <w:vAlign w:val="center"/>
          </w:tcPr>
          <w:p w14:paraId="29802A1F" w14:textId="77777777" w:rsidR="00E42DDF" w:rsidRDefault="00000000">
            <w:pPr>
              <w:jc w:val="center"/>
            </w:pPr>
            <w:r>
              <w:rPr>
                <w:color w:val="000000"/>
              </w:rPr>
              <w:t>High</w:t>
            </w:r>
          </w:p>
        </w:tc>
        <w:tc>
          <w:tcPr>
            <w:tcW w:w="4000" w:type="dxa"/>
            <w:tcMar>
              <w:top w:w="100" w:type="dxa"/>
              <w:left w:w="120" w:type="dxa"/>
              <w:bottom w:w="100" w:type="dxa"/>
              <w:right w:w="120" w:type="dxa"/>
            </w:tcMar>
            <w:vAlign w:val="center"/>
          </w:tcPr>
          <w:p w14:paraId="34DCA082" w14:textId="77777777" w:rsidR="00E42DDF" w:rsidRDefault="00000000">
            <w:r>
              <w:rPr>
                <w:color w:val="000000"/>
              </w:rPr>
              <w:t>Pass: Load testing with 2,000 concurrent virtual users completes with an error rate under 1% and average response time under 3 seconds, with no unplanned downtime during the test window. Fail: Downtime occurs, or the error-rate/response-time thresholds are exceeded.</w:t>
            </w:r>
          </w:p>
        </w:tc>
        <w:tc>
          <w:tcPr>
            <w:tcW w:w="3000" w:type="dxa"/>
            <w:tcMar>
              <w:top w:w="100" w:type="dxa"/>
              <w:left w:w="120" w:type="dxa"/>
              <w:bottom w:w="100" w:type="dxa"/>
              <w:right w:w="120" w:type="dxa"/>
            </w:tcMar>
            <w:vAlign w:val="center"/>
          </w:tcPr>
          <w:p w14:paraId="0F0677E1" w14:textId="77777777" w:rsidR="00E42DDF" w:rsidRDefault="00000000">
            <w:r>
              <w:rPr>
                <w:color w:val="000000"/>
              </w:rPr>
              <w:t>Bidding is time-boxed and high-traffic; an outage would unfairly disadvantage students who cannot resubmit later.</w:t>
            </w:r>
          </w:p>
        </w:tc>
      </w:tr>
    </w:tbl>
    <w:p w14:paraId="3A53871F" w14:textId="77777777" w:rsidR="00E42DDF" w:rsidRDefault="00000000">
      <w:pPr>
        <w:spacing w:before="240"/>
      </w:pPr>
      <w:r>
        <w:rPr>
          <w:sz w:val="19"/>
          <w:szCs w:val="19"/>
        </w:rPr>
        <w:t>Actors / Stakeholders: Student, Academic Registrar (primary); Timetable System, Notification System (supporting external systems).</w:t>
      </w:r>
    </w:p>
    <w:p w14:paraId="31738C8A" w14:textId="77777777" w:rsidR="00E42DDF" w:rsidRDefault="00000000">
      <w:r>
        <w:rPr>
          <w:sz w:val="19"/>
          <w:szCs w:val="19"/>
        </w:rPr>
        <w:t>Total: 5 Functional Requirements (FR-001–FR-005), 2 Nonfunctional Requirements (NFR-001–NFR-002), as required by the lab deliverable.</w:t>
      </w:r>
    </w:p>
    <w:sectPr w:rsidR="00E42DDF">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92A8C"/>
    <w:multiLevelType w:val="hybridMultilevel"/>
    <w:tmpl w:val="2D3A7A92"/>
    <w:lvl w:ilvl="0" w:tplc="B61E1B34">
      <w:start w:val="1"/>
      <w:numFmt w:val="bullet"/>
      <w:lvlText w:val="●"/>
      <w:lvlJc w:val="left"/>
      <w:pPr>
        <w:ind w:left="720" w:hanging="360"/>
      </w:pPr>
    </w:lvl>
    <w:lvl w:ilvl="1" w:tplc="0A0CBA2E">
      <w:start w:val="1"/>
      <w:numFmt w:val="bullet"/>
      <w:lvlText w:val="○"/>
      <w:lvlJc w:val="left"/>
      <w:pPr>
        <w:ind w:left="1440" w:hanging="360"/>
      </w:pPr>
    </w:lvl>
    <w:lvl w:ilvl="2" w:tplc="F9C20986">
      <w:start w:val="1"/>
      <w:numFmt w:val="bullet"/>
      <w:lvlText w:val="■"/>
      <w:lvlJc w:val="left"/>
      <w:pPr>
        <w:ind w:left="2160" w:hanging="360"/>
      </w:pPr>
    </w:lvl>
    <w:lvl w:ilvl="3" w:tplc="95A693EA">
      <w:start w:val="1"/>
      <w:numFmt w:val="bullet"/>
      <w:lvlText w:val="●"/>
      <w:lvlJc w:val="left"/>
      <w:pPr>
        <w:ind w:left="2880" w:hanging="360"/>
      </w:pPr>
    </w:lvl>
    <w:lvl w:ilvl="4" w:tplc="128E2B92">
      <w:start w:val="1"/>
      <w:numFmt w:val="bullet"/>
      <w:lvlText w:val="○"/>
      <w:lvlJc w:val="left"/>
      <w:pPr>
        <w:ind w:left="3600" w:hanging="360"/>
      </w:pPr>
    </w:lvl>
    <w:lvl w:ilvl="5" w:tplc="D76AB94E">
      <w:start w:val="1"/>
      <w:numFmt w:val="bullet"/>
      <w:lvlText w:val="■"/>
      <w:lvlJc w:val="left"/>
      <w:pPr>
        <w:ind w:left="4320" w:hanging="360"/>
      </w:pPr>
    </w:lvl>
    <w:lvl w:ilvl="6" w:tplc="6F267FC0">
      <w:start w:val="1"/>
      <w:numFmt w:val="bullet"/>
      <w:lvlText w:val="●"/>
      <w:lvlJc w:val="left"/>
      <w:pPr>
        <w:ind w:left="5040" w:hanging="360"/>
      </w:pPr>
    </w:lvl>
    <w:lvl w:ilvl="7" w:tplc="6D6E97BA">
      <w:start w:val="1"/>
      <w:numFmt w:val="bullet"/>
      <w:lvlText w:val="●"/>
      <w:lvlJc w:val="left"/>
      <w:pPr>
        <w:ind w:left="5760" w:hanging="360"/>
      </w:pPr>
    </w:lvl>
    <w:lvl w:ilvl="8" w:tplc="69AC73F6">
      <w:start w:val="1"/>
      <w:numFmt w:val="bullet"/>
      <w:lvlText w:val="●"/>
      <w:lvlJc w:val="left"/>
      <w:pPr>
        <w:ind w:left="6480" w:hanging="360"/>
      </w:pPr>
    </w:lvl>
  </w:abstractNum>
  <w:num w:numId="1" w16cid:durableId="1290822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DDF"/>
    <w:rsid w:val="002B02C1"/>
    <w:rsid w:val="004174C2"/>
    <w:rsid w:val="00E42D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460A6"/>
  <w15:docId w15:val="{A17A5B1C-1907-4CC9-825F-54F54C5ED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707</Words>
  <Characters>4034</Characters>
  <Application>Microsoft Office Word</Application>
  <DocSecurity>0</DocSecurity>
  <Lines>33</Lines>
  <Paragraphs>9</Paragraphs>
  <ScaleCrop>false</ScaleCrop>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Chetha Samrutha</cp:lastModifiedBy>
  <cp:revision>2</cp:revision>
  <dcterms:created xsi:type="dcterms:W3CDTF">2026-08-28T09:37:00Z</dcterms:created>
  <dcterms:modified xsi:type="dcterms:W3CDTF">2026-08-28T09:43:00Z</dcterms:modified>
</cp:coreProperties>
</file>