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60"/>
        <w:jc w:val="center"/>
      </w:pPr>
      <w:r>
        <w:rPr>
          <w:b/>
          <w:sz w:val="30"/>
          <w:u w:val="single"/>
        </w:rPr>
        <w:t>ANOMALY SCAN</w:t>
      </w:r>
    </w:p>
    <w:tbl>
      <w:tblPr>
        <w:tblStyle w:val="TableGrid"/>
        <w:tblW w:type="auto" w:w="0"/>
        <w:tblLayout w:type="fixed"/>
        <w:tblLook w:firstColumn="1" w:firstRow="1" w:lastColumn="0" w:lastRow="0" w:noHBand="0" w:noVBand="1" w:val="04A0"/>
      </w:tblPr>
      <w:tblGrid>
        <w:gridCol w:w="1872"/>
        <w:gridCol w:w="3528"/>
        <w:gridCol w:w="1655"/>
        <w:gridCol w:w="3148"/>
      </w:tblGrid>
      <w:tr>
        <w:trPr>
          <w:cantSplit/>
        </w:trPr>
        <w:tc>
          <w:tcPr>
            <w:tcW w:type="dxa" w:w="1872"/>
            <w:vAlign w:val="center"/>
          </w:tcPr>
          <w:p>
            <w:pPr>
              <w:keepNext/>
              <w:spacing w:before="20" w:after="20"/>
            </w:pPr>
            <w:r>
              <w:rPr>
                <w:b/>
                <w:sz w:val="23"/>
              </w:rPr>
              <w:t>Patient Name</w:t>
            </w:r>
          </w:p>
        </w:tc>
        <w:tc>
          <w:tcPr>
            <w:tcW w:type="dxa" w:w="3528"/>
            <w:vAlign w:val="center"/>
          </w:tcPr>
          <w:p>
            <w:pPr>
              <w:keepNext/>
              <w:spacing w:before="20" w:after="20"/>
            </w:pPr>
            <w:r>
              <w:rPr>
                <w:b w:val="0"/>
                <w:sz w:val="23"/>
              </w:rPr>
              <w:t>{{patient_name}}</w:t>
            </w:r>
          </w:p>
        </w:tc>
        <w:tc>
          <w:tcPr>
            <w:tcW w:type="dxa" w:w="1656"/>
            <w:vAlign w:val="center"/>
          </w:tcPr>
          <w:p>
            <w:pPr>
              <w:keepNext/>
              <w:spacing w:before="20" w:after="20"/>
            </w:pPr>
            <w:r>
              <w:rPr>
                <w:b/>
                <w:sz w:val="23"/>
              </w:rPr>
              <w:t>Date</w:t>
            </w:r>
          </w:p>
        </w:tc>
        <w:tc>
          <w:tcPr>
            <w:tcW w:type="dxa" w:w="3149"/>
            <w:vAlign w:val="center"/>
          </w:tcPr>
          <w:p>
            <w:pPr>
              <w:keepNext/>
              <w:spacing w:before="20" w:after="20"/>
            </w:pPr>
            <w:r>
              <w:rPr>
                <w:b w:val="0"/>
                <w:sz w:val="23"/>
              </w:rPr>
              <w:t>{{date}}</w:t>
            </w:r>
          </w:p>
        </w:tc>
      </w:tr>
      <w:tr>
        <w:trPr>
          <w:cantSplit/>
        </w:trPr>
        <w:tc>
          <w:tcPr>
            <w:tcW w:type="dxa" w:w="1872"/>
            <w:vAlign w:val="center"/>
          </w:tcPr>
          <w:p>
            <w:pPr>
              <w:keepNext/>
              <w:spacing w:before="20" w:after="20"/>
            </w:pPr>
            <w:r>
              <w:rPr>
                <w:b/>
                <w:sz w:val="23"/>
              </w:rPr>
              <w:t>Age / Sex</w:t>
            </w:r>
          </w:p>
        </w:tc>
        <w:tc>
          <w:tcPr>
            <w:tcW w:type="dxa" w:w="3528"/>
            <w:vAlign w:val="center"/>
          </w:tcPr>
          <w:p>
            <w:pPr>
              <w:keepNext/>
              <w:spacing w:before="20" w:after="20"/>
            </w:pPr>
            <w:r>
              <w:rPr>
                <w:b w:val="0"/>
                <w:sz w:val="23"/>
              </w:rPr>
              <w:t>{{age}} Y / F</w:t>
            </w:r>
          </w:p>
        </w:tc>
        <w:tc>
          <w:tcPr>
            <w:tcW w:type="dxa" w:w="1656"/>
            <w:vAlign w:val="center"/>
          </w:tcPr>
          <w:p>
            <w:pPr>
              <w:keepNext/>
              <w:spacing w:before="20" w:after="20"/>
            </w:pPr>
            <w:r>
              <w:rPr>
                <w:b/>
                <w:sz w:val="23"/>
              </w:rPr>
              <w:t>Patient ID</w:t>
            </w:r>
          </w:p>
        </w:tc>
        <w:tc>
          <w:tcPr>
            <w:tcW w:type="dxa" w:w="3149"/>
            <w:vAlign w:val="center"/>
          </w:tcPr>
          <w:p>
            <w:pPr>
              <w:keepNext/>
              <w:spacing w:before="20" w:after="20"/>
            </w:pPr>
            <w:r>
              <w:rPr>
                <w:b w:val="0"/>
                <w:sz w:val="23"/>
              </w:rPr>
              <w:t>{{patient_id}}</w:t>
            </w:r>
          </w:p>
        </w:tc>
      </w:tr>
      <w:tr>
        <w:trPr>
          <w:cantSplit/>
        </w:trPr>
        <w:tc>
          <w:tcPr>
            <w:tcW w:type="dxa" w:w="1872"/>
            <w:vAlign w:val="center"/>
          </w:tcPr>
          <w:p>
            <w:pPr>
              <w:keepNext/>
              <w:spacing w:before="20" w:after="20"/>
            </w:pPr>
            <w:r>
              <w:rPr>
                <w:b/>
                <w:sz w:val="23"/>
              </w:rPr>
              <w:t>Referred by</w:t>
            </w:r>
          </w:p>
        </w:tc>
        <w:tc>
          <w:tcPr>
            <w:tcW w:type="dxa" w:w="3528"/>
            <w:vAlign w:val="center"/>
          </w:tcPr>
          <w:p>
            <w:pPr>
              <w:keepNext/>
              <w:spacing w:before="20" w:after="20"/>
            </w:pPr>
            <w:r>
              <w:rPr>
                <w:b w:val="0"/>
                <w:sz w:val="23"/>
              </w:rPr>
              <w:t>{{ref_by}}</w:t>
            </w:r>
          </w:p>
        </w:tc>
        <w:tc>
          <w:tcPr>
            <w:tcW w:type="dxa" w:w="1656"/>
            <w:vAlign w:val="center"/>
          </w:tcPr>
          <w:p>
            <w:pPr>
              <w:keepNext/>
              <w:spacing w:before="20" w:after="20"/>
            </w:pPr>
            <w:r>
              <w:rPr>
                <w:b/>
                <w:sz w:val="23"/>
              </w:rPr>
              <w:t>LMP</w:t>
            </w:r>
          </w:p>
        </w:tc>
        <w:tc>
          <w:tcPr>
            <w:tcW w:type="dxa" w:w="3149"/>
            <w:vAlign w:val="center"/>
          </w:tcPr>
          <w:p>
            <w:pPr>
              <w:keepNext/>
              <w:spacing w:before="20" w:after="20"/>
            </w:pPr>
            <w:r>
              <w:rPr>
                <w:b w:val="0"/>
                <w:sz w:val="23"/>
              </w:rPr>
              <w:t>{{lmp}}</w:t>
            </w:r>
          </w:p>
        </w:tc>
      </w:tr>
      <w:tr>
        <w:trPr>
          <w:cantSplit/>
        </w:trPr>
        <w:tc>
          <w:tcPr>
            <w:tcW w:type="dxa" w:w="1872"/>
            <w:vAlign w:val="center"/>
          </w:tcPr>
          <w:p>
            <w:pPr>
              <w:spacing w:before="20" w:after="20"/>
            </w:pPr>
            <w:r>
              <w:rPr>
                <w:b/>
                <w:sz w:val="23"/>
              </w:rPr>
              <w:t>Clinical details</w:t>
            </w:r>
          </w:p>
        </w:tc>
        <w:tc>
          <w:tcPr>
            <w:tcW w:type="dxa" w:w="8333"/>
            <w:gridSpan w:val="3"/>
            <w:vAlign w:val="center"/>
          </w:tcPr>
          <w:p>
            <w:pPr>
              <w:spacing w:before="20" w:after="20"/>
            </w:pPr>
            <w:r>
              <w:rPr>
                <w:b w:val="0"/>
                <w:sz w:val="23"/>
              </w:rPr>
              <w:t>{{clinical_details}}</w:t>
            </w:r>
          </w:p>
        </w:tc>
      </w:tr>
    </w:tbl>
    <w:p>
      <w:pPr>
        <w:spacing w:after="0"/>
      </w:pPr>
    </w:p>
    <w:p>
      <w:pPr>
        <w:keepNext/>
        <w:spacing w:before="200" w:after="60"/>
      </w:pPr>
      <w:r>
        <w:rPr>
          <w:b/>
          <w:sz w:val="26"/>
        </w:rPr>
        <w:t>FOETUS</w:t>
      </w:r>
    </w:p>
    <w:p>
      <w:r>
        <w:t>Single live foetus with {{foetal_lie}} lie. Foetal cardiac activity and movements good, FHR: {{fhr}} BPM.</w:t>
      </w:r>
    </w:p>
    <w:p>
      <w:pPr>
        <w:keepNext/>
        <w:spacing w:before="200" w:after="60"/>
      </w:pPr>
      <w:r>
        <w:rPr>
          <w:b/>
          <w:sz w:val="26"/>
        </w:rPr>
        <w:t>GESTATIONAL AGE</w:t>
      </w:r>
    </w:p>
    <w:tbl>
      <w:tblPr>
        <w:tblStyle w:val="TableGrid"/>
        <w:tblW w:type="auto" w:w="0"/>
        <w:tblLayout w:type="fixed"/>
        <w:tblLook w:firstColumn="1" w:firstRow="1" w:lastColumn="0" w:lastRow="0" w:noHBand="0" w:noVBand="1" w:val="04A0"/>
      </w:tblPr>
      <w:tblGrid>
        <w:gridCol w:w="3168"/>
        <w:gridCol w:w="3311"/>
        <w:gridCol w:w="3724"/>
      </w:tblGrid>
      <w:tr>
        <w:trPr>
          <w:cantSplit/>
        </w:trPr>
        <w:tc>
          <w:tcPr>
            <w:tcW w:type="dxa" w:w="3168"/>
            <w:vAlign w:val="center"/>
          </w:tcPr>
          <w:p>
            <w:pPr>
              <w:keepNext/>
              <w:spacing w:before="20" w:after="20"/>
            </w:pPr>
            <w:r>
              <w:rPr>
                <w:b/>
                <w:sz w:val="23"/>
              </w:rPr>
              <w:t>Parameter</w:t>
            </w:r>
          </w:p>
        </w:tc>
        <w:tc>
          <w:tcPr>
            <w:tcW w:type="dxa" w:w="3312"/>
            <w:vAlign w:val="center"/>
          </w:tcPr>
          <w:p>
            <w:pPr>
              <w:keepNext/>
              <w:spacing w:before="20" w:after="20"/>
              <w:jc w:val="center"/>
            </w:pPr>
            <w:r>
              <w:rPr>
                <w:b/>
                <w:sz w:val="23"/>
              </w:rPr>
              <w:t>By scan</w:t>
            </w:r>
          </w:p>
        </w:tc>
        <w:tc>
          <w:tcPr>
            <w:tcW w:type="dxa" w:w="3725"/>
            <w:vAlign w:val="center"/>
          </w:tcPr>
          <w:p>
            <w:pPr>
              <w:keepNext/>
              <w:spacing w:before="20" w:after="20"/>
              <w:jc w:val="center"/>
            </w:pPr>
            <w:r>
              <w:rPr>
                <w:b/>
                <w:sz w:val="23"/>
              </w:rPr>
              <w:t>By LMP</w:t>
            </w:r>
          </w:p>
        </w:tc>
      </w:tr>
      <w:tr>
        <w:trPr>
          <w:cantSplit/>
        </w:trPr>
        <w:tc>
          <w:tcPr>
            <w:tcW w:type="dxa" w:w="3168"/>
            <w:vAlign w:val="center"/>
          </w:tcPr>
          <w:p>
            <w:pPr>
              <w:keepNext/>
              <w:spacing w:before="20" w:after="20"/>
            </w:pPr>
            <w:r>
              <w:rPr>
                <w:b/>
                <w:sz w:val="23"/>
              </w:rPr>
              <w:t>Gestational age</w:t>
            </w:r>
          </w:p>
        </w:tc>
        <w:tc>
          <w:tcPr>
            <w:tcW w:type="dxa" w:w="3312"/>
            <w:vAlign w:val="center"/>
          </w:tcPr>
          <w:p>
            <w:pPr>
              <w:keepNext/>
              <w:spacing w:before="20" w:after="20"/>
              <w:jc w:val="center"/>
            </w:pPr>
            <w:r>
              <w:rPr>
                <w:b w:val="0"/>
                <w:sz w:val="23"/>
              </w:rPr>
              <w:t>{{aua_weeks}} weeks {{aua_days}} days</w:t>
            </w:r>
          </w:p>
        </w:tc>
        <w:tc>
          <w:tcPr>
            <w:tcW w:type="dxa" w:w="3725"/>
            <w:vAlign w:val="center"/>
          </w:tcPr>
          <w:p>
            <w:pPr>
              <w:keepNext/>
              <w:spacing w:before="20" w:after="20"/>
              <w:jc w:val="center"/>
            </w:pPr>
            <w:r>
              <w:rPr>
                <w:b w:val="0"/>
                <w:sz w:val="23"/>
              </w:rPr>
              <w:t>{{ga_lmp_weeks}} weeks {{ga_lmp_days}} days</w:t>
            </w:r>
          </w:p>
        </w:tc>
      </w:tr>
      <w:tr>
        <w:trPr>
          <w:cantSplit/>
        </w:trPr>
        <w:tc>
          <w:tcPr>
            <w:tcW w:type="dxa" w:w="3168"/>
            <w:vAlign w:val="center"/>
          </w:tcPr>
          <w:p>
            <w:pPr>
              <w:spacing w:before="20" w:after="20"/>
            </w:pPr>
            <w:r>
              <w:rPr>
                <w:b/>
                <w:sz w:val="23"/>
              </w:rPr>
              <w:t>EDD</w:t>
            </w:r>
          </w:p>
        </w:tc>
        <w:tc>
          <w:tcPr>
            <w:tcW w:type="dxa" w:w="3312"/>
            <w:vAlign w:val="center"/>
          </w:tcPr>
          <w:p>
            <w:pPr>
              <w:spacing w:before="20" w:after="20"/>
              <w:jc w:val="center"/>
            </w:pPr>
            <w:r>
              <w:rPr>
                <w:b w:val="0"/>
                <w:sz w:val="23"/>
              </w:rPr>
              <w:t>{{edd_scan}}</w:t>
            </w:r>
          </w:p>
        </w:tc>
        <w:tc>
          <w:tcPr>
            <w:tcW w:type="dxa" w:w="3725"/>
            <w:vAlign w:val="center"/>
          </w:tcPr>
          <w:p>
            <w:pPr>
              <w:spacing w:before="20" w:after="20"/>
              <w:jc w:val="center"/>
            </w:pPr>
            <w:r>
              <w:rPr>
                <w:b w:val="0"/>
                <w:sz w:val="23"/>
              </w:rPr>
              <w:t>{{edd_lmp}}</w:t>
            </w:r>
          </w:p>
        </w:tc>
      </w:tr>
    </w:tbl>
    <w:p>
      <w:pPr>
        <w:spacing w:after="0"/>
      </w:pPr>
    </w:p>
    <w:p>
      <w:pPr>
        <w:keepNext/>
        <w:spacing w:before="200" w:after="60"/>
      </w:pPr>
      <w:r>
        <w:rPr>
          <w:b/>
          <w:sz w:val="26"/>
        </w:rPr>
        <w:t>BIOMETRIC MEASUREMENTS</w:t>
      </w:r>
    </w:p>
    <w:tbl>
      <w:tblPr>
        <w:tblStyle w:val="TableGrid"/>
        <w:tblW w:type="auto" w:w="0"/>
        <w:tblLayout w:type="fixed"/>
        <w:tblLook w:firstColumn="1" w:firstRow="1" w:lastColumn="0" w:lastRow="0" w:noHBand="0" w:noVBand="1" w:val="04A0"/>
      </w:tblPr>
      <w:tblGrid>
        <w:gridCol w:w="2808"/>
        <w:gridCol w:w="2059"/>
        <w:gridCol w:w="2808"/>
        <w:gridCol w:w="2529"/>
      </w:tblGrid>
      <w:tr>
        <w:trPr>
          <w:cantSplit/>
        </w:trPr>
        <w:tc>
          <w:tcPr>
            <w:tcW w:type="dxa" w:w="2808"/>
            <w:vAlign w:val="center"/>
          </w:tcPr>
          <w:p>
            <w:pPr>
              <w:keepNext/>
              <w:spacing w:before="20" w:after="20"/>
            </w:pPr>
            <w:r>
              <w:rPr>
                <w:b/>
                <w:sz w:val="23"/>
              </w:rPr>
              <w:t>Parameter</w:t>
            </w:r>
          </w:p>
        </w:tc>
        <w:tc>
          <w:tcPr>
            <w:tcW w:type="dxa" w:w="2059"/>
            <w:vAlign w:val="center"/>
          </w:tcPr>
          <w:p>
            <w:pPr>
              <w:keepNext/>
              <w:spacing w:before="20" w:after="20"/>
              <w:jc w:val="center"/>
            </w:pPr>
            <w:r>
              <w:rPr>
                <w:b/>
                <w:sz w:val="23"/>
              </w:rPr>
              <w:t>Value</w:t>
            </w:r>
          </w:p>
        </w:tc>
        <w:tc>
          <w:tcPr>
            <w:tcW w:type="dxa" w:w="2808"/>
            <w:vAlign w:val="center"/>
          </w:tcPr>
          <w:p>
            <w:pPr>
              <w:keepNext/>
              <w:spacing w:before="20" w:after="20"/>
              <w:jc w:val="center"/>
            </w:pPr>
            <w:r>
              <w:rPr>
                <w:b/>
                <w:sz w:val="23"/>
              </w:rPr>
              <w:t>Parameter</w:t>
            </w:r>
          </w:p>
        </w:tc>
        <w:tc>
          <w:tcPr>
            <w:tcW w:type="dxa" w:w="2530"/>
            <w:vAlign w:val="center"/>
          </w:tcPr>
          <w:p>
            <w:pPr>
              <w:keepNext/>
              <w:spacing w:before="20" w:after="20"/>
              <w:jc w:val="center"/>
            </w:pPr>
            <w:r>
              <w:rPr>
                <w:b/>
                <w:sz w:val="23"/>
              </w:rPr>
              <w:t>Value</w:t>
            </w:r>
          </w:p>
        </w:tc>
      </w:tr>
      <w:tr>
        <w:trPr>
          <w:cantSplit/>
        </w:trPr>
        <w:tc>
          <w:tcPr>
            <w:tcW w:type="dxa" w:w="2808"/>
            <w:vAlign w:val="center"/>
          </w:tcPr>
          <w:p>
            <w:pPr>
              <w:keepNext/>
              <w:spacing w:before="20" w:after="20"/>
            </w:pPr>
            <w:r>
              <w:rPr>
                <w:b/>
                <w:sz w:val="23"/>
              </w:rPr>
              <w:t>BPD</w:t>
            </w:r>
          </w:p>
        </w:tc>
        <w:tc>
          <w:tcPr>
            <w:tcW w:type="dxa" w:w="2059"/>
            <w:vAlign w:val="center"/>
          </w:tcPr>
          <w:p>
            <w:pPr>
              <w:keepNext/>
              <w:spacing w:before="20" w:after="20"/>
              <w:jc w:val="center"/>
            </w:pPr>
            <w:r>
              <w:rPr>
                <w:b w:val="0"/>
                <w:sz w:val="23"/>
              </w:rPr>
              <w:t>{{bpd}} cm</w:t>
            </w:r>
          </w:p>
        </w:tc>
        <w:tc>
          <w:tcPr>
            <w:tcW w:type="dxa" w:w="2808"/>
            <w:vAlign w:val="center"/>
          </w:tcPr>
          <w:p>
            <w:pPr>
              <w:keepNext/>
              <w:spacing w:before="20" w:after="20"/>
            </w:pPr>
            <w:r>
              <w:rPr>
                <w:b/>
                <w:sz w:val="23"/>
              </w:rPr>
              <w:t>HC</w:t>
            </w:r>
          </w:p>
        </w:tc>
        <w:tc>
          <w:tcPr>
            <w:tcW w:type="dxa" w:w="2530"/>
            <w:vAlign w:val="center"/>
          </w:tcPr>
          <w:p>
            <w:pPr>
              <w:keepNext/>
              <w:spacing w:before="20" w:after="20"/>
              <w:jc w:val="center"/>
            </w:pPr>
            <w:r>
              <w:rPr>
                <w:b w:val="0"/>
                <w:sz w:val="23"/>
              </w:rPr>
              <w:t>{{hc}} cm</w:t>
            </w:r>
          </w:p>
        </w:tc>
      </w:tr>
      <w:tr>
        <w:trPr>
          <w:cantSplit/>
        </w:trPr>
        <w:tc>
          <w:tcPr>
            <w:tcW w:type="dxa" w:w="2808"/>
            <w:vAlign w:val="center"/>
          </w:tcPr>
          <w:p>
            <w:pPr>
              <w:keepNext/>
              <w:spacing w:before="20" w:after="20"/>
            </w:pPr>
            <w:r>
              <w:rPr>
                <w:b/>
                <w:sz w:val="23"/>
              </w:rPr>
              <w:t>AC</w:t>
            </w:r>
          </w:p>
        </w:tc>
        <w:tc>
          <w:tcPr>
            <w:tcW w:type="dxa" w:w="2059"/>
            <w:vAlign w:val="center"/>
          </w:tcPr>
          <w:p>
            <w:pPr>
              <w:keepNext/>
              <w:spacing w:before="20" w:after="20"/>
              <w:jc w:val="center"/>
            </w:pPr>
            <w:r>
              <w:rPr>
                <w:b w:val="0"/>
                <w:sz w:val="23"/>
              </w:rPr>
              <w:t>{{ac}} cm</w:t>
            </w:r>
          </w:p>
        </w:tc>
        <w:tc>
          <w:tcPr>
            <w:tcW w:type="dxa" w:w="2808"/>
            <w:vAlign w:val="center"/>
          </w:tcPr>
          <w:p>
            <w:pPr>
              <w:keepNext/>
              <w:spacing w:before="20" w:after="20"/>
            </w:pPr>
            <w:r>
              <w:rPr>
                <w:b/>
                <w:sz w:val="23"/>
              </w:rPr>
              <w:t>FL</w:t>
            </w:r>
          </w:p>
        </w:tc>
        <w:tc>
          <w:tcPr>
            <w:tcW w:type="dxa" w:w="2530"/>
            <w:vAlign w:val="center"/>
          </w:tcPr>
          <w:p>
            <w:pPr>
              <w:keepNext/>
              <w:spacing w:before="20" w:after="20"/>
              <w:jc w:val="center"/>
            </w:pPr>
            <w:r>
              <w:rPr>
                <w:b w:val="0"/>
                <w:sz w:val="23"/>
              </w:rPr>
              <w:t>{{fl}} cm</w:t>
            </w:r>
          </w:p>
        </w:tc>
      </w:tr>
      <w:tr>
        <w:trPr>
          <w:cantSplit/>
        </w:trPr>
        <w:tc>
          <w:tcPr>
            <w:tcW w:type="dxa" w:w="2808"/>
            <w:vAlign w:val="center"/>
          </w:tcPr>
          <w:p>
            <w:pPr>
              <w:keepNext/>
              <w:spacing w:before="20" w:after="20"/>
            </w:pPr>
            <w:r>
              <w:rPr>
                <w:b/>
                <w:sz w:val="23"/>
              </w:rPr>
              <w:t>HL</w:t>
            </w:r>
          </w:p>
        </w:tc>
        <w:tc>
          <w:tcPr>
            <w:tcW w:type="dxa" w:w="2059"/>
            <w:vAlign w:val="center"/>
          </w:tcPr>
          <w:p>
            <w:pPr>
              <w:keepNext/>
              <w:spacing w:before="20" w:after="20"/>
              <w:jc w:val="center"/>
            </w:pPr>
            <w:r>
              <w:rPr>
                <w:b w:val="0"/>
                <w:sz w:val="23"/>
              </w:rPr>
              <w:t>{{hl}} cm</w:t>
            </w:r>
          </w:p>
        </w:tc>
        <w:tc>
          <w:tcPr>
            <w:tcW w:type="dxa" w:w="2808"/>
            <w:vAlign w:val="center"/>
          </w:tcPr>
          <w:p>
            <w:pPr>
              <w:keepNext/>
              <w:spacing w:before="20" w:after="20"/>
            </w:pPr>
            <w:r>
              <w:rPr>
                <w:b/>
                <w:sz w:val="23"/>
              </w:rPr>
              <w:t>UL</w:t>
            </w:r>
          </w:p>
        </w:tc>
        <w:tc>
          <w:tcPr>
            <w:tcW w:type="dxa" w:w="2530"/>
            <w:vAlign w:val="center"/>
          </w:tcPr>
          <w:p>
            <w:pPr>
              <w:keepNext/>
              <w:spacing w:before="20" w:after="20"/>
              <w:jc w:val="center"/>
            </w:pPr>
            <w:r>
              <w:rPr>
                <w:b w:val="0"/>
                <w:sz w:val="23"/>
              </w:rPr>
              <w:t>{{ul}} cm</w:t>
            </w:r>
          </w:p>
        </w:tc>
      </w:tr>
      <w:tr>
        <w:trPr>
          <w:cantSplit/>
        </w:trPr>
        <w:tc>
          <w:tcPr>
            <w:tcW w:type="dxa" w:w="2808"/>
            <w:vAlign w:val="center"/>
          </w:tcPr>
          <w:p>
            <w:pPr>
              <w:keepNext/>
              <w:spacing w:before="20" w:after="20"/>
            </w:pPr>
            <w:r>
              <w:rPr>
                <w:b/>
                <w:sz w:val="23"/>
              </w:rPr>
              <w:t>RL</w:t>
            </w:r>
          </w:p>
        </w:tc>
        <w:tc>
          <w:tcPr>
            <w:tcW w:type="dxa" w:w="2059"/>
            <w:vAlign w:val="center"/>
          </w:tcPr>
          <w:p>
            <w:pPr>
              <w:keepNext/>
              <w:spacing w:before="20" w:after="20"/>
              <w:jc w:val="center"/>
            </w:pPr>
            <w:r>
              <w:rPr>
                <w:b w:val="0"/>
                <w:sz w:val="23"/>
              </w:rPr>
              <w:t>{{rl}} cm</w:t>
            </w:r>
          </w:p>
        </w:tc>
        <w:tc>
          <w:tcPr>
            <w:tcW w:type="dxa" w:w="2808"/>
            <w:vAlign w:val="center"/>
          </w:tcPr>
          <w:p>
            <w:pPr>
              <w:keepNext/>
              <w:spacing w:before="20" w:after="20"/>
            </w:pPr>
            <w:r>
              <w:rPr>
                <w:b/>
                <w:sz w:val="23"/>
              </w:rPr>
              <w:t>TL</w:t>
            </w:r>
          </w:p>
        </w:tc>
        <w:tc>
          <w:tcPr>
            <w:tcW w:type="dxa" w:w="2530"/>
            <w:vAlign w:val="center"/>
          </w:tcPr>
          <w:p>
            <w:pPr>
              <w:keepNext/>
              <w:spacing w:before="20" w:after="20"/>
              <w:jc w:val="center"/>
            </w:pPr>
            <w:r>
              <w:rPr>
                <w:b w:val="0"/>
                <w:sz w:val="23"/>
              </w:rPr>
              <w:t>{{tl}} cm</w:t>
            </w:r>
          </w:p>
        </w:tc>
      </w:tr>
      <w:tr>
        <w:trPr>
          <w:cantSplit/>
        </w:trPr>
        <w:tc>
          <w:tcPr>
            <w:tcW w:type="dxa" w:w="2808"/>
            <w:vAlign w:val="center"/>
          </w:tcPr>
          <w:p>
            <w:pPr>
              <w:keepNext/>
              <w:spacing w:before="20" w:after="20"/>
            </w:pPr>
            <w:r>
              <w:rPr>
                <w:b/>
                <w:sz w:val="23"/>
              </w:rPr>
              <w:t>FIB</w:t>
            </w:r>
          </w:p>
        </w:tc>
        <w:tc>
          <w:tcPr>
            <w:tcW w:type="dxa" w:w="2059"/>
            <w:vAlign w:val="center"/>
          </w:tcPr>
          <w:p>
            <w:pPr>
              <w:keepNext/>
              <w:spacing w:before="20" w:after="20"/>
              <w:jc w:val="center"/>
            </w:pPr>
            <w:r>
              <w:rPr>
                <w:b w:val="0"/>
                <w:sz w:val="23"/>
              </w:rPr>
              <w:t>{{fib}} cm</w:t>
            </w:r>
          </w:p>
        </w:tc>
        <w:tc>
          <w:tcPr>
            <w:tcW w:type="dxa" w:w="2808"/>
            <w:vAlign w:val="center"/>
          </w:tcPr>
          <w:p>
            <w:pPr>
              <w:keepNext/>
              <w:spacing w:before="20" w:after="20"/>
            </w:pPr>
            <w:r>
              <w:rPr>
                <w:b/>
                <w:sz w:val="23"/>
              </w:rPr>
              <w:t>Foot length</w:t>
            </w:r>
          </w:p>
        </w:tc>
        <w:tc>
          <w:tcPr>
            <w:tcW w:type="dxa" w:w="2530"/>
            <w:vAlign w:val="center"/>
          </w:tcPr>
          <w:p>
            <w:pPr>
              <w:keepNext/>
              <w:spacing w:before="20" w:after="20"/>
              <w:jc w:val="center"/>
            </w:pPr>
            <w:r>
              <w:rPr>
                <w:b w:val="0"/>
                <w:sz w:val="23"/>
              </w:rPr>
              <w:t>{{foot_length}} cm</w:t>
            </w:r>
          </w:p>
        </w:tc>
      </w:tr>
      <w:tr>
        <w:trPr>
          <w:cantSplit/>
        </w:trPr>
        <w:tc>
          <w:tcPr>
            <w:tcW w:type="dxa" w:w="2808"/>
            <w:vAlign w:val="center"/>
          </w:tcPr>
          <w:p>
            <w:pPr>
              <w:spacing w:before="20" w:after="20"/>
            </w:pPr>
            <w:r>
              <w:rPr>
                <w:b/>
                <w:sz w:val="23"/>
              </w:rPr>
              <w:t>EFW</w:t>
            </w:r>
          </w:p>
        </w:tc>
        <w:tc>
          <w:tcPr>
            <w:tcW w:type="dxa" w:w="2059"/>
            <w:vAlign w:val="center"/>
          </w:tcPr>
          <w:p>
            <w:pPr>
              <w:spacing w:before="20" w:after="20"/>
              <w:jc w:val="center"/>
            </w:pPr>
            <w:r>
              <w:rPr>
                <w:b w:val="0"/>
                <w:sz w:val="23"/>
              </w:rPr>
              <w:t>{{efw}} g +/- {{efw_error}} g</w:t>
            </w:r>
          </w:p>
        </w:tc>
        <w:tc>
          <w:tcPr>
            <w:tcW w:type="dxa" w:w="2808"/>
            <w:vAlign w:val="center"/>
          </w:tcPr>
          <w:p>
            <w:pPr>
              <w:spacing w:before="20" w:after="20"/>
            </w:pPr>
            <w:r>
              <w:rPr>
                <w:b/>
                <w:sz w:val="23"/>
              </w:rPr>
              <w:t>FL / AC</w:t>
            </w:r>
          </w:p>
        </w:tc>
        <w:tc>
          <w:tcPr>
            <w:tcW w:type="dxa" w:w="2530"/>
            <w:vAlign w:val="center"/>
          </w:tcPr>
          <w:p>
            <w:pPr>
              <w:spacing w:before="20" w:after="20"/>
              <w:jc w:val="center"/>
            </w:pPr>
            <w:r>
              <w:rPr>
                <w:b w:val="0"/>
                <w:sz w:val="23"/>
              </w:rPr>
              <w:t>{{fl_ac_ratio}} %</w:t>
            </w:r>
          </w:p>
        </w:tc>
      </w:tr>
    </w:tbl>
    <w:p>
      <w:pPr>
        <w:spacing w:after="0"/>
      </w:pPr>
    </w:p>
    <w:p>
      <w:pPr>
        <w:keepNext/>
        <w:spacing w:before="200" w:after="60"/>
      </w:pPr>
      <w:r>
        <w:rPr>
          <w:b/>
          <w:sz w:val="26"/>
        </w:rPr>
        <w:t>OTHER MEASUREMENTS</w:t>
      </w:r>
    </w:p>
    <w:tbl>
      <w:tblPr>
        <w:tblStyle w:val="TableGrid"/>
        <w:tblW w:type="auto" w:w="0"/>
        <w:tblLayout w:type="fixed"/>
        <w:tblLook w:firstColumn="1" w:firstRow="1" w:lastColumn="0" w:lastRow="0" w:noHBand="0" w:noVBand="1" w:val="04A0"/>
      </w:tblPr>
      <w:tblGrid>
        <w:gridCol w:w="2808"/>
        <w:gridCol w:w="2059"/>
        <w:gridCol w:w="2808"/>
        <w:gridCol w:w="2529"/>
      </w:tblGrid>
      <w:tr>
        <w:trPr>
          <w:cantSplit/>
        </w:trPr>
        <w:tc>
          <w:tcPr>
            <w:tcW w:type="dxa" w:w="2808"/>
            <w:vAlign w:val="center"/>
          </w:tcPr>
          <w:p>
            <w:pPr>
              <w:keepNext/>
              <w:spacing w:before="20" w:after="20"/>
            </w:pPr>
            <w:r>
              <w:rPr>
                <w:b/>
                <w:sz w:val="23"/>
              </w:rPr>
              <w:t>Parameter</w:t>
            </w:r>
          </w:p>
        </w:tc>
        <w:tc>
          <w:tcPr>
            <w:tcW w:type="dxa" w:w="2059"/>
            <w:vAlign w:val="center"/>
          </w:tcPr>
          <w:p>
            <w:pPr>
              <w:keepNext/>
              <w:spacing w:before="20" w:after="20"/>
              <w:jc w:val="center"/>
            </w:pPr>
            <w:r>
              <w:rPr>
                <w:b/>
                <w:sz w:val="23"/>
              </w:rPr>
              <w:t>Value</w:t>
            </w:r>
          </w:p>
        </w:tc>
        <w:tc>
          <w:tcPr>
            <w:tcW w:type="dxa" w:w="2808"/>
            <w:vAlign w:val="center"/>
          </w:tcPr>
          <w:p>
            <w:pPr>
              <w:keepNext/>
              <w:spacing w:before="20" w:after="20"/>
              <w:jc w:val="center"/>
            </w:pPr>
            <w:r>
              <w:rPr>
                <w:b/>
                <w:sz w:val="23"/>
              </w:rPr>
              <w:t>Parameter</w:t>
            </w:r>
          </w:p>
        </w:tc>
        <w:tc>
          <w:tcPr>
            <w:tcW w:type="dxa" w:w="2530"/>
            <w:vAlign w:val="center"/>
          </w:tcPr>
          <w:p>
            <w:pPr>
              <w:keepNext/>
              <w:spacing w:before="20" w:after="20"/>
              <w:jc w:val="center"/>
            </w:pPr>
            <w:r>
              <w:rPr>
                <w:b/>
                <w:sz w:val="23"/>
              </w:rPr>
              <w:t>Value</w:t>
            </w:r>
          </w:p>
        </w:tc>
      </w:tr>
      <w:tr>
        <w:trPr>
          <w:cantSplit/>
        </w:trPr>
        <w:tc>
          <w:tcPr>
            <w:tcW w:type="dxa" w:w="2808"/>
            <w:vAlign w:val="center"/>
          </w:tcPr>
          <w:p>
            <w:pPr>
              <w:keepNext/>
              <w:spacing w:before="20" w:after="20"/>
            </w:pPr>
            <w:r>
              <w:rPr>
                <w:b/>
                <w:sz w:val="23"/>
              </w:rPr>
              <w:t>Nasal bone length</w:t>
            </w:r>
          </w:p>
        </w:tc>
        <w:tc>
          <w:tcPr>
            <w:tcW w:type="dxa" w:w="2059"/>
            <w:vAlign w:val="center"/>
          </w:tcPr>
          <w:p>
            <w:pPr>
              <w:keepNext/>
              <w:spacing w:before="20" w:after="20"/>
              <w:jc w:val="center"/>
            </w:pPr>
            <w:r>
              <w:rPr>
                <w:b w:val="0"/>
                <w:sz w:val="23"/>
              </w:rPr>
              <w:t>{{nasal_bone_length}} mm</w:t>
            </w:r>
          </w:p>
        </w:tc>
        <w:tc>
          <w:tcPr>
            <w:tcW w:type="dxa" w:w="2808"/>
            <w:vAlign w:val="center"/>
          </w:tcPr>
          <w:p>
            <w:pPr>
              <w:keepNext/>
              <w:spacing w:before="20" w:after="20"/>
            </w:pPr>
            <w:r>
              <w:rPr>
                <w:b/>
                <w:sz w:val="23"/>
              </w:rPr>
              <w:t>Nuchal fold thickness</w:t>
            </w:r>
          </w:p>
        </w:tc>
        <w:tc>
          <w:tcPr>
            <w:tcW w:type="dxa" w:w="2530"/>
            <w:vAlign w:val="center"/>
          </w:tcPr>
          <w:p>
            <w:pPr>
              <w:keepNext/>
              <w:spacing w:before="20" w:after="20"/>
              <w:jc w:val="center"/>
            </w:pPr>
            <w:r>
              <w:rPr>
                <w:b w:val="0"/>
                <w:sz w:val="23"/>
              </w:rPr>
              <w:t>{{nuchal_fold}} mm</w:t>
            </w:r>
          </w:p>
        </w:tc>
      </w:tr>
      <w:tr>
        <w:trPr>
          <w:cantSplit/>
        </w:trPr>
        <w:tc>
          <w:tcPr>
            <w:tcW w:type="dxa" w:w="2808"/>
            <w:vAlign w:val="center"/>
          </w:tcPr>
          <w:p>
            <w:pPr>
              <w:keepNext/>
              <w:spacing w:before="20" w:after="20"/>
            </w:pPr>
            <w:r>
              <w:rPr>
                <w:b/>
                <w:sz w:val="23"/>
              </w:rPr>
              <w:t>Trans cerebellar diameter</w:t>
            </w:r>
          </w:p>
        </w:tc>
        <w:tc>
          <w:tcPr>
            <w:tcW w:type="dxa" w:w="2059"/>
            <w:vAlign w:val="center"/>
          </w:tcPr>
          <w:p>
            <w:pPr>
              <w:keepNext/>
              <w:spacing w:before="20" w:after="20"/>
              <w:jc w:val="center"/>
            </w:pPr>
            <w:r>
              <w:rPr>
                <w:b w:val="0"/>
                <w:sz w:val="23"/>
              </w:rPr>
              <w:t>{{tcd}} cm</w:t>
            </w:r>
          </w:p>
        </w:tc>
        <w:tc>
          <w:tcPr>
            <w:tcW w:type="dxa" w:w="2808"/>
            <w:vAlign w:val="center"/>
          </w:tcPr>
          <w:p>
            <w:pPr>
              <w:keepNext/>
              <w:spacing w:before="20" w:after="20"/>
            </w:pPr>
            <w:r>
              <w:rPr>
                <w:b/>
                <w:sz w:val="23"/>
              </w:rPr>
              <w:t>Cisterna magna</w:t>
            </w:r>
          </w:p>
        </w:tc>
        <w:tc>
          <w:tcPr>
            <w:tcW w:type="dxa" w:w="2530"/>
            <w:vAlign w:val="center"/>
          </w:tcPr>
          <w:p>
            <w:pPr>
              <w:keepNext/>
              <w:spacing w:before="20" w:after="20"/>
              <w:jc w:val="center"/>
            </w:pPr>
            <w:r>
              <w:rPr>
                <w:b w:val="0"/>
                <w:sz w:val="23"/>
              </w:rPr>
              <w:t>{{cisterna_magna}} cm</w:t>
            </w:r>
          </w:p>
        </w:tc>
      </w:tr>
      <w:tr>
        <w:trPr>
          <w:cantSplit/>
        </w:trPr>
        <w:tc>
          <w:tcPr>
            <w:tcW w:type="dxa" w:w="2808"/>
            <w:vAlign w:val="center"/>
          </w:tcPr>
          <w:p>
            <w:pPr>
              <w:spacing w:before="20" w:after="20"/>
            </w:pPr>
            <w:r>
              <w:rPr>
                <w:b/>
                <w:sz w:val="23"/>
              </w:rPr>
              <w:t>Lateral ventricular atrium</w:t>
            </w:r>
          </w:p>
        </w:tc>
        <w:tc>
          <w:tcPr>
            <w:tcW w:type="dxa" w:w="2059"/>
            <w:vAlign w:val="center"/>
          </w:tcPr>
          <w:p>
            <w:pPr>
              <w:spacing w:before="20" w:after="20"/>
              <w:jc w:val="center"/>
            </w:pPr>
            <w:r>
              <w:rPr>
                <w:b w:val="0"/>
                <w:sz w:val="23"/>
              </w:rPr>
              <w:t>{{lvta}} cm</w:t>
            </w:r>
          </w:p>
        </w:tc>
        <w:tc>
          <w:tcPr>
            <w:tcW w:type="dxa" w:w="2808"/>
            <w:vAlign w:val="center"/>
          </w:tcPr>
          <w:p>
            <w:pPr>
              <w:spacing w:before="20" w:after="20"/>
            </w:pPr>
            <w:r>
              <w:rPr>
                <w:b/>
                <w:sz w:val="23"/>
              </w:rPr>
            </w:r>
          </w:p>
        </w:tc>
        <w:tc>
          <w:tcPr>
            <w:tcW w:type="dxa" w:w="2530"/>
            <w:vAlign w:val="center"/>
          </w:tcPr>
          <w:p>
            <w:pPr>
              <w:spacing w:before="20" w:after="20"/>
              <w:jc w:val="center"/>
            </w:pPr>
            <w:r>
              <w:rPr>
                <w:b w:val="0"/>
                <w:sz w:val="23"/>
              </w:rPr>
            </w:r>
          </w:p>
        </w:tc>
      </w:tr>
    </w:tbl>
    <w:p>
      <w:pPr>
        <w:spacing w:after="0"/>
      </w:pPr>
    </w:p>
    <w:p>
      <w:pPr>
        <w:keepNext/>
        <w:spacing w:before="200" w:after="60"/>
      </w:pPr>
      <w:r>
        <w:rPr>
          <w:b/>
          <w:sz w:val="26"/>
        </w:rPr>
        <w:t>FOETAL ANATOMY</w:t>
      </w:r>
    </w:p>
    <w:tbl>
      <w:tblPr>
        <w:tblW w:type="auto" w:w="0"/>
        <w:tblLayout w:type="fixed"/>
        <w:tblLook w:firstColumn="1" w:firstRow="1" w:lastColumn="0" w:lastRow="0" w:noHBand="0" w:noVBand="1" w:val="04A0"/>
      </w:tblPr>
      <w:tblGrid>
        <w:gridCol w:w="2520"/>
        <w:gridCol w:w="7684"/>
      </w:tblGrid>
      <w:tr>
        <w:trPr>
          <w:cantSplit/>
        </w:trPr>
        <w:tc>
          <w:tcPr>
            <w:tcW w:type="dxa" w:w="2520"/>
          </w:tcPr>
          <w:p>
            <w:pPr>
              <w:spacing w:before="20" w:after="20"/>
            </w:pPr>
            <w:r>
              <w:rPr>
                <w:b/>
                <w:sz w:val="26"/>
              </w:rPr>
              <w:t>Foetal head:</w:t>
            </w:r>
          </w:p>
        </w:tc>
        <w:tc>
          <w:tcPr>
            <w:tcW w:type="dxa" w:w="7685"/>
          </w:tcPr>
          <w:p>
            <w:pPr>
              <w:spacing w:before="20" w:after="20"/>
            </w:pPr>
            <w:r>
              <w:rPr>
                <w:b w:val="0"/>
                <w:sz w:val="26"/>
              </w:rPr>
              <w:t>Foetal calvaria appears normal.</w:t>
            </w:r>
          </w:p>
          <w:p>
            <w:pPr>
              <w:spacing w:before="20" w:after="20"/>
            </w:pPr>
            <w:r>
              <w:rPr>
                <w:b w:val="0"/>
                <w:sz w:val="26"/>
              </w:rPr>
              <w:t>Thalami, cavum septum, ventricular system appear normal.</w:t>
            </w:r>
          </w:p>
          <w:p>
            <w:pPr>
              <w:spacing w:before="20" w:after="20"/>
            </w:pPr>
            <w:r>
              <w:rPr>
                <w:b w:val="0"/>
                <w:sz w:val="26"/>
              </w:rPr>
              <w:t>Posterior fossa structures appear to be normal up to visible extent.</w:t>
            </w:r>
          </w:p>
        </w:tc>
      </w:tr>
      <w:tr>
        <w:trPr>
          <w:cantSplit/>
        </w:trPr>
        <w:tc>
          <w:tcPr>
            <w:tcW w:type="dxa" w:w="2520"/>
          </w:tcPr>
          <w:p>
            <w:pPr>
              <w:spacing w:before="20" w:after="20"/>
            </w:pPr>
            <w:r>
              <w:rPr>
                <w:b/>
                <w:sz w:val="26"/>
              </w:rPr>
              <w:t>Foetal face:</w:t>
            </w:r>
          </w:p>
        </w:tc>
        <w:tc>
          <w:tcPr>
            <w:tcW w:type="dxa" w:w="7685"/>
          </w:tcPr>
          <w:p>
            <w:pPr>
              <w:spacing w:before="20" w:after="20"/>
            </w:pPr>
            <w:r>
              <w:rPr>
                <w:b w:val="0"/>
                <w:sz w:val="26"/>
              </w:rPr>
              <w:t>Orbits appear to be normal up to visible extent.</w:t>
            </w:r>
          </w:p>
          <w:p>
            <w:pPr>
              <w:spacing w:before="20" w:after="20"/>
            </w:pPr>
            <w:r>
              <w:rPr>
                <w:b w:val="0"/>
                <w:sz w:val="26"/>
              </w:rPr>
              <w:t>No E/O cleft lip.</w:t>
            </w:r>
          </w:p>
        </w:tc>
      </w:tr>
      <w:tr>
        <w:trPr>
          <w:cantSplit/>
        </w:trPr>
        <w:tc>
          <w:tcPr>
            <w:tcW w:type="dxa" w:w="2520"/>
          </w:tcPr>
          <w:p>
            <w:pPr>
              <w:spacing w:before="20" w:after="20"/>
            </w:pPr>
            <w:r>
              <w:rPr>
                <w:b/>
                <w:sz w:val="26"/>
              </w:rPr>
              <w:t>Foetal thorax:</w:t>
            </w:r>
          </w:p>
        </w:tc>
        <w:tc>
          <w:tcPr>
            <w:tcW w:type="dxa" w:w="7685"/>
          </w:tcPr>
          <w:p>
            <w:pPr>
              <w:spacing w:before="20" w:after="20"/>
            </w:pPr>
            <w:r>
              <w:rPr>
                <w:b w:val="0"/>
                <w:sz w:val="26"/>
              </w:rPr>
              <w:t>Both lungs seen.</w:t>
            </w:r>
          </w:p>
        </w:tc>
      </w:tr>
      <w:tr>
        <w:trPr>
          <w:cantSplit/>
        </w:trPr>
        <w:tc>
          <w:tcPr>
            <w:tcW w:type="dxa" w:w="2520"/>
          </w:tcPr>
          <w:p>
            <w:pPr>
              <w:spacing w:before="20" w:after="20"/>
            </w:pPr>
            <w:r>
              <w:rPr>
                <w:b/>
                <w:sz w:val="26"/>
              </w:rPr>
              <w:t>Foetal heart:</w:t>
            </w:r>
          </w:p>
        </w:tc>
        <w:tc>
          <w:tcPr>
            <w:tcW w:type="dxa" w:w="7685"/>
          </w:tcPr>
          <w:p>
            <w:pPr>
              <w:spacing w:before="20" w:after="20"/>
            </w:pPr>
            <w:r>
              <w:rPr>
                <w:b w:val="0"/>
                <w:sz w:val="26"/>
              </w:rPr>
              <w:t>Normal sinus rhythm. Situs solitus. Cardiac size and axis appear normal.</w:t>
            </w:r>
          </w:p>
          <w:p>
            <w:pPr>
              <w:spacing w:before="20" w:after="20"/>
            </w:pPr>
            <w:r>
              <w:rPr>
                <w:b/>
                <w:sz w:val="26"/>
              </w:rPr>
              <w:t xml:space="preserve">Four chamber view: </w:t>
            </w:r>
            <w:r>
              <w:rPr>
                <w:b w:val="0"/>
                <w:sz w:val="26"/>
              </w:rPr>
              <w:t>Both the atria and ventricles appear to be normal in size. 2 pulmonary veins seen draining into the left atrium. Crux visualized. AV valve insertion seen normal. Interventricular septum seen intact. Foramen ovale seen with flow from right to left atrium. Mitral valve and tricuspid valve appear normal. Flow across the valves: laminar flow.</w:t>
            </w:r>
          </w:p>
          <w:p>
            <w:pPr>
              <w:spacing w:before="20" w:after="20"/>
            </w:pPr>
            <w:r>
              <w:rPr>
                <w:b/>
                <w:sz w:val="26"/>
              </w:rPr>
              <w:t xml:space="preserve">LVOT: </w:t>
            </w:r>
            <w:r>
              <w:rPr>
                <w:b w:val="0"/>
                <w:sz w:val="26"/>
              </w:rPr>
              <w:t>Aortic valve appears normal. Flow across the valve: laminar flow. Septo-aortic continuation and septo-mitral continuation seen.</w:t>
            </w:r>
          </w:p>
          <w:p>
            <w:pPr>
              <w:spacing w:before="20" w:after="20"/>
            </w:pPr>
            <w:r>
              <w:rPr>
                <w:b/>
                <w:sz w:val="26"/>
              </w:rPr>
              <w:t xml:space="preserve">RVOT: </w:t>
            </w:r>
            <w:r>
              <w:rPr>
                <w:b w:val="0"/>
                <w:sz w:val="26"/>
              </w:rPr>
              <w:t>Pulmonary valve appears normal. Main pulmonary artery seen, appears normal.</w:t>
            </w:r>
          </w:p>
          <w:p>
            <w:pPr>
              <w:spacing w:before="20" w:after="20"/>
            </w:pPr>
            <w:r>
              <w:rPr>
                <w:b/>
                <w:sz w:val="26"/>
              </w:rPr>
              <w:t xml:space="preserve">3 vessel view: </w:t>
            </w:r>
            <w:r>
              <w:rPr>
                <w:b w:val="0"/>
                <w:sz w:val="26"/>
              </w:rPr>
              <w:t>Pulmonary artery, aorta and right SVC seen. Spatial alignment and size of the vessels appropriate.</w:t>
            </w:r>
          </w:p>
          <w:p>
            <w:pPr>
              <w:spacing w:before="20" w:after="20"/>
            </w:pPr>
            <w:r>
              <w:rPr>
                <w:b/>
                <w:sz w:val="26"/>
              </w:rPr>
              <w:t xml:space="preserve">3 vessel trachea view: </w:t>
            </w:r>
            <w:r>
              <w:rPr>
                <w:b w:val="0"/>
                <w:sz w:val="26"/>
              </w:rPr>
              <w:t>Ductal arch and transverse aortic arch seen and normal. Spatial alignment and size of the vessels: normal. Flow in the vessels: laminar flow.</w:t>
            </w:r>
          </w:p>
        </w:tc>
      </w:tr>
      <w:tr>
        <w:trPr>
          <w:cantSplit/>
        </w:trPr>
        <w:tc>
          <w:tcPr>
            <w:tcW w:type="dxa" w:w="2520"/>
          </w:tcPr>
          <w:p>
            <w:pPr>
              <w:spacing w:before="20" w:after="20"/>
            </w:pPr>
            <w:r>
              <w:rPr>
                <w:b/>
                <w:sz w:val="26"/>
              </w:rPr>
              <w:t>Foetal abdomen:</w:t>
            </w:r>
          </w:p>
        </w:tc>
        <w:tc>
          <w:tcPr>
            <w:tcW w:type="dxa" w:w="7685"/>
          </w:tcPr>
          <w:p>
            <w:pPr>
              <w:spacing w:before="20" w:after="20"/>
            </w:pPr>
            <w:r>
              <w:rPr>
                <w:b w:val="0"/>
                <w:sz w:val="26"/>
              </w:rPr>
              <w:t>Situs solitus noted. Stomach bubble seen.</w:t>
            </w:r>
          </w:p>
          <w:p>
            <w:pPr>
              <w:spacing w:before="20" w:after="20"/>
            </w:pPr>
            <w:r>
              <w:rPr>
                <w:b w:val="0"/>
                <w:sz w:val="26"/>
              </w:rPr>
              <w:t>Both kidneys well visualized. Urinary bladder seen.</w:t>
            </w:r>
          </w:p>
          <w:p>
            <w:pPr>
              <w:spacing w:before="20" w:after="20"/>
            </w:pPr>
            <w:r>
              <w:rPr>
                <w:b w:val="0"/>
                <w:sz w:val="26"/>
              </w:rPr>
              <w:t>Anterior abdominal wall appears to be normal.</w:t>
            </w:r>
          </w:p>
          <w:p>
            <w:pPr>
              <w:spacing w:before="20" w:after="20"/>
            </w:pPr>
            <w:r>
              <w:rPr>
                <w:b w:val="0"/>
                <w:sz w:val="26"/>
              </w:rPr>
              <w:t>Umbilical cord insertion site appears to be normal.</w:t>
            </w:r>
          </w:p>
        </w:tc>
      </w:tr>
      <w:tr>
        <w:trPr>
          <w:cantSplit/>
        </w:trPr>
        <w:tc>
          <w:tcPr>
            <w:tcW w:type="dxa" w:w="2520"/>
          </w:tcPr>
          <w:p>
            <w:pPr>
              <w:spacing w:before="20" w:after="20"/>
            </w:pPr>
            <w:r>
              <w:rPr>
                <w:b/>
                <w:sz w:val="26"/>
              </w:rPr>
              <w:t>Foetal limbs:</w:t>
            </w:r>
          </w:p>
        </w:tc>
        <w:tc>
          <w:tcPr>
            <w:tcW w:type="dxa" w:w="7685"/>
          </w:tcPr>
          <w:p>
            <w:pPr>
              <w:spacing w:before="20" w:after="20"/>
            </w:pPr>
            <w:r>
              <w:rPr>
                <w:b w:val="0"/>
                <w:sz w:val="26"/>
              </w:rPr>
              <w:t>Visualized extent of upper and lower limbs appear normal.</w:t>
            </w:r>
          </w:p>
          <w:p>
            <w:pPr>
              <w:spacing w:before="20" w:after="20"/>
            </w:pPr>
            <w:r>
              <w:rPr>
                <w:b w:val="0"/>
                <w:sz w:val="26"/>
              </w:rPr>
              <w:t>No evidence of focal limb abnormalities up to visible extent.</w:t>
            </w:r>
          </w:p>
        </w:tc>
      </w:tr>
      <w:tr>
        <w:trPr>
          <w:cantSplit/>
        </w:trPr>
        <w:tc>
          <w:tcPr>
            <w:tcW w:type="dxa" w:w="2520"/>
          </w:tcPr>
          <w:p>
            <w:pPr>
              <w:spacing w:before="20" w:after="20"/>
            </w:pPr>
            <w:r>
              <w:rPr>
                <w:b/>
                <w:sz w:val="26"/>
              </w:rPr>
              <w:t>Foetal spine:</w:t>
            </w:r>
          </w:p>
        </w:tc>
        <w:tc>
          <w:tcPr>
            <w:tcW w:type="dxa" w:w="7685"/>
          </w:tcPr>
          <w:p>
            <w:pPr>
              <w:spacing w:before="20" w:after="20"/>
            </w:pPr>
            <w:r>
              <w:rPr>
                <w:b w:val="0"/>
                <w:sz w:val="26"/>
              </w:rPr>
              <w:t>Foetal spine appears normal in both long and transverse scans up to visible extent.</w:t>
            </w:r>
          </w:p>
        </w:tc>
      </w:tr>
      <w:tr>
        <w:trPr>
          <w:cantSplit/>
        </w:trPr>
        <w:tc>
          <w:tcPr>
            <w:tcW w:type="dxa" w:w="2520"/>
          </w:tcPr>
          <w:p>
            <w:pPr>
              <w:spacing w:before="20" w:after="20"/>
            </w:pPr>
            <w:r>
              <w:rPr>
                <w:b/>
                <w:sz w:val="26"/>
              </w:rPr>
              <w:t>Liquor:</w:t>
            </w:r>
          </w:p>
        </w:tc>
        <w:tc>
          <w:tcPr>
            <w:tcW w:type="dxa" w:w="7685"/>
          </w:tcPr>
          <w:p>
            <w:pPr>
              <w:spacing w:before="20" w:after="20"/>
            </w:pPr>
            <w:r>
              <w:rPr>
                <w:b w:val="0"/>
                <w:sz w:val="26"/>
              </w:rPr>
              <w:t>Adequate.</w:t>
            </w:r>
          </w:p>
        </w:tc>
      </w:tr>
      <w:tr>
        <w:trPr>
          <w:cantSplit/>
        </w:trPr>
        <w:tc>
          <w:tcPr>
            <w:tcW w:type="dxa" w:w="2520"/>
          </w:tcPr>
          <w:p>
            <w:pPr>
              <w:spacing w:before="20" w:after="20"/>
            </w:pPr>
            <w:r>
              <w:rPr>
                <w:b/>
                <w:sz w:val="26"/>
              </w:rPr>
              <w:t>Placenta:</w:t>
            </w:r>
          </w:p>
        </w:tc>
        <w:tc>
          <w:tcPr>
            <w:tcW w:type="dxa" w:w="7685"/>
          </w:tcPr>
          <w:p>
            <w:pPr>
              <w:spacing w:before="20" w:after="20"/>
            </w:pPr>
            <w:r>
              <w:rPr>
                <w:b w:val="0"/>
                <w:sz w:val="26"/>
              </w:rPr>
              <w:t>Located in posterior, grade 1 to 2. Lower limit of placenta situated well away from the internal OS.</w:t>
            </w:r>
          </w:p>
        </w:tc>
      </w:tr>
      <w:tr>
        <w:trPr>
          <w:cantSplit/>
        </w:trPr>
        <w:tc>
          <w:tcPr>
            <w:tcW w:type="dxa" w:w="2520"/>
          </w:tcPr>
          <w:p>
            <w:pPr>
              <w:spacing w:before="20" w:after="20"/>
            </w:pPr>
            <w:r>
              <w:rPr>
                <w:b/>
                <w:sz w:val="26"/>
              </w:rPr>
              <w:t>Cervix:</w:t>
            </w:r>
          </w:p>
        </w:tc>
        <w:tc>
          <w:tcPr>
            <w:tcW w:type="dxa" w:w="7685"/>
          </w:tcPr>
          <w:p>
            <w:pPr>
              <w:spacing w:before="20" w:after="20"/>
            </w:pPr>
            <w:r>
              <w:rPr>
                <w:b w:val="0"/>
                <w:sz w:val="26"/>
              </w:rPr>
              <w:t>Length {{cervix_length}} cm, internal OS closed.</w:t>
            </w:r>
          </w:p>
        </w:tc>
      </w:tr>
      <w:tr>
        <w:trPr>
          <w:cantSplit/>
        </w:trPr>
        <w:tc>
          <w:tcPr>
            <w:tcW w:type="dxa" w:w="2520"/>
          </w:tcPr>
          <w:p>
            <w:pPr>
              <w:spacing w:before="20" w:after="20"/>
            </w:pPr>
            <w:r>
              <w:rPr>
                <w:b/>
                <w:sz w:val="26"/>
              </w:rPr>
              <w:t>Umbilical cord:</w:t>
            </w:r>
          </w:p>
        </w:tc>
        <w:tc>
          <w:tcPr>
            <w:tcW w:type="dxa" w:w="7685"/>
          </w:tcPr>
          <w:p>
            <w:pPr>
              <w:spacing w:before="20" w:after="20"/>
            </w:pPr>
            <w:r>
              <w:rPr>
                <w:b w:val="0"/>
                <w:sz w:val="26"/>
              </w:rPr>
              <w:t>Three vessel cord. No cord around the neck noted at present scan.</w:t>
            </w:r>
          </w:p>
        </w:tc>
      </w:tr>
    </w:tbl>
    <w:p>
      <w:pPr>
        <w:keepNext/>
        <w:spacing w:before="200" w:after="60"/>
      </w:pPr>
      <w:r>
        <w:rPr>
          <w:b/>
          <w:sz w:val="26"/>
        </w:rPr>
        <w:t>UTERINE ARTERY DOPPLER</w:t>
      </w:r>
    </w:p>
    <w:tbl>
      <w:tblPr>
        <w:tblStyle w:val="TableGrid"/>
        <w:tblW w:type="auto" w:w="0"/>
        <w:tblLayout w:type="fixed"/>
        <w:tblLook w:firstColumn="1" w:firstRow="1" w:lastColumn="0" w:lastRow="0" w:noHBand="0" w:noVBand="1" w:val="04A0"/>
      </w:tblPr>
      <w:tblGrid>
        <w:gridCol w:w="4320"/>
        <w:gridCol w:w="2304"/>
      </w:tblGrid>
      <w:tr>
        <w:trPr>
          <w:cantSplit/>
        </w:trPr>
        <w:tc>
          <w:tcPr>
            <w:tcW w:type="dxa" w:w="4320"/>
            <w:vAlign w:val="center"/>
          </w:tcPr>
          <w:p>
            <w:pPr>
              <w:keepNext/>
              <w:spacing w:before="20" w:after="20"/>
            </w:pPr>
            <w:r>
              <w:rPr>
                <w:b/>
                <w:sz w:val="23"/>
              </w:rPr>
              <w:t>Artery</w:t>
            </w:r>
          </w:p>
        </w:tc>
        <w:tc>
          <w:tcPr>
            <w:tcW w:type="dxa" w:w="2304"/>
            <w:vAlign w:val="center"/>
          </w:tcPr>
          <w:p>
            <w:pPr>
              <w:keepNext/>
              <w:spacing w:before="20" w:after="20"/>
              <w:jc w:val="center"/>
            </w:pPr>
            <w:r>
              <w:rPr>
                <w:b/>
                <w:sz w:val="23"/>
              </w:rPr>
              <w:t>PI</w:t>
            </w:r>
          </w:p>
        </w:tc>
      </w:tr>
      <w:tr>
        <w:trPr>
          <w:cantSplit/>
        </w:trPr>
        <w:tc>
          <w:tcPr>
            <w:tcW w:type="dxa" w:w="4320"/>
            <w:vAlign w:val="center"/>
          </w:tcPr>
          <w:p>
            <w:pPr>
              <w:keepNext/>
              <w:spacing w:before="20" w:after="20"/>
            </w:pPr>
            <w:r>
              <w:rPr>
                <w:b/>
                <w:sz w:val="23"/>
              </w:rPr>
              <w:t>Right uterine artery</w:t>
            </w:r>
          </w:p>
        </w:tc>
        <w:tc>
          <w:tcPr>
            <w:tcW w:type="dxa" w:w="2304"/>
            <w:vAlign w:val="center"/>
          </w:tcPr>
          <w:p>
            <w:pPr>
              <w:keepNext/>
              <w:spacing w:before="20" w:after="20"/>
              <w:jc w:val="center"/>
            </w:pPr>
            <w:r>
              <w:rPr>
                <w:b w:val="0"/>
                <w:sz w:val="23"/>
              </w:rPr>
              <w:t>{{doppler_right_pi}}</w:t>
            </w:r>
          </w:p>
        </w:tc>
      </w:tr>
      <w:tr>
        <w:trPr>
          <w:cantSplit/>
        </w:trPr>
        <w:tc>
          <w:tcPr>
            <w:tcW w:type="dxa" w:w="4320"/>
            <w:vAlign w:val="center"/>
          </w:tcPr>
          <w:p>
            <w:pPr>
              <w:spacing w:before="20" w:after="20"/>
            </w:pPr>
            <w:r>
              <w:rPr>
                <w:b/>
                <w:sz w:val="23"/>
              </w:rPr>
              <w:t>Left uterine artery</w:t>
            </w:r>
          </w:p>
        </w:tc>
        <w:tc>
          <w:tcPr>
            <w:tcW w:type="dxa" w:w="2304"/>
            <w:vAlign w:val="center"/>
          </w:tcPr>
          <w:p>
            <w:pPr>
              <w:spacing w:before="20" w:after="20"/>
              <w:jc w:val="center"/>
            </w:pPr>
            <w:r>
              <w:rPr>
                <w:b w:val="0"/>
                <w:sz w:val="23"/>
              </w:rPr>
              <w:t>{{doppler_left_pi}}</w:t>
            </w:r>
          </w:p>
        </w:tc>
      </w:tr>
    </w:tbl>
    <w:p>
      <w:pPr>
        <w:spacing w:after="0"/>
      </w:pPr>
    </w:p>
    <w:p>
      <w:pPr>
        <w:keepNext/>
        <w:spacing w:before="200" w:after="60"/>
      </w:pPr>
      <w:r>
        <w:rPr>
          <w:b/>
          <w:sz w:val="26"/>
        </w:rPr>
        <w:t>IMPRESSION</w:t>
      </w:r>
    </w:p>
    <w:p>
      <w:pPr>
        <w:pStyle w:val="ListBullet"/>
      </w:pPr>
      <w:r>
        <w:rPr>
          <w:b/>
        </w:rPr>
        <w:t>Single live intrauterine gestation corresponding to ~{{aua_weeks}} weeks {{aua_days}} days by scan and {{ga_lmp_weeks}} weeks {{ga_lmp_days}} days by LMP.</w:t>
      </w:r>
    </w:p>
    <w:p>
      <w:pPr>
        <w:pStyle w:val="ListBullet"/>
      </w:pPr>
      <w:r>
        <w:rPr>
          <w:b/>
        </w:rPr>
        <w:t>No other obvious structural congenital abnormalities for this gestation.</w:t>
      </w:r>
    </w:p>
    <w:p>
      <w:pPr>
        <w:pStyle w:val="ListBullet"/>
      </w:pPr>
      <w:r>
        <w:rPr>
          <w:b/>
        </w:rPr>
        <w:t>Basic cardiac screening appears to be normal for this gestation.</w:t>
      </w:r>
    </w:p>
    <w:p>
      <w:pPr>
        <w:pStyle w:val="ListBullet"/>
      </w:pPr>
      <w:r>
        <w:rPr>
          <w:b/>
        </w:rPr>
        <w:t>Uterine artery Doppler study shows normal flow.</w:t>
      </w:r>
    </w:p>
    <w:p>
      <w:pPr>
        <w:spacing w:before="80"/>
      </w:pPr>
      <w:r>
        <w:rPr>
          <w:b/>
        </w:rPr>
        <w:t xml:space="preserve">Adv: </w:t>
      </w:r>
      <w:r>
        <w:rPr>
          <w:b/>
        </w:rPr>
        <w:t>Follow up scan at 30 weeks.</w:t>
      </w:r>
    </w:p>
    <w:p>
      <w:pPr>
        <w:spacing w:before="160"/>
      </w:pPr>
      <w:r>
        <w:rPr>
          <w:b/>
          <w:sz w:val="20"/>
        </w:rPr>
        <w:t>Note:</w:t>
      </w:r>
      <w:r>
        <w:br/>
      </w:r>
      <w:r>
        <w:rPr>
          <w:sz w:val="20"/>
        </w:rPr>
        <w:t>Down's syndrome can't be diagnosed on the basis of USG alone.</w:t>
      </w:r>
      <w:r>
        <w:br/>
      </w:r>
      <w:r>
        <w:rPr>
          <w:sz w:val="20"/>
        </w:rPr>
        <w:t>Detection of Down's syndrome by: sequential screening (combined quadruple 15-19 weeks + genetic sonogram at 18-20 weeks) - 95%; maternal blood test for cell free foetal DNA - 99%.</w:t>
      </w:r>
      <w:r>
        <w:br/>
      </w:r>
      <w:r>
        <w:rPr>
          <w:sz w:val="20"/>
        </w:rPr>
        <w:t>Invasive testing (CVS/amniocentesis), which is a definitive test, has a procedure related risk of about 1:200.</w:t>
      </w:r>
      <w:r>
        <w:br/>
      </w:r>
      <w:r>
        <w:rPr>
          <w:sz w:val="20"/>
        </w:rPr>
        <w:t>This has been explained to the patient and attendant.</w:t>
      </w:r>
      <w:r>
        <w:br/>
      </w:r>
      <w:r>
        <w:rPr>
          <w:sz w:val="20"/>
        </w:rPr>
        <w:t># Ultrasound can't detect all congenital anomalies; the detection rate of congenital anomalies by anomaly scan is 60 to 80%.</w:t>
      </w:r>
      <w:r>
        <w:br/>
      </w:r>
      <w:r>
        <w:rPr>
          <w:sz w:val="20"/>
        </w:rPr>
        <w:t>Please note: all abnormalities and genetic syndromes cannot be ruled out by ultrasound examination; ultrasound examination has its own limitations. Some abnormalities evolve as the gestation advances; the detection rate of abnormality depends on gestational age of the foetus, foetal position, tissue penetration of sound waves and patient body habitus.</w:t>
      </w:r>
    </w:p>
    <w:p>
      <w:pPr>
        <w:keepNext/>
        <w:spacing w:before="200"/>
      </w:pPr>
      <w:r>
        <w:rPr>
          <w:b/>
          <w:sz w:val="20"/>
        </w:rPr>
        <w:t>DECLARATION OF DOCTOR/PERSON CONDUCTING ULTRASONOGRAPHY / IMAGE SCANNING</w:t>
      </w:r>
    </w:p>
    <w:p>
      <w:pPr>
        <w:keepNext/>
        <w:jc w:val="both"/>
      </w:pPr>
      <w:r>
        <w:rPr>
          <w:sz w:val="20"/>
        </w:rPr>
        <w:t>I, {{doctor_name}}, declare that while conducting ultrasonography / image scanning on Mrs. {{patient_name}}, I have neither detected nor disclosed the sex of her foetus to anybody in any manner.</w:t>
      </w:r>
    </w:p>
    <w:p>
      <w:pPr>
        <w:keepNext/>
        <w:spacing w:before="720"/>
        <w:jc w:val="right"/>
      </w:pPr>
      <w:r>
        <w:rPr>
          <w:b/>
        </w:rPr>
        <w:t>{{doctor_name}}</w:t>
      </w:r>
    </w:p>
    <w:p>
      <w:pPr>
        <w:jc w:val="right"/>
      </w:pPr>
      <w:r>
        <w:t>{{doctor_qual}}</w:t>
      </w:r>
    </w:p>
    <w:sectPr w:rsidR="00FC693F" w:rsidRPr="0006063C" w:rsidSect="00034616">
      <w:footerReference w:type="default" r:id="rId9"/>
      <w:pgSz w:w="11906" w:h="16838"/>
      <w:pgMar w:top="1984" w:right="850" w:bottom="1814" w:left="850" w:header="720" w:footer="14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{{patient_name}}   |   Page </w:t>
    </w:r>
    <w:fldSimple w:instr="PAGE">
      <w:r>
        <w:rPr>
          <w:sz w:val="18"/>
        </w:rPr>
        <w:t>1</w:t>
      </w:r>
    </w:fldSimple>
    <w:r>
      <w:rPr>
        <w:sz w:val="18"/>
      </w:rPr>
      <w:t xml:space="preserve"> of </w:t>
    </w:r>
    <w:fldSimple w:instr="NUMPAGES">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eastAsia="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