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Type of study: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Growth assessment and biophysical profile only.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Route: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Trans abdominal.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 with cephalic presentation.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BIOMETRIC 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073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BPD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{{bpd}}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HC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{{hc}}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AC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{{ac}}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FL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{{fl}}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EFW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{{efw}} g +/- {{efw_error}} g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AFI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{{afi}}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Biophysical profile: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Foetal maturity: femoral ossification centre noted and tibial appearing.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tone and movements are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breathing movements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cardiac activity good. FHR: {{fhr}} BPM.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U/S biophysical scoring 8/8.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AFI: {{afi}}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3. Lower limit of placenta situated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cervix measuring {{cervix_length}}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Umbilical cord: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E/O cord around the neck noted at the time of scanning.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DOPPLER STUDY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Umbilical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{{doppler_umbilical_pi}}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MCA flow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{{doppler_mca_pi}}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CPR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{{cpr}}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by scan and {{ga_lmp_weeks}} weeks {{ga_lmp_days}} days by LMP.</w:t>
      </w:r>
    </w:p>
    <w:p>
      <w:pPr>
        <w:pStyle w:val="ListBullet"/>
      </w:pPr>
      <w:r>
        <w:rPr>
          <w:b/>
        </w:rPr>
        <w:t>Doppler study was normal at present scan.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anatomy (limbs, spine, cardiac, etc.) can't be made out in detail at this stage due to advanced gestational age and unaccommodating foetal position; the ideal time to study the foetal anatomy is 20 to 22 weeks. This has been explained to the patient and attendant.</w:t>
      </w:r>
      <w:r>
        <w:br/>
      </w:r>
      <w:r>
        <w:rPr>
          <w:sz w:val="18"/>
        </w:rPr>
        <w:t># All congenital anomalies can't be detected by antenatal ultrasound.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