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OBSTETRIC ULTRASOUND REPORT (NT SCAN)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2692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LMP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{{lmp}}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{{clinical_details}}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GESTATIONAL 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268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By scan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{{aua_weeks}} weeks {{aua_days}} days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{{edd_scan}}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{{edd_lmp}}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BIOMETRY AND ANEUPLOIDY MARKERS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059"/>
        <w:gridCol w:w="2808"/>
        <w:gridCol w:w="2073"/>
      </w:tblGrid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Value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207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Value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CRL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{{crl}} cm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Foetal heart rate</w:t>
            </w:r>
          </w:p>
        </w:tc>
        <w:tc>
          <w:tcPr>
            <w:tcW w:type="dxa" w:w="207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{{fhr}} BPM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Nuchal translucency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{{nt}} mm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Nasal bone</w:t>
            </w:r>
          </w:p>
        </w:tc>
        <w:tc>
          <w:tcPr>
            <w:tcW w:type="dxa" w:w="207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{{nasal_bone}} mm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Ductus venosus flow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Normal 'a' wave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</w:r>
          </w:p>
        </w:tc>
        <w:tc>
          <w:tcPr>
            <w:tcW w:type="dxa" w:w="207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Foetus: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Single live foetus.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Liquor: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Adequate.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Placenta: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Located in posterior, grade 1. Lower limit of placenta is seen well away from the internal OS.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Cervix: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Length {{cervix_length}} cm, internal OS closed.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Ovaries &amp; adnexa: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UTERINE ARTERY DOPPLER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Artery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PI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Right uterine artery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{{doppler_right_pi}}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Left uterine artery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{{doppler_left_pi}}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FIRST TRIMESTER SCREENING FOR DOWN'S SYNDROME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Maternal age risk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1 in {{maternal_age_risk}}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Risk estimate (foetus)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1 in {{nt_risk}}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{{aua_weeks}} weeks {{aua_days}} days according to scan with good FHR, normal NT and nasal bone.</w:t>
      </w:r>
    </w:p>
    <w:p>
      <w:pPr>
        <w:spacing w:before="80"/>
      </w:pPr>
      <w:r>
        <w:rPr>
          <w:b/>
        </w:rPr>
        <w:t xml:space="preserve">Adv: </w:t>
      </w:r>
      <w:r>
        <w:rPr>
          <w:b/>
        </w:rPr>
        <w:t>Anomaly scan at 20 weeks.</w:t>
      </w:r>
    </w:p>
    <w:p>
      <w:pPr>
        <w:spacing w:before="160"/>
      </w:pPr>
      <w:r>
        <w:rPr>
          <w:b/>
          <w:sz w:val="18"/>
        </w:rPr>
        <w:t>Note:</w:t>
      </w:r>
      <w:r>
        <w:br/>
      </w:r>
      <w:r>
        <w:rPr>
          <w:sz w:val="18"/>
        </w:rPr>
        <w:t>Foetal heart, spine, face and kidneys cannot be well assessed at this stage of pregnancy. These regions can be assessed in the 20 to 24 weeks scan.</w:t>
      </w:r>
      <w:r>
        <w:br/>
      </w:r>
      <w:r>
        <w:rPr>
          <w:sz w:val="18"/>
        </w:rPr>
        <w:t>Down's syndrome can't be diagnosed on the basis of USG alone. The risk ratio indicates risk rates; it is not definitive testing.</w:t>
      </w:r>
      <w:r>
        <w:br/>
      </w:r>
      <w:r>
        <w:rPr>
          <w:sz w:val="18"/>
        </w:rPr>
        <w:t>Detection of Down's syndrome by: first trimester NT only - 64 to 70%; first trimester combined (NT + maternal blood test) - 80 to 85%; sequential screening (combined quadruple 15-19 weeks + genetic sonogram at 18-20 weeks) - 95%; maternal blood test for cell free foetal DNA - 99%.</w:t>
      </w:r>
      <w:r>
        <w:br/>
      </w:r>
      <w:r>
        <w:rPr>
          <w:sz w:val="18"/>
        </w:rPr>
        <w:t>Invasive testing (CVS/amniocentesis), which is a definitive test, has a procedure related risk of about 1:200.</w:t>
      </w:r>
      <w:r>
        <w:br/>
      </w:r>
      <w:r>
        <w:rPr>
          <w:sz w:val="18"/>
        </w:rPr>
        <w:t>This has been explained to the patient and attendant.</w:t>
      </w:r>
    </w:p>
    <w:p>
      <w:pPr>
        <w:keepNext/>
        <w:spacing w:before="200"/>
      </w:pPr>
      <w:r>
        <w:rPr>
          <w:b/>
          <w:sz w:val="18"/>
        </w:rPr>
        <w:t>DECLARATION OF DOCTOR/PERSON CONDUCTING ULTRASONOGRAPHY / IMAGE SCANNING</w:t>
      </w:r>
    </w:p>
    <w:p>
      <w:pPr>
        <w:keepNext/>
        <w:jc w:val="both"/>
      </w:pPr>
      <w:r>
        <w:rPr>
          <w:sz w:val="18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9" w:h="16834"/>
      <w:pgMar w:top="2160" w:right="1080" w:bottom="1440" w:left="1080" w:header="720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