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44"/>
          <w:szCs w:val="44"/>
          <w:u w:val="single"/>
        </w:rPr>
      </w:pPr>
      <w:r w:rsidDel="00000000" w:rsidR="00000000" w:rsidRPr="00000000">
        <w:rPr>
          <w:b w:val="1"/>
          <w:bCs w:val="1"/>
          <w:sz w:val="44"/>
          <w:szCs w:val="44"/>
          <w:u w:val="single"/>
          <w:rtl w:val="0"/>
        </w:rPr>
        <w:t xml:space="preserve">TASK: Assess a newly disclosed vulnerability and determine organizational impact.</w:t>
      </w:r>
    </w:p>
    <w:p w:rsidR="00000000" w:rsidDel="00000000" w:rsidP="00000000" w:rsidRDefault="00000000" w:rsidRPr="00000000" w14:paraId="00000002">
      <w:pPr>
        <w:spacing w:after="160" w:lineRule="auto"/>
        <w:rPr/>
      </w:pPr>
      <w:r w:rsidDel="00000000" w:rsidR="00000000" w:rsidRPr="00000000">
        <w:rPr>
          <w:b w:val="1"/>
          <w:bCs w:val="1"/>
          <w:rtl w:val="0"/>
        </w:rPr>
        <w:t xml:space="preserve">Name: </w:t>
      </w:r>
      <w:r w:rsidDel="00000000" w:rsidR="00000000" w:rsidRPr="00000000">
        <w:rPr>
          <w:rtl w:val="0"/>
        </w:rPr>
        <w:t xml:space="preserve">Solanki Chetna</w:t>
      </w:r>
    </w:p>
    <w:p w:rsidR="00000000" w:rsidDel="00000000" w:rsidP="00000000" w:rsidRDefault="00000000" w:rsidRPr="00000000" w14:paraId="00000003">
      <w:pPr>
        <w:spacing w:after="160" w:lineRule="auto"/>
        <w:rPr/>
      </w:pPr>
      <w:r w:rsidDel="00000000" w:rsidR="00000000" w:rsidRPr="00000000">
        <w:rPr>
          <w:b w:val="1"/>
          <w:bCs w:val="1"/>
          <w:rtl w:val="0"/>
        </w:rPr>
        <w:t xml:space="preserve">Date:</w:t>
      </w:r>
      <w:r w:rsidDel="00000000" w:rsidR="00000000" w:rsidRPr="00000000">
        <w:rPr>
          <w:rtl w:val="0"/>
        </w:rPr>
        <w:t xml:space="preserve"> Thursday, August 13, 2026</w:t>
      </w:r>
    </w:p>
    <w:p w:rsidR="00000000" w:rsidDel="00000000" w:rsidP="00000000" w:rsidRDefault="00000000" w:rsidRPr="00000000" w14:paraId="00000004">
      <w:pPr>
        <w:spacing w:after="160" w:lineRule="auto"/>
        <w:rPr/>
      </w:pPr>
      <w:r w:rsidDel="00000000" w:rsidR="00000000" w:rsidRPr="00000000">
        <w:rPr>
          <w:b w:val="1"/>
          <w:bCs w:val="1"/>
          <w:rtl w:val="0"/>
        </w:rPr>
        <w:t xml:space="preserve">CVE:</w:t>
      </w:r>
      <w:r w:rsidDel="00000000" w:rsidR="00000000" w:rsidRPr="00000000">
        <w:rPr>
          <w:rtl w:val="0"/>
        </w:rPr>
        <w:t xml:space="preserve"> CVE-2026-63077</w:t>
      </w:r>
    </w:p>
    <w:p w:rsidR="00000000" w:rsidDel="00000000" w:rsidP="00000000" w:rsidRDefault="00000000" w:rsidRPr="00000000" w14:paraId="00000005">
      <w:pPr>
        <w:spacing w:after="160" w:lineRule="auto"/>
        <w:rPr/>
      </w:pPr>
      <w:r w:rsidDel="00000000" w:rsidR="00000000" w:rsidRPr="00000000">
        <w:rPr>
          <w:b w:val="1"/>
          <w:bCs w:val="1"/>
          <w:rtl w:val="0"/>
        </w:rPr>
        <w:t xml:space="preserve">Vulnerability:</w:t>
      </w:r>
      <w:r w:rsidDel="00000000" w:rsidR="00000000" w:rsidRPr="00000000">
        <w:rPr>
          <w:rtl w:val="0"/>
        </w:rPr>
        <w:t xml:space="preserve"> JetBrains TeamCity Deserialization of Untrusted Data Vulnerability</w:t>
      </w:r>
    </w:p>
    <w:p w:rsidR="00000000" w:rsidDel="00000000" w:rsidP="00000000" w:rsidRDefault="00000000" w:rsidRPr="00000000" w14:paraId="00000006">
      <w:pPr>
        <w:spacing w:after="160" w:lineRule="auto"/>
        <w:rPr/>
      </w:pPr>
      <w:r w:rsidDel="00000000" w:rsidR="00000000" w:rsidRPr="00000000">
        <w:rPr>
          <w:b w:val="1"/>
          <w:bCs w:val="1"/>
          <w:rtl w:val="0"/>
        </w:rPr>
        <w:t xml:space="preserve">Threat Priority:</w:t>
      </w:r>
      <w:r w:rsidDel="00000000" w:rsidR="00000000" w:rsidRPr="00000000">
        <w:rPr>
          <w:rtl w:val="0"/>
        </w:rPr>
        <w:t xml:space="preserve"> CRITICAL</w:t>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2510"/>
        <w:gridCol w:w="2525"/>
        <w:tblGridChange w:id="0">
          <w:tblGrid>
            <w:gridCol w:w="4145"/>
            <w:gridCol w:w="2510"/>
            <w:gridCol w:w="2525"/>
          </w:tblGrid>
        </w:tblGridChange>
      </w:tblGrid>
      <w:tr>
        <w:trPr>
          <w:cantSplit w:val="0"/>
          <w:trHeight w:val="690"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7">
            <w:pPr>
              <w:spacing w:after="160" w:lineRule="auto"/>
              <w:jc w:val="center"/>
              <w:rPr>
                <w:b w:val="1"/>
                <w:bCs w:val="1"/>
                <w:sz w:val="36"/>
                <w:szCs w:val="36"/>
              </w:rPr>
            </w:pPr>
            <w:r w:rsidDel="00000000" w:rsidR="00000000" w:rsidRPr="00000000">
              <w:rPr>
                <w:b w:val="1"/>
                <w:bCs w:val="1"/>
                <w:sz w:val="36"/>
                <w:szCs w:val="36"/>
                <w:rtl w:val="0"/>
              </w:rPr>
              <w:t xml:space="preserve">Criteria</w:t>
            </w:r>
          </w:p>
        </w:tc>
        <w:tc>
          <w:tcPr>
            <w:gridSpan w:val="2"/>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8">
            <w:pPr>
              <w:spacing w:after="160" w:lineRule="auto"/>
              <w:jc w:val="center"/>
              <w:rPr>
                <w:b w:val="1"/>
                <w:bCs w:val="1"/>
                <w:sz w:val="36"/>
                <w:szCs w:val="36"/>
              </w:rPr>
            </w:pPr>
            <w:r w:rsidDel="00000000" w:rsidR="00000000" w:rsidRPr="00000000">
              <w:rPr>
                <w:b w:val="1"/>
                <w:bCs w:val="1"/>
                <w:sz w:val="36"/>
                <w:szCs w:val="36"/>
                <w:rtl w:val="0"/>
              </w:rPr>
              <w:t xml:space="preserve">Assessment</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0A">
            <w:pPr>
              <w:spacing w:after="160" w:lineRule="auto"/>
              <w:rPr/>
            </w:pPr>
            <w:r w:rsidDel="00000000" w:rsidR="00000000" w:rsidRPr="00000000">
              <w:rPr>
                <w:rtl w:val="0"/>
              </w:rPr>
              <w:t xml:space="preserve">CVE ID</w:t>
            </w:r>
          </w:p>
        </w:tc>
        <w:tc>
          <w:tcPr>
            <w:gridSpan w:val="2"/>
            <w:tcBorders>
              <w:top w:color="000000" w:space="0" w:sz="5" w:val="single"/>
              <w:left w:color="000000" w:space="0" w:sz="0" w:val="nil"/>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0B">
            <w:pPr>
              <w:spacing w:after="160" w:lineRule="auto"/>
              <w:rPr>
                <w:b w:val="1"/>
                <w:bCs w:val="1"/>
              </w:rPr>
            </w:pPr>
            <w:r w:rsidDel="00000000" w:rsidR="00000000" w:rsidRPr="00000000">
              <w:rPr>
                <w:b w:val="1"/>
                <w:bCs w:val="1"/>
                <w:rtl w:val="0"/>
              </w:rPr>
              <w:t xml:space="preserve">CVE-2026-63077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0D">
            <w:pPr>
              <w:spacing w:after="160" w:lineRule="auto"/>
              <w:rPr/>
            </w:pPr>
            <w:r w:rsidDel="00000000" w:rsidR="00000000" w:rsidRPr="00000000">
              <w:rPr>
                <w:rtl w:val="0"/>
              </w:rPr>
              <w:t xml:space="preserve">CVSS Score</w:t>
            </w:r>
          </w:p>
        </w:tc>
        <w:tc>
          <w:tcPr>
            <w:gridSpan w:val="2"/>
            <w:tcBorders>
              <w:top w:color="000000" w:space="0" w:sz="5" w:val="single"/>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0E">
            <w:pPr>
              <w:spacing w:after="160" w:lineRule="auto"/>
              <w:rPr>
                <w:b w:val="1"/>
                <w:bCs w:val="1"/>
              </w:rPr>
            </w:pPr>
            <w:r w:rsidDel="00000000" w:rsidR="00000000" w:rsidRPr="00000000">
              <w:rPr>
                <w:b w:val="1"/>
                <w:bCs w:val="1"/>
                <w:rtl w:val="0"/>
              </w:rPr>
              <w:t xml:space="preserve">9.8 – CRITICAL</w:t>
            </w:r>
          </w:p>
        </w:tc>
      </w:tr>
      <w:tr>
        <w:trPr>
          <w:cantSplit w:val="0"/>
          <w:trHeight w:val="525"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0">
            <w:pPr>
              <w:spacing w:after="160" w:lineRule="auto"/>
              <w:rPr/>
            </w:pPr>
            <w:r w:rsidDel="00000000" w:rsidR="00000000" w:rsidRPr="00000000">
              <w:rPr>
                <w:rtl w:val="0"/>
              </w:rPr>
              <w:t xml:space="preserve">Affected Products</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1">
            <w:pPr>
              <w:spacing w:after="160" w:lineRule="auto"/>
              <w:rPr>
                <w:b w:val="1"/>
                <w:bCs w:val="1"/>
              </w:rPr>
            </w:pPr>
            <w:r w:rsidDel="00000000" w:rsidR="00000000" w:rsidRPr="00000000">
              <w:rPr>
                <w:b w:val="1"/>
                <w:bCs w:val="1"/>
                <w:rtl w:val="0"/>
              </w:rPr>
              <w:t xml:space="preserve">JetBrains TeamCity On-Premises</w:t>
            </w:r>
          </w:p>
        </w:tc>
      </w:tr>
      <w:tr>
        <w:trPr>
          <w:cantSplit w:val="0"/>
          <w:trHeight w:val="525" w:hRule="atLeast"/>
          <w:tblHeader w:val="0"/>
        </w:trPr>
        <w:tc>
          <w:tcPr>
            <w:tcBorders>
              <w:top w:color="000000" w:space="0" w:sz="5" w:val="single"/>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3">
            <w:pPr>
              <w:spacing w:after="160" w:lineRule="auto"/>
              <w:rPr/>
            </w:pPr>
            <w:r w:rsidDel="00000000" w:rsidR="00000000" w:rsidRPr="00000000">
              <w:rPr>
                <w:rtl w:val="0"/>
              </w:rPr>
              <w:t xml:space="preserve">Exploit Available?</w:t>
            </w:r>
          </w:p>
        </w:tc>
        <w:tc>
          <w:tcPr>
            <w:gridSpan w:val="2"/>
            <w:tcBorders>
              <w:top w:color="000000" w:space="0" w:sz="0" w:val="nil"/>
              <w:left w:color="000000" w:space="0" w:sz="0" w:val="nil"/>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4">
            <w:pPr>
              <w:spacing w:after="160" w:lineRule="auto"/>
              <w:rPr>
                <w:b w:val="1"/>
                <w:bCs w:val="1"/>
              </w:rPr>
            </w:pPr>
            <w:r w:rsidDel="00000000" w:rsidR="00000000" w:rsidRPr="00000000">
              <w:rPr>
                <w:b w:val="1"/>
                <w:bCs w:val="1"/>
                <w:rtl w:val="0"/>
              </w:rPr>
              <w:t xml:space="preserve">Yes</w:t>
            </w:r>
          </w:p>
        </w:tc>
      </w:tr>
      <w:tr>
        <w:trPr>
          <w:cantSplit w:val="0"/>
          <w:trHeight w:val="525" w:hRule="atLeast"/>
          <w:tblHeader w:val="0"/>
        </w:trPr>
        <w:tc>
          <w:tcPr>
            <w:tcBorders>
              <w:top w:color="000000" w:space="0" w:sz="5" w:val="single"/>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6">
            <w:pPr>
              <w:spacing w:after="160" w:lineRule="auto"/>
              <w:rPr/>
            </w:pPr>
            <w:r w:rsidDel="00000000" w:rsidR="00000000" w:rsidRPr="00000000">
              <w:rPr>
                <w:rtl w:val="0"/>
              </w:rPr>
              <w:t xml:space="preserve">In CISA KEV?</w:t>
            </w:r>
          </w:p>
        </w:tc>
        <w:tc>
          <w:tcPr>
            <w:gridSpan w:val="2"/>
            <w:tcBorders>
              <w:top w:color="000000" w:space="0" w:sz="5" w:val="single"/>
              <w:left w:color="000000" w:space="0" w:sz="0" w:val="nil"/>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7">
            <w:pPr>
              <w:spacing w:after="160" w:lineRule="auto"/>
              <w:rPr>
                <w:b w:val="1"/>
                <w:bCs w:val="1"/>
              </w:rPr>
            </w:pPr>
            <w:r w:rsidDel="00000000" w:rsidR="00000000" w:rsidRPr="00000000">
              <w:rPr>
                <w:b w:val="1"/>
                <w:bCs w:val="1"/>
                <w:rtl w:val="0"/>
              </w:rPr>
              <w:t xml:space="preserve">Yes</w:t>
            </w:r>
          </w:p>
        </w:tc>
      </w:tr>
      <w:tr>
        <w:trPr>
          <w:cantSplit w:val="0"/>
          <w:trHeight w:val="525" w:hRule="atLeast"/>
          <w:tblHeader w:val="0"/>
        </w:trPr>
        <w:tc>
          <w:tcPr>
            <w:tcBorders>
              <w:top w:color="000000" w:space="0" w:sz="5" w:val="single"/>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9">
            <w:pPr>
              <w:spacing w:after="160" w:lineRule="auto"/>
              <w:rPr/>
            </w:pPr>
            <w:r w:rsidDel="00000000" w:rsidR="00000000" w:rsidRPr="00000000">
              <w:rPr>
                <w:rtl w:val="0"/>
              </w:rPr>
              <w:t xml:space="preserve">PoC Available?</w:t>
            </w:r>
          </w:p>
        </w:tc>
        <w:tc>
          <w:tcPr>
            <w:gridSpan w:val="2"/>
            <w:tcBorders>
              <w:top w:color="000000" w:space="0" w:sz="5" w:val="single"/>
              <w:left w:color="000000" w:space="0" w:sz="0" w:val="nil"/>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A">
            <w:pPr>
              <w:spacing w:after="160" w:lineRule="auto"/>
              <w:rPr>
                <w:b w:val="1"/>
                <w:bCs w:val="1"/>
              </w:rPr>
            </w:pPr>
            <w:r w:rsidDel="00000000" w:rsidR="00000000" w:rsidRPr="00000000">
              <w:rPr>
                <w:b w:val="1"/>
                <w:bCs w:val="1"/>
                <w:rtl w:val="0"/>
              </w:rPr>
              <w:t xml:space="preserve">Yes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C">
            <w:pPr>
              <w:spacing w:after="160" w:lineRule="auto"/>
              <w:rPr/>
            </w:pPr>
            <w:r w:rsidDel="00000000" w:rsidR="00000000" w:rsidRPr="00000000">
              <w:rPr>
                <w:rtl w:val="0"/>
              </w:rPr>
              <w:t xml:space="preserve">Attack Complexity</w:t>
            </w:r>
          </w:p>
        </w:tc>
        <w:tc>
          <w:tcPr>
            <w:gridSpan w:val="2"/>
            <w:tcBorders>
              <w:top w:color="000000" w:space="0" w:sz="5" w:val="single"/>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D">
            <w:pPr>
              <w:spacing w:after="160" w:lineRule="auto"/>
              <w:rPr>
                <w:b w:val="1"/>
                <w:bCs w:val="1"/>
              </w:rPr>
            </w:pPr>
            <w:r w:rsidDel="00000000" w:rsidR="00000000" w:rsidRPr="00000000">
              <w:rPr>
                <w:b w:val="1"/>
                <w:bCs w:val="1"/>
                <w:rtl w:val="0"/>
              </w:rPr>
              <w:t xml:space="preserve">Low</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1F">
            <w:pPr>
              <w:spacing w:after="160" w:lineRule="auto"/>
              <w:rPr/>
            </w:pPr>
            <w:r w:rsidDel="00000000" w:rsidR="00000000" w:rsidRPr="00000000">
              <w:rPr>
                <w:rtl w:val="0"/>
              </w:rPr>
              <w:t xml:space="preserve">Required Privileges</w:t>
            </w:r>
          </w:p>
        </w:tc>
        <w:tc>
          <w:tcPr>
            <w:gridSpan w:val="2"/>
            <w:tcBorders>
              <w:top w:color="000000" w:space="0" w:sz="0" w:val="nil"/>
              <w:left w:color="000000" w:space="0" w:sz="0" w:val="nil"/>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20">
            <w:pPr>
              <w:spacing w:after="160" w:lineRule="auto"/>
              <w:rPr>
                <w:b w:val="1"/>
                <w:bCs w:val="1"/>
              </w:rPr>
            </w:pPr>
            <w:r w:rsidDel="00000000" w:rsidR="00000000" w:rsidRPr="00000000">
              <w:rPr>
                <w:b w:val="1"/>
                <w:bCs w:val="1"/>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22">
            <w:pPr>
              <w:spacing w:after="160" w:lineRule="auto"/>
              <w:rPr/>
            </w:pPr>
            <w:r w:rsidDel="00000000" w:rsidR="00000000" w:rsidRPr="00000000">
              <w:rPr>
                <w:rtl w:val="0"/>
              </w:rPr>
              <w:t xml:space="preserve">Detection</w:t>
            </w:r>
          </w:p>
        </w:tc>
        <w:tc>
          <w:tcPr>
            <w:gridSpan w:val="2"/>
            <w:tcBorders>
              <w:top w:color="000000" w:space="0" w:sz="5" w:val="single"/>
              <w:left w:color="000000" w:space="0" w:sz="0" w:val="nil"/>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23">
            <w:pPr>
              <w:spacing w:after="160" w:lineRule="auto"/>
              <w:rPr>
                <w:b w:val="1"/>
                <w:bCs w:val="1"/>
              </w:rPr>
            </w:pPr>
            <w:r w:rsidDel="00000000" w:rsidR="00000000" w:rsidRPr="00000000">
              <w:rPr>
                <w:b w:val="1"/>
                <w:bCs w:val="1"/>
                <w:rtl w:val="0"/>
              </w:rPr>
              <w:t xml:space="preserve">Possible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25">
            <w:pPr>
              <w:spacing w:after="160" w:lineRule="auto"/>
              <w:rPr/>
            </w:pPr>
            <w:r w:rsidDel="00000000" w:rsidR="00000000" w:rsidRPr="00000000">
              <w:rPr>
                <w:rtl w:val="0"/>
              </w:rPr>
              <w:t xml:space="preserve">Mitigation</w:t>
            </w:r>
          </w:p>
        </w:tc>
        <w:tc>
          <w:tcPr>
            <w:gridSpan w:val="2"/>
            <w:tcBorders>
              <w:top w:color="000000" w:space="0" w:sz="5" w:val="single"/>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26">
            <w:pPr>
              <w:spacing w:after="160" w:lineRule="auto"/>
              <w:rPr>
                <w:b w:val="1"/>
                <w:bCs w:val="1"/>
              </w:rPr>
            </w:pPr>
            <w:r w:rsidDel="00000000" w:rsidR="00000000" w:rsidRPr="00000000">
              <w:rPr>
                <w:b w:val="1"/>
                <w:bCs w:val="1"/>
                <w:rtl w:val="0"/>
              </w:rPr>
              <w:t xml:space="preserve">Available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28">
            <w:pPr>
              <w:spacing w:after="160" w:lineRule="auto"/>
              <w:rPr/>
            </w:pPr>
            <w:r w:rsidDel="00000000" w:rsidR="00000000" w:rsidRPr="00000000">
              <w:rPr>
                <w:rtl w:val="0"/>
              </w:rPr>
              <w:t xml:space="preserve">Threat Priority</w:t>
            </w:r>
          </w:p>
        </w:tc>
        <w:tc>
          <w:tcPr>
            <w:gridSpan w:val="2"/>
            <w:tcBorders>
              <w:top w:color="000000" w:space="0" w:sz="5" w:val="single"/>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29">
            <w:pPr>
              <w:spacing w:after="160" w:lineRule="auto"/>
              <w:rPr>
                <w:b w:val="1"/>
                <w:bCs w:val="1"/>
              </w:rPr>
            </w:pPr>
            <w:r w:rsidDel="00000000" w:rsidR="00000000" w:rsidRPr="00000000">
              <w:rPr>
                <w:b w:val="1"/>
                <w:bCs w:val="1"/>
                <w:rtl w:val="0"/>
              </w:rPr>
              <w:t xml:space="preserve">CRITICAL</w:t>
            </w:r>
          </w:p>
        </w:tc>
      </w:tr>
      <w:tr>
        <w:trPr>
          <w:cantSplit w:val="0"/>
          <w:trHeight w:val="525" w:hRule="atLeast"/>
          <w:tblHeader w:val="0"/>
        </w:trPr>
        <w:tc>
          <w:tcPr>
            <w:gridSpan w:val="2"/>
            <w:tcBorders>
              <w:top w:color="000000" w:space="0" w:sz="0" w:val="nil"/>
              <w:left w:color="000000" w:space="0" w:sz="0" w:val="nil"/>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spacing w:after="160" w:lineRule="auto"/>
        <w:rPr>
          <w:sz w:val="28"/>
          <w:szCs w:val="28"/>
        </w:rPr>
      </w:pPr>
      <w:r w:rsidDel="00000000" w:rsidR="00000000" w:rsidRPr="00000000">
        <w:rPr>
          <w:sz w:val="28"/>
          <w:szCs w:val="28"/>
          <w:rtl w:val="0"/>
        </w:rPr>
        <w:t xml:space="preserve">CVE-2026-63077 should be treated as an immediate critical threat for organizations using affected TeamCity On-Premises versions. The vulnerability allows an unauthenticated attacker with HTTP(S) access to execute arbitrary operating-system commands, and a public PoC is available. The vulnerability is also listed in CISA's KEV catalog, and JetBrains has reported active and attempted exploitation of unpatched servers. Organizations should immediately upgrade to TeamCity 2025.11.7 or 2026.1.3, or apply JetBrains' security patch plugin if upgrading is temporarily not possible.</w:t>
      </w:r>
    </w:p>
    <w:p w:rsidR="00000000" w:rsidDel="00000000" w:rsidP="00000000" w:rsidRDefault="00000000" w:rsidRPr="00000000" w14:paraId="00000032">
      <w:pPr>
        <w:spacing w:after="160" w:lineRule="auto"/>
        <w:rPr>
          <w:b w:val="1"/>
          <w:bCs w:val="1"/>
          <w:sz w:val="32"/>
          <w:szCs w:val="32"/>
          <w:u w:val="single"/>
        </w:rPr>
      </w:pPr>
      <w:r w:rsidDel="00000000" w:rsidR="00000000" w:rsidRPr="00000000">
        <w:rPr>
          <w:b w:val="1"/>
          <w:bCs w:val="1"/>
          <w:sz w:val="32"/>
          <w:szCs w:val="32"/>
          <w:u w:val="single"/>
          <w:rtl w:val="0"/>
        </w:rPr>
        <w:t xml:space="preserve">SOURCES</w:t>
      </w:r>
    </w:p>
    <w:p w:rsidR="00000000" w:rsidDel="00000000" w:rsidP="00000000" w:rsidRDefault="00000000" w:rsidRPr="00000000" w14:paraId="00000033">
      <w:pPr>
        <w:spacing w:after="160" w:lineRule="auto"/>
        <w:rPr/>
      </w:pPr>
      <w:r w:rsidDel="00000000" w:rsidR="00000000" w:rsidRPr="00000000">
        <w:rPr>
          <w:b w:val="1"/>
          <w:bCs w:val="1"/>
          <w:rtl w:val="0"/>
        </w:rPr>
        <w:t xml:space="preserve">NVD- </w:t>
      </w:r>
      <w:r w:rsidDel="00000000" w:rsidR="00000000" w:rsidRPr="00000000">
        <w:rPr>
          <w:rtl w:val="0"/>
        </w:rPr>
        <w:t xml:space="preserve">CVE-2026-63077 Details</w:t>
      </w:r>
    </w:p>
    <w:p w:rsidR="00000000" w:rsidDel="00000000" w:rsidP="00000000" w:rsidRDefault="00000000" w:rsidRPr="00000000" w14:paraId="00000034">
      <w:pPr>
        <w:spacing w:after="160" w:lineRule="auto"/>
        <w:rPr>
          <w:color w:val="1155cc"/>
          <w:u w:val="single"/>
        </w:rPr>
      </w:pPr>
      <w:hyperlink r:id="rId6">
        <w:r w:rsidDel="00000000" w:rsidR="00000000" w:rsidRPr="00000000">
          <w:rPr>
            <w:color w:val="1155cc"/>
            <w:u w:val="single"/>
            <w:rtl w:val="0"/>
          </w:rPr>
          <w:t xml:space="preserve">https://nvd.nist.gov/vuln/detail/CVE-2026-63077</w:t>
        </w:r>
      </w:hyperlink>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b w:val="1"/>
          <w:bCs w:val="1"/>
          <w:rtl w:val="0"/>
        </w:rPr>
        <w:t xml:space="preserve">JetBrains-</w:t>
      </w:r>
      <w:r w:rsidDel="00000000" w:rsidR="00000000" w:rsidRPr="00000000">
        <w:rPr>
          <w:rtl w:val="0"/>
        </w:rPr>
        <w:t xml:space="preserve"> Official security advisory</w:t>
      </w:r>
    </w:p>
    <w:p w:rsidR="00000000" w:rsidDel="00000000" w:rsidP="00000000" w:rsidRDefault="00000000" w:rsidRPr="00000000" w14:paraId="00000036">
      <w:pPr>
        <w:spacing w:after="160" w:lineRule="auto"/>
        <w:rPr>
          <w:color w:val="1155cc"/>
          <w:u w:val="single"/>
        </w:rPr>
      </w:pPr>
      <w:hyperlink r:id="rId7">
        <w:r w:rsidDel="00000000" w:rsidR="00000000" w:rsidRPr="00000000">
          <w:rPr>
            <w:color w:val="1155cc"/>
            <w:u w:val="single"/>
            <w:rtl w:val="0"/>
          </w:rPr>
          <w:t xml:space="preserve">https://blog.jetbrains.com/teamcity/2026/07/cve-2026-63077/</w:t>
        </w:r>
      </w:hyperlink>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t xml:space="preserve">Rapid7/GitHub:</w:t>
      </w:r>
    </w:p>
    <w:p w:rsidR="00000000" w:rsidDel="00000000" w:rsidP="00000000" w:rsidRDefault="00000000" w:rsidRPr="00000000" w14:paraId="00000038">
      <w:pPr>
        <w:spacing w:after="160" w:lineRule="auto"/>
        <w:rPr>
          <w:color w:val="1155cc"/>
          <w:u w:val="single"/>
        </w:rPr>
      </w:pPr>
      <w:hyperlink r:id="rId8">
        <w:r w:rsidDel="00000000" w:rsidR="00000000" w:rsidRPr="00000000">
          <w:rPr>
            <w:color w:val="1155cc"/>
            <w:u w:val="single"/>
            <w:rtl w:val="0"/>
          </w:rPr>
          <w:t xml:space="preserve">https://github.com/sfewer-r7/CVE-2026-63077</w:t>
        </w:r>
      </w:hyperlink>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vd.nist.gov/vuln/detail/CVE-2026-63077" TargetMode="External"/><Relationship Id="rId7" Type="http://schemas.openxmlformats.org/officeDocument/2006/relationships/hyperlink" Target="https://blog.jetbrains.com/teamcity/2026/07/cve-2026-63077/" TargetMode="External"/><Relationship Id="rId8" Type="http://schemas.openxmlformats.org/officeDocument/2006/relationships/hyperlink" Target="https://github.com/sfewer-r7/CVE-2026-63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