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rPr>
          <w:b w:val="1"/>
          <w:bCs w:val="1"/>
          <w:sz w:val="48"/>
          <w:szCs w:val="48"/>
          <w:u w:val="single"/>
        </w:rPr>
      </w:pPr>
      <w:r w:rsidDel="00000000" w:rsidR="00000000" w:rsidRPr="00000000">
        <w:rPr>
          <w:b w:val="1"/>
          <w:bCs w:val="1"/>
          <w:sz w:val="48"/>
          <w:szCs w:val="48"/>
          <w:u w:val="single"/>
          <w:rtl w:val="0"/>
        </w:rPr>
        <w:t xml:space="preserve">Task: Emerging Malware Brief</w:t>
      </w:r>
    </w:p>
    <w:p w:rsidR="00000000" w:rsidDel="00000000" w:rsidP="00000000" w:rsidRDefault="00000000" w:rsidRPr="00000000" w14:paraId="00000002">
      <w:pPr>
        <w:spacing w:after="160" w:lineRule="auto"/>
        <w:rPr/>
      </w:pPr>
      <w:r w:rsidDel="00000000" w:rsidR="00000000" w:rsidRPr="00000000">
        <w:rPr>
          <w:rtl w:val="0"/>
        </w:rPr>
        <w:t xml:space="preserve">Title: DarkGate Malware Analysis</w:t>
      </w:r>
    </w:p>
    <w:p w:rsidR="00000000" w:rsidDel="00000000" w:rsidP="00000000" w:rsidRDefault="00000000" w:rsidRPr="00000000" w14:paraId="00000003">
      <w:pPr>
        <w:spacing w:after="160" w:lineRule="auto"/>
        <w:rPr/>
      </w:pPr>
      <w:r w:rsidDel="00000000" w:rsidR="00000000" w:rsidRPr="00000000">
        <w:rPr>
          <w:rtl w:val="0"/>
        </w:rPr>
        <w:t xml:space="preserve">Name: Chetna Solanki</w:t>
        <w:br w:type="textWrapping"/>
        <w:t xml:space="preserve">Date: August 12, 2026</w:t>
        <w:br w:type="textWrapping"/>
        <w:t xml:space="preserve">Severity: HIGH</w:t>
      </w:r>
    </w:p>
    <w:p w:rsidR="00000000" w:rsidDel="00000000" w:rsidP="00000000" w:rsidRDefault="00000000" w:rsidRPr="00000000" w14:paraId="00000004">
      <w:pPr>
        <w:spacing w:after="160" w:lineRule="auto"/>
        <w:rPr>
          <w:b w:val="1"/>
          <w:bCs w:val="1"/>
          <w:u w:val="single"/>
        </w:rPr>
      </w:pPr>
      <w:r w:rsidDel="00000000" w:rsidR="00000000" w:rsidRPr="00000000">
        <w:rPr>
          <w:b w:val="1"/>
          <w:bCs w:val="1"/>
          <w:u w:val="single"/>
          <w:rtl w:val="0"/>
        </w:rPr>
        <w:t xml:space="preserve">EXECUTIVE SUMMARY</w:t>
      </w:r>
    </w:p>
    <w:p w:rsidR="00000000" w:rsidDel="00000000" w:rsidP="00000000" w:rsidRDefault="00000000" w:rsidRPr="00000000" w14:paraId="00000005">
      <w:pPr>
        <w:spacing w:after="160" w:lineRule="auto"/>
        <w:rPr/>
      </w:pPr>
      <w:r w:rsidDel="00000000" w:rsidR="00000000" w:rsidRPr="00000000">
        <w:rPr>
          <w:rtl w:val="0"/>
        </w:rPr>
        <w:t xml:space="preserve">      </w:t>
        <w:tab/>
        <w:t xml:space="preserve">DarkGate is a malware-as-a-service (MaaS) malware that can be used by cybercriminals to gain access to victims’ computers and steal sensitive information. It can also provide attackers with remote access and the ability to download and execute additional malicious payloads, making it a significant threat to organizations.</w:t>
      </w:r>
    </w:p>
    <w:p w:rsidR="00000000" w:rsidDel="00000000" w:rsidP="00000000" w:rsidRDefault="00000000" w:rsidRPr="00000000" w14:paraId="00000006">
      <w:pPr>
        <w:spacing w:after="160" w:lineRule="auto"/>
        <w:rPr>
          <w:b w:val="1"/>
          <w:bCs w:val="1"/>
          <w:sz w:val="28"/>
          <w:szCs w:val="28"/>
          <w:u w:val="single"/>
        </w:rPr>
      </w:pPr>
      <w:r w:rsidDel="00000000" w:rsidR="00000000" w:rsidRPr="00000000">
        <w:rPr>
          <w:b w:val="1"/>
          <w:bCs w:val="1"/>
          <w:sz w:val="28"/>
          <w:szCs w:val="28"/>
          <w:u w:val="single"/>
          <w:rtl w:val="0"/>
        </w:rPr>
        <w:t xml:space="preserve">OVERVIEW</w:t>
      </w:r>
    </w:p>
    <w:p w:rsidR="00000000" w:rsidDel="00000000" w:rsidP="00000000" w:rsidRDefault="00000000" w:rsidRPr="00000000" w14:paraId="00000007">
      <w:pPr>
        <w:numPr>
          <w:ilvl w:val="0"/>
          <w:numId w:val="3"/>
        </w:numPr>
        <w:ind w:left="720" w:hanging="360"/>
      </w:pPr>
      <w:r w:rsidDel="00000000" w:rsidR="00000000" w:rsidRPr="00000000">
        <w:rPr>
          <w:b w:val="1"/>
          <w:bCs w:val="1"/>
          <w:rtl w:val="0"/>
        </w:rPr>
        <w:t xml:space="preserve">What is it?</w:t>
        <w:br w:type="textWrapping"/>
      </w:r>
      <w:r w:rsidDel="00000000" w:rsidR="00000000" w:rsidRPr="00000000">
        <w:rPr>
          <w:rtl w:val="0"/>
        </w:rPr>
        <w:t xml:space="preserve">       </w:t>
        <w:tab/>
        <w:t xml:space="preserve">DarkGate is a malware that belongs to the Remote Access Trojan (RAT) and loader category. It was observed being used by multiple cybercrime actors and was spread through different methods such as email, Microsoft Teams, Skype, malvertising, and fake browser updates.</w:t>
      </w:r>
    </w:p>
    <w:p w:rsidR="00000000" w:rsidDel="00000000" w:rsidP="00000000" w:rsidRDefault="00000000" w:rsidRPr="00000000" w14:paraId="00000008">
      <w:pPr>
        <w:numPr>
          <w:ilvl w:val="0"/>
          <w:numId w:val="3"/>
        </w:numPr>
        <w:ind w:left="720" w:hanging="360"/>
      </w:pPr>
      <w:r w:rsidDel="00000000" w:rsidR="00000000" w:rsidRPr="00000000">
        <w:rPr>
          <w:b w:val="1"/>
          <w:bCs w:val="1"/>
          <w:rtl w:val="0"/>
        </w:rPr>
        <w:t xml:space="preserve">When discovered?</w:t>
        <w:br w:type="textWrapping"/>
        <w:t xml:space="preserve"> </w:t>
      </w:r>
      <w:r w:rsidDel="00000000" w:rsidR="00000000" w:rsidRPr="00000000">
        <w:rPr>
          <w:rtl w:val="0"/>
        </w:rPr>
        <w:t xml:space="preserve">     </w:t>
        <w:tab/>
        <w:t xml:space="preserve">DarkGate was first observed in use in 2018. Proofpoint reported increased DarkGate activity during the summer and fall of 2023, including multiple email campaigns between September and November 2023.</w:t>
      </w:r>
    </w:p>
    <w:p w:rsidR="00000000" w:rsidDel="00000000" w:rsidP="00000000" w:rsidRDefault="00000000" w:rsidRPr="00000000" w14:paraId="00000009">
      <w:pPr>
        <w:numPr>
          <w:ilvl w:val="0"/>
          <w:numId w:val="3"/>
        </w:numPr>
        <w:ind w:left="720" w:hanging="360"/>
      </w:pPr>
      <w:r w:rsidDel="00000000" w:rsidR="00000000" w:rsidRPr="00000000">
        <w:rPr>
          <w:b w:val="1"/>
          <w:bCs w:val="1"/>
          <w:rtl w:val="0"/>
        </w:rPr>
        <w:t xml:space="preserve">Primary capabilities</w:t>
        <w:br w:type="textWrapping"/>
      </w:r>
      <w:r w:rsidDel="00000000" w:rsidR="00000000" w:rsidRPr="00000000">
        <w:rPr>
          <w:rtl w:val="0"/>
        </w:rPr>
        <w:t xml:space="preserve">          </w:t>
        <w:tab/>
        <w:t xml:space="preserve">DarkGate can be used to steal information and download additional malware payloads. It can also provide attackers with access to an infected system and support </w:t>
      </w:r>
    </w:p>
    <w:p w:rsidR="00000000" w:rsidDel="00000000" w:rsidP="00000000" w:rsidRDefault="00000000" w:rsidRPr="00000000" w14:paraId="0000000A">
      <w:pPr>
        <w:ind w:left="720" w:firstLine="0"/>
        <w:rPr/>
      </w:pPr>
      <w:r w:rsidDel="00000000" w:rsidR="00000000" w:rsidRPr="00000000">
        <w:rPr>
          <w:rtl w:val="0"/>
        </w:rPr>
        <w:t xml:space="preserve">further malicious activity.</w:t>
      </w:r>
    </w:p>
    <w:p w:rsidR="00000000" w:rsidDel="00000000" w:rsidP="00000000" w:rsidRDefault="00000000" w:rsidRPr="00000000" w14:paraId="0000000B">
      <w:pPr>
        <w:spacing w:after="160" w:lineRule="auto"/>
        <w:rPr>
          <w:b w:val="1"/>
          <w:bCs w:val="1"/>
          <w:sz w:val="28"/>
          <w:szCs w:val="28"/>
          <w:u w:val="single"/>
        </w:rPr>
      </w:pPr>
      <w:r w:rsidDel="00000000" w:rsidR="00000000" w:rsidRPr="00000000">
        <w:rPr>
          <w:rtl w:val="0"/>
        </w:rPr>
      </w:r>
    </w:p>
    <w:p w:rsidR="00000000" w:rsidDel="00000000" w:rsidP="00000000" w:rsidRDefault="00000000" w:rsidRPr="00000000" w14:paraId="0000000C">
      <w:pPr>
        <w:spacing w:after="160" w:lineRule="auto"/>
        <w:rPr>
          <w:b w:val="1"/>
          <w:bCs w:val="1"/>
          <w:sz w:val="28"/>
          <w:szCs w:val="28"/>
          <w:u w:val="single"/>
        </w:rPr>
      </w:pPr>
      <w:r w:rsidDel="00000000" w:rsidR="00000000" w:rsidRPr="00000000">
        <w:rPr>
          <w:b w:val="1"/>
          <w:bCs w:val="1"/>
          <w:sz w:val="28"/>
          <w:szCs w:val="28"/>
          <w:u w:val="single"/>
          <w:rtl w:val="0"/>
        </w:rPr>
        <w:t xml:space="preserve">ATTACK CHAIN</w:t>
      </w:r>
    </w:p>
    <w:p w:rsidR="00000000" w:rsidDel="00000000" w:rsidP="00000000" w:rsidRDefault="00000000" w:rsidRPr="00000000" w14:paraId="0000000D">
      <w:pPr>
        <w:numPr>
          <w:ilvl w:val="0"/>
          <w:numId w:val="2"/>
        </w:numPr>
        <w:ind w:left="720" w:hanging="360"/>
      </w:pPr>
      <w:r w:rsidDel="00000000" w:rsidR="00000000" w:rsidRPr="00000000">
        <w:rPr>
          <w:b w:val="1"/>
          <w:bCs w:val="1"/>
          <w:u w:val="single"/>
          <w:rtl w:val="0"/>
        </w:rPr>
        <w:t xml:space="preserve">Delivery method</w:t>
      </w:r>
      <w:r w:rsidDel="00000000" w:rsidR="00000000" w:rsidRPr="00000000">
        <w:rPr>
          <w:rtl w:val="0"/>
        </w:rPr>
        <w:t xml:space="preserve">:  DarkGate was delivered through phishing emails and fake browser update campaigns. Proofpoint also observed delivery through Microsoft Teams, Skype, malvertising, and compromised websites.</w:t>
      </w:r>
    </w:p>
    <w:p w:rsidR="00000000" w:rsidDel="00000000" w:rsidP="00000000" w:rsidRDefault="00000000" w:rsidRPr="00000000" w14:paraId="0000000E">
      <w:pPr>
        <w:numPr>
          <w:ilvl w:val="0"/>
          <w:numId w:val="2"/>
        </w:numPr>
        <w:ind w:left="720" w:hanging="360"/>
      </w:pPr>
      <w:r w:rsidDel="00000000" w:rsidR="00000000" w:rsidRPr="00000000">
        <w:rPr>
          <w:b w:val="1"/>
          <w:bCs w:val="1"/>
          <w:u w:val="single"/>
          <w:rtl w:val="0"/>
        </w:rPr>
        <w:t xml:space="preserve">Execution process:</w:t>
      </w:r>
      <w:r w:rsidDel="00000000" w:rsidR="00000000" w:rsidRPr="00000000">
        <w:rPr>
          <w:rtl w:val="0"/>
        </w:rPr>
        <w:t xml:space="preserve">   In one observed October 2023 campaign, the attack chain was:</w:t>
      </w:r>
    </w:p>
    <w:p w:rsidR="00000000" w:rsidDel="00000000" w:rsidP="00000000" w:rsidRDefault="00000000" w:rsidRPr="00000000" w14:paraId="0000000F">
      <w:pPr>
        <w:spacing w:after="160" w:lineRule="auto"/>
        <w:ind w:left="720" w:firstLine="0"/>
        <w:rPr/>
      </w:pPr>
      <w:r w:rsidDel="00000000" w:rsidR="00000000" w:rsidRPr="00000000">
        <w:rPr/>
        <w:drawing>
          <wp:inline distB="114300" distT="114300" distL="114300" distR="114300">
            <wp:extent cx="5740400" cy="9017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40400" cy="9017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spacing w:after="160" w:lineRule="auto"/>
        <w:rPr/>
      </w:pPr>
      <w:r w:rsidDel="00000000" w:rsidR="00000000" w:rsidRPr="00000000">
        <w:rPr>
          <w:rFonts w:ascii="Arial Unicode MS" w:cs="Arial Unicode MS" w:eastAsia="Arial Unicode MS" w:hAnsi="Arial Unicode MS"/>
          <w:rtl w:val="0"/>
        </w:rPr>
        <w:t xml:space="preserve">Email → 404 TDS → Keitaro TDS → .URL file → .VBS script → Shell commands → AutoIT/AutoIT script → DarkGate</w:t>
      </w:r>
    </w:p>
    <w:p w:rsidR="00000000" w:rsidDel="00000000" w:rsidP="00000000" w:rsidRDefault="00000000" w:rsidRPr="00000000" w14:paraId="00000011">
      <w:pPr>
        <w:spacing w:after="160" w:lineRule="auto"/>
        <w:rPr/>
      </w:pPr>
      <w:r w:rsidDel="00000000" w:rsidR="00000000" w:rsidRPr="00000000">
        <w:rPr>
          <w:rtl w:val="0"/>
        </w:rPr>
        <w:t xml:space="preserve">     </w:t>
        <w:tab/>
        <w:t xml:space="preserve">The victim first received an email containing a URL. After clicking it, the user was redirected through traffic delivery systems and received an Internet Shortcut (.URL) file. When the file was opened, it downloaded a zipped VBS script. The VBS script then downloaded and executed shell commands, which downloaded AutoIt and an AutoIt script. The AutoIt script finally executed the embedded DarkGate malware.</w:t>
      </w:r>
    </w:p>
    <w:p w:rsidR="00000000" w:rsidDel="00000000" w:rsidP="00000000" w:rsidRDefault="00000000" w:rsidRPr="00000000" w14:paraId="00000012">
      <w:pPr>
        <w:spacing w:after="160" w:lineRule="auto"/>
        <w:rPr>
          <w:b w:val="1"/>
          <w:bCs w:val="1"/>
          <w:u w:val="single"/>
        </w:rPr>
      </w:pPr>
      <w:r w:rsidDel="00000000" w:rsidR="00000000" w:rsidRPr="00000000">
        <w:rPr>
          <w:b w:val="1"/>
          <w:bCs w:val="1"/>
          <w:u w:val="single"/>
          <w:rtl w:val="0"/>
        </w:rPr>
        <w:t xml:space="preserve">MITRE ATT&amp;CK MAPPING</w:t>
      </w:r>
    </w:p>
    <w:p w:rsidR="00000000" w:rsidDel="00000000" w:rsidP="00000000" w:rsidRDefault="00000000" w:rsidRPr="00000000" w14:paraId="00000013">
      <w:pPr>
        <w:numPr>
          <w:ilvl w:val="0"/>
          <w:numId w:val="4"/>
        </w:numPr>
        <w:ind w:left="720" w:hanging="360"/>
      </w:pPr>
      <w:r w:rsidDel="00000000" w:rsidR="00000000" w:rsidRPr="00000000">
        <w:rPr>
          <w:b w:val="1"/>
          <w:bCs w:val="1"/>
          <w:rtl w:val="0"/>
        </w:rPr>
        <w:t xml:space="preserve">Initial Access</w:t>
      </w:r>
      <w:r w:rsidDel="00000000" w:rsidR="00000000" w:rsidRPr="00000000">
        <w:rPr>
          <w:sz w:val="20"/>
          <w:szCs w:val="20"/>
          <w:rtl w:val="0"/>
        </w:rPr>
        <w:t xml:space="preserve">: T1566 – Phishing, including T1566.001 – Spearphishing Attachment and T1566.002 – Spearphishing Link.</w:t>
      </w:r>
    </w:p>
    <w:p w:rsidR="00000000" w:rsidDel="00000000" w:rsidP="00000000" w:rsidRDefault="00000000" w:rsidRPr="00000000" w14:paraId="00000014">
      <w:pPr>
        <w:numPr>
          <w:ilvl w:val="0"/>
          <w:numId w:val="4"/>
        </w:numPr>
        <w:ind w:left="720" w:hanging="360"/>
      </w:pPr>
      <w:r w:rsidDel="00000000" w:rsidR="00000000" w:rsidRPr="00000000">
        <w:rPr>
          <w:b w:val="1"/>
          <w:bCs w:val="1"/>
          <w:rtl w:val="0"/>
        </w:rPr>
        <w:t xml:space="preserve">Execution</w:t>
      </w:r>
      <w:r w:rsidDel="00000000" w:rsidR="00000000" w:rsidRPr="00000000">
        <w:rPr>
          <w:sz w:val="20"/>
          <w:szCs w:val="20"/>
          <w:rtl w:val="0"/>
        </w:rPr>
        <w:t xml:space="preserve">: T1059 – Command and Scripting Interpreter, including T1059.001 – PowerShell, T1059.003 – Windows Command Shell, T1059.005 – Visual Basic, and T1059.010 – AutoHotKey &amp; AutoIT.</w:t>
      </w:r>
    </w:p>
    <w:p w:rsidR="00000000" w:rsidDel="00000000" w:rsidP="00000000" w:rsidRDefault="00000000" w:rsidRPr="00000000" w14:paraId="00000015">
      <w:pPr>
        <w:numPr>
          <w:ilvl w:val="0"/>
          <w:numId w:val="4"/>
        </w:numPr>
        <w:ind w:left="720" w:hanging="360"/>
      </w:pPr>
      <w:r w:rsidDel="00000000" w:rsidR="00000000" w:rsidRPr="00000000">
        <w:rPr>
          <w:b w:val="1"/>
          <w:bCs w:val="1"/>
          <w:rtl w:val="0"/>
        </w:rPr>
        <w:t xml:space="preserve">Defense Evasion</w:t>
      </w:r>
      <w:r w:rsidDel="00000000" w:rsidR="00000000" w:rsidRPr="00000000">
        <w:rPr>
          <w:sz w:val="20"/>
          <w:szCs w:val="20"/>
          <w:rtl w:val="0"/>
        </w:rPr>
        <w:t xml:space="preserve">: T1070.004 – Indicator Removal: File Deletion.</w:t>
      </w:r>
    </w:p>
    <w:p w:rsidR="00000000" w:rsidDel="00000000" w:rsidP="00000000" w:rsidRDefault="00000000" w:rsidRPr="00000000" w14:paraId="00000016">
      <w:pPr>
        <w:numPr>
          <w:ilvl w:val="0"/>
          <w:numId w:val="4"/>
        </w:numPr>
        <w:ind w:left="720" w:hanging="360"/>
      </w:pPr>
      <w:r w:rsidDel="00000000" w:rsidR="00000000" w:rsidRPr="00000000">
        <w:rPr>
          <w:b w:val="1"/>
          <w:bCs w:val="1"/>
          <w:rtl w:val="0"/>
        </w:rPr>
        <w:t xml:space="preserve">Additional Relevant Techniques</w:t>
      </w:r>
      <w:r w:rsidDel="00000000" w:rsidR="00000000" w:rsidRPr="00000000">
        <w:rPr>
          <w:sz w:val="20"/>
          <w:szCs w:val="20"/>
          <w:rtl w:val="0"/>
        </w:rPr>
        <w:t xml:space="preserve">: T1027 – Obfuscated Files or Information, T1055.012 – Process Hollowing, T1547.001 – Registry Run Keys/Startup Folder, T1555 – Credentials from Password Stores, and T1105 – Ingress Tool Transfer</w:t>
      </w:r>
      <w:r w:rsidDel="00000000" w:rsidR="00000000" w:rsidRPr="00000000">
        <w:rPr>
          <w:b w:val="1"/>
          <w:bCs w:val="1"/>
          <w:rtl w:val="0"/>
        </w:rPr>
        <w:t xml:space="preserve">.</w:t>
      </w:r>
    </w:p>
    <w:p w:rsidR="00000000" w:rsidDel="00000000" w:rsidP="00000000" w:rsidRDefault="00000000" w:rsidRPr="00000000" w14:paraId="00000017">
      <w:pPr>
        <w:spacing w:after="160" w:lineRule="auto"/>
        <w:rPr>
          <w:b w:val="1"/>
          <w:bCs w:val="1"/>
          <w:u w:val="single"/>
        </w:rPr>
      </w:pPr>
      <w:r w:rsidDel="00000000" w:rsidR="00000000" w:rsidRPr="00000000">
        <w:rPr>
          <w:b w:val="1"/>
          <w:bCs w:val="1"/>
          <w:u w:val="single"/>
          <w:rtl w:val="0"/>
        </w:rPr>
        <w:t xml:space="preserve">IOCs (TOP 5)</w:t>
      </w:r>
    </w:p>
    <w:p w:rsidR="00000000" w:rsidDel="00000000" w:rsidP="00000000" w:rsidRDefault="00000000" w:rsidRPr="00000000" w14:paraId="00000018">
      <w:pPr>
        <w:ind w:left="1080" w:hanging="360"/>
        <w:rPr/>
      </w:pPr>
      <w:r w:rsidDel="00000000" w:rsidR="00000000" w:rsidRPr="00000000">
        <w:rPr>
          <w:b w:val="1"/>
          <w:bCs w:val="1"/>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Domain/URL:</w:t>
      </w:r>
      <w:r w:rsidDel="00000000" w:rsidR="00000000" w:rsidRPr="00000000">
        <w:rPr>
          <w:rtl w:val="0"/>
        </w:rPr>
        <w:t xml:space="preserve"> hxxp://179[.]60[.]149[.]194:8080/fdgjsdmt</w:t>
      </w:r>
    </w:p>
    <w:p w:rsidR="00000000" w:rsidDel="00000000" w:rsidP="00000000" w:rsidRDefault="00000000" w:rsidRPr="00000000" w14:paraId="00000019">
      <w:pPr>
        <w:ind w:left="1080" w:hanging="360"/>
        <w:rPr/>
      </w:pPr>
      <w:r w:rsidDel="00000000" w:rsidR="00000000" w:rsidRPr="00000000">
        <w:rPr>
          <w:b w:val="1"/>
          <w:bCs w:val="1"/>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IP Address:</w:t>
      </w:r>
      <w:r w:rsidDel="00000000" w:rsidR="00000000" w:rsidRPr="00000000">
        <w:rPr>
          <w:rtl w:val="0"/>
        </w:rPr>
        <w:t xml:space="preserve"> 179.60.149.194</w:t>
      </w:r>
    </w:p>
    <w:p w:rsidR="00000000" w:rsidDel="00000000" w:rsidP="00000000" w:rsidRDefault="00000000" w:rsidRPr="00000000" w14:paraId="0000001A">
      <w:pPr>
        <w:ind w:left="1080" w:hanging="360"/>
        <w:rPr/>
      </w:pPr>
      <w:r w:rsidDel="00000000" w:rsidR="00000000" w:rsidRPr="00000000">
        <w:rPr>
          <w:b w:val="1"/>
          <w:bCs w:val="1"/>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SHA-256 Hash:</w:t>
      </w:r>
      <w:r w:rsidDel="00000000" w:rsidR="00000000" w:rsidRPr="00000000">
        <w:rPr>
          <w:rtl w:val="0"/>
        </w:rPr>
        <w:t xml:space="preserve"> 1cbda9a3f202e7aacc57bcf3d43ec7b1ca42564a947d6b5a778df90cddef079a— SafeStore.dll</w:t>
      </w:r>
    </w:p>
    <w:p w:rsidR="00000000" w:rsidDel="00000000" w:rsidP="00000000" w:rsidRDefault="00000000" w:rsidRPr="00000000" w14:paraId="0000001B">
      <w:pPr>
        <w:ind w:left="1080" w:hanging="360"/>
        <w:rPr/>
      </w:pPr>
      <w:r w:rsidDel="00000000" w:rsidR="00000000" w:rsidRPr="00000000">
        <w:rPr>
          <w:b w:val="1"/>
          <w:bCs w:val="1"/>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SHA-256 Hash: </w:t>
      </w:r>
      <w:r w:rsidDel="00000000" w:rsidR="00000000" w:rsidRPr="00000000">
        <w:rPr>
          <w:rtl w:val="0"/>
        </w:rPr>
        <w:t xml:space="preserve">4e291266399bd8db27da0f0913c041134657f3b1cf45f340263444c050ed3ee1 —SystemCert.exe</w:t>
      </w:r>
    </w:p>
    <w:p w:rsidR="00000000" w:rsidDel="00000000" w:rsidP="00000000" w:rsidRDefault="00000000" w:rsidRPr="00000000" w14:paraId="0000001C">
      <w:pPr>
        <w:ind w:left="1080" w:hanging="360"/>
        <w:rPr>
          <w:b w:val="1"/>
          <w:bCs w:val="1"/>
        </w:rPr>
      </w:pPr>
      <w:r w:rsidDel="00000000" w:rsidR="00000000" w:rsidRPr="00000000">
        <w:rPr>
          <w:b w:val="1"/>
          <w:bCs w:val="1"/>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SHA-256 Hash:</w:t>
      </w:r>
    </w:p>
    <w:p w:rsidR="00000000" w:rsidDel="00000000" w:rsidP="00000000" w:rsidRDefault="00000000" w:rsidRPr="00000000" w14:paraId="0000001D">
      <w:pPr>
        <w:spacing w:after="160" w:lineRule="auto"/>
        <w:ind w:left="720" w:firstLine="0"/>
        <w:rPr/>
      </w:pPr>
      <w:r w:rsidDel="00000000" w:rsidR="00000000" w:rsidRPr="00000000">
        <w:rPr>
          <w:rtl w:val="0"/>
        </w:rPr>
        <w:t xml:space="preserve">faa54f7152775fa6ccaecc2fe4a6696e5b984dfa41db9a622e4d3e0f59c82d8b — StaticSrv.exe</w:t>
      </w:r>
    </w:p>
    <w:p w:rsidR="00000000" w:rsidDel="00000000" w:rsidP="00000000" w:rsidRDefault="00000000" w:rsidRPr="00000000" w14:paraId="0000001E">
      <w:pPr>
        <w:spacing w:after="160" w:lineRule="auto"/>
        <w:rPr>
          <w:b w:val="1"/>
          <w:bCs w:val="1"/>
          <w:sz w:val="28"/>
          <w:szCs w:val="28"/>
          <w:u w:val="single"/>
        </w:rPr>
      </w:pPr>
      <w:r w:rsidDel="00000000" w:rsidR="00000000" w:rsidRPr="00000000">
        <w:rPr>
          <w:b w:val="1"/>
          <w:bCs w:val="1"/>
          <w:sz w:val="28"/>
          <w:szCs w:val="28"/>
          <w:u w:val="single"/>
          <w:rtl w:val="0"/>
        </w:rPr>
        <w:t xml:space="preserve">MITIGATIONS</w:t>
      </w:r>
    </w:p>
    <w:p w:rsidR="00000000" w:rsidDel="00000000" w:rsidP="00000000" w:rsidRDefault="00000000" w:rsidRPr="00000000" w14:paraId="0000001F">
      <w:pPr>
        <w:numPr>
          <w:ilvl w:val="0"/>
          <w:numId w:val="1"/>
        </w:numPr>
        <w:ind w:left="720" w:hanging="360"/>
      </w:pPr>
      <w:r w:rsidDel="00000000" w:rsidR="00000000" w:rsidRPr="00000000">
        <w:rPr>
          <w:b w:val="1"/>
          <w:bCs w:val="1"/>
          <w:rtl w:val="0"/>
        </w:rPr>
        <w:t xml:space="preserve">Block known malicious DarkGate domains, IP addresses, and URLs</w:t>
      </w:r>
      <w:r w:rsidDel="00000000" w:rsidR="00000000" w:rsidRPr="00000000">
        <w:rPr>
          <w:rtl w:val="0"/>
        </w:rPr>
        <w:t xml:space="preserve"> using firewalls, DNS filtering, and other network security controls.</w:t>
      </w:r>
    </w:p>
    <w:p w:rsidR="00000000" w:rsidDel="00000000" w:rsidP="00000000" w:rsidRDefault="00000000" w:rsidRPr="00000000" w14:paraId="00000020">
      <w:pPr>
        <w:numPr>
          <w:ilvl w:val="0"/>
          <w:numId w:val="1"/>
        </w:numPr>
        <w:ind w:left="720" w:hanging="360"/>
      </w:pPr>
      <w:r w:rsidDel="00000000" w:rsidR="00000000" w:rsidRPr="00000000">
        <w:rPr>
          <w:b w:val="1"/>
          <w:bCs w:val="1"/>
          <w:rtl w:val="0"/>
        </w:rPr>
        <w:t xml:space="preserve">Use endpoint security/EDR</w:t>
      </w:r>
      <w:r w:rsidDel="00000000" w:rsidR="00000000" w:rsidRPr="00000000">
        <w:rPr>
          <w:rtl w:val="0"/>
        </w:rPr>
        <w:t xml:space="preserve"> to detect suspicious PowerShell, Command Shell, AutoIt, and other script execution.</w:t>
      </w:r>
    </w:p>
    <w:p w:rsidR="00000000" w:rsidDel="00000000" w:rsidP="00000000" w:rsidRDefault="00000000" w:rsidRPr="00000000" w14:paraId="00000021">
      <w:pPr>
        <w:numPr>
          <w:ilvl w:val="0"/>
          <w:numId w:val="1"/>
        </w:numPr>
        <w:ind w:left="720" w:hanging="360"/>
      </w:pPr>
      <w:r w:rsidDel="00000000" w:rsidR="00000000" w:rsidRPr="00000000">
        <w:rPr>
          <w:b w:val="1"/>
          <w:bCs w:val="1"/>
          <w:rtl w:val="0"/>
        </w:rPr>
        <w:t xml:space="preserve">Restrict unnecessary scripting and macro execution</w:t>
      </w:r>
      <w:r w:rsidDel="00000000" w:rsidR="00000000" w:rsidRPr="00000000">
        <w:rPr>
          <w:rtl w:val="0"/>
        </w:rPr>
        <w:t xml:space="preserve"> to reduce the risk of malicious scripts being executed.</w:t>
      </w:r>
    </w:p>
    <w:p w:rsidR="00000000" w:rsidDel="00000000" w:rsidP="00000000" w:rsidRDefault="00000000" w:rsidRPr="00000000" w14:paraId="00000022">
      <w:pPr>
        <w:numPr>
          <w:ilvl w:val="0"/>
          <w:numId w:val="1"/>
        </w:numPr>
        <w:ind w:left="720" w:hanging="360"/>
      </w:pPr>
      <w:r w:rsidDel="00000000" w:rsidR="00000000" w:rsidRPr="00000000">
        <w:rPr>
          <w:b w:val="1"/>
          <w:bCs w:val="1"/>
          <w:rtl w:val="0"/>
        </w:rPr>
        <w:t xml:space="preserve">Keep operating systems and security software updated</w:t>
      </w:r>
      <w:r w:rsidDel="00000000" w:rsidR="00000000" w:rsidRPr="00000000">
        <w:rPr>
          <w:rtl w:val="0"/>
        </w:rPr>
        <w:t xml:space="preserve"> and monitor endpoints for suspicious file creation, deletion, process injection, and other abnormal activity.</w:t>
      </w:r>
    </w:p>
    <w:p w:rsidR="00000000" w:rsidDel="00000000" w:rsidP="00000000" w:rsidRDefault="00000000" w:rsidRPr="00000000" w14:paraId="00000023">
      <w:pPr>
        <w:spacing w:after="160" w:lineRule="auto"/>
        <w:rPr>
          <w:b w:val="1"/>
          <w:bCs w:val="1"/>
          <w:sz w:val="32"/>
          <w:szCs w:val="32"/>
          <w:u w:val="single"/>
        </w:rPr>
      </w:pPr>
      <w:r w:rsidDel="00000000" w:rsidR="00000000" w:rsidRPr="00000000">
        <w:rPr>
          <w:b w:val="1"/>
          <w:bCs w:val="1"/>
          <w:sz w:val="32"/>
          <w:szCs w:val="32"/>
          <w:u w:val="single"/>
          <w:rtl w:val="0"/>
        </w:rPr>
        <w:t xml:space="preserve">SOURCES</w:t>
      </w:r>
    </w:p>
    <w:p w:rsidR="00000000" w:rsidDel="00000000" w:rsidP="00000000" w:rsidRDefault="00000000" w:rsidRPr="00000000" w14:paraId="00000024">
      <w:pPr>
        <w:spacing w:after="160" w:lineRule="auto"/>
        <w:ind w:left="1440" w:hanging="720"/>
        <w:rPr>
          <w:b w:val="1"/>
          <w:bCs w:val="1"/>
          <w:sz w:val="28"/>
          <w:szCs w:val="28"/>
          <w:u w:val="singl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28"/>
          <w:szCs w:val="28"/>
          <w:rtl w:val="0"/>
        </w:rPr>
        <w:t xml:space="preserve">I.</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28"/>
          <w:szCs w:val="28"/>
          <w:u w:val="single"/>
          <w:rtl w:val="0"/>
        </w:rPr>
        <w:t xml:space="preserve">Overview Of DarkGate :</w:t>
      </w:r>
    </w:p>
    <w:p w:rsidR="00000000" w:rsidDel="00000000" w:rsidP="00000000" w:rsidRDefault="00000000" w:rsidRPr="00000000" w14:paraId="00000025">
      <w:pPr>
        <w:spacing w:after="160" w:lineRule="auto"/>
        <w:rPr>
          <w:b w:val="1"/>
          <w:bCs w:val="1"/>
          <w:color w:val="1155cc"/>
          <w:sz w:val="28"/>
          <w:szCs w:val="28"/>
          <w:u w:val="single"/>
        </w:rPr>
      </w:pPr>
      <w:hyperlink r:id="rId7">
        <w:r w:rsidDel="00000000" w:rsidR="00000000" w:rsidRPr="00000000">
          <w:rPr>
            <w:b w:val="1"/>
            <w:bCs w:val="1"/>
            <w:color w:val="1155cc"/>
            <w:sz w:val="28"/>
            <w:szCs w:val="28"/>
            <w:u w:val="single"/>
            <w:rtl w:val="0"/>
          </w:rPr>
          <w:t xml:space="preserve">https://www.proofpoint.com/us/blog/threat-insight/battleroyal-darkgate-cluster-spreads-email-and-fake-browser-updates</w:t>
        </w:r>
      </w:hyperlink>
      <w:r w:rsidDel="00000000" w:rsidR="00000000" w:rsidRPr="00000000">
        <w:rPr>
          <w:rtl w:val="0"/>
        </w:rPr>
      </w:r>
    </w:p>
    <w:p w:rsidR="00000000" w:rsidDel="00000000" w:rsidP="00000000" w:rsidRDefault="00000000" w:rsidRPr="00000000" w14:paraId="00000026">
      <w:pPr>
        <w:ind w:left="1440" w:hanging="720"/>
        <w:rPr>
          <w:b w:val="1"/>
          <w:bCs w:val="1"/>
          <w:sz w:val="32"/>
          <w:szCs w:val="32"/>
          <w:u w:val="single"/>
        </w:rPr>
      </w:pPr>
      <w:r w:rsidDel="00000000" w:rsidR="00000000" w:rsidRPr="00000000">
        <w:rPr>
          <w:rFonts w:ascii="Times New Roman" w:cs="Times New Roman" w:eastAsia="Times New Roman" w:hAnsi="Times New Roman"/>
          <w:sz w:val="14"/>
          <w:szCs w:val="14"/>
          <w:rtl w:val="0"/>
        </w:rPr>
        <w:tab/>
      </w:r>
      <w:r w:rsidDel="00000000" w:rsidR="00000000" w:rsidRPr="00000000">
        <w:rPr>
          <w:b w:val="1"/>
          <w:bCs w:val="1"/>
          <w:sz w:val="28"/>
          <w:szCs w:val="28"/>
          <w:rtl w:val="0"/>
        </w:rPr>
        <w:t xml:space="preserve">II.</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32"/>
          <w:szCs w:val="32"/>
          <w:u w:val="single"/>
          <w:rtl w:val="0"/>
        </w:rPr>
        <w:t xml:space="preserve">MITRE &amp; Attack:</w:t>
      </w:r>
    </w:p>
    <w:p w:rsidR="00000000" w:rsidDel="00000000" w:rsidP="00000000" w:rsidRDefault="00000000" w:rsidRPr="00000000" w14:paraId="00000027">
      <w:pPr>
        <w:spacing w:after="160" w:lineRule="auto"/>
        <w:ind w:left="1080" w:hanging="360"/>
        <w:rPr>
          <w:b w:val="1"/>
          <w:bCs w:val="1"/>
          <w:sz w:val="32"/>
          <w:szCs w:val="32"/>
          <w:u w:val="single"/>
        </w:rPr>
      </w:pPr>
      <w:r w:rsidDel="00000000" w:rsidR="00000000" w:rsidRPr="00000000">
        <w:rPr>
          <w:sz w:val="32"/>
          <w:szCs w:val="32"/>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u w:val="single"/>
          <w:rtl w:val="0"/>
        </w:rPr>
        <w:t xml:space="preserve">Initial Access</w:t>
      </w:r>
      <w:r w:rsidDel="00000000" w:rsidR="00000000" w:rsidRPr="00000000">
        <w:rPr>
          <w:b w:val="1"/>
          <w:bCs w:val="1"/>
          <w:sz w:val="32"/>
          <w:szCs w:val="32"/>
          <w:u w:val="single"/>
          <w:rtl w:val="0"/>
        </w:rPr>
        <w:t xml:space="preserve">:</w:t>
      </w:r>
    </w:p>
    <w:p w:rsidR="00000000" w:rsidDel="00000000" w:rsidP="00000000" w:rsidRDefault="00000000" w:rsidRPr="00000000" w14:paraId="00000028">
      <w:pPr>
        <w:spacing w:after="160" w:lineRule="auto"/>
        <w:rPr>
          <w:b w:val="1"/>
          <w:bCs w:val="1"/>
          <w:color w:val="1155cc"/>
          <w:sz w:val="28"/>
          <w:szCs w:val="28"/>
          <w:u w:val="single"/>
        </w:rPr>
      </w:pPr>
      <w:hyperlink r:id="rId8">
        <w:r w:rsidDel="00000000" w:rsidR="00000000" w:rsidRPr="00000000">
          <w:rPr>
            <w:b w:val="1"/>
            <w:bCs w:val="1"/>
            <w:color w:val="1155cc"/>
            <w:sz w:val="28"/>
            <w:szCs w:val="28"/>
            <w:u w:val="single"/>
            <w:rtl w:val="0"/>
          </w:rPr>
          <w:t xml:space="preserve">https://attack.mitre.org/techniques/T1566/001/</w:t>
        </w:r>
      </w:hyperlink>
      <w:r w:rsidDel="00000000" w:rsidR="00000000" w:rsidRPr="00000000">
        <w:rPr>
          <w:rtl w:val="0"/>
        </w:rPr>
      </w:r>
    </w:p>
    <w:p w:rsidR="00000000" w:rsidDel="00000000" w:rsidP="00000000" w:rsidRDefault="00000000" w:rsidRPr="00000000" w14:paraId="00000029">
      <w:pPr>
        <w:spacing w:after="160" w:lineRule="auto"/>
        <w:rPr>
          <w:b w:val="1"/>
          <w:bCs w:val="1"/>
          <w:color w:val="1155cc"/>
          <w:sz w:val="28"/>
          <w:szCs w:val="28"/>
          <w:u w:val="single"/>
        </w:rPr>
      </w:pPr>
      <w:hyperlink r:id="rId9">
        <w:r w:rsidDel="00000000" w:rsidR="00000000" w:rsidRPr="00000000">
          <w:rPr>
            <w:b w:val="1"/>
            <w:bCs w:val="1"/>
            <w:color w:val="1155cc"/>
            <w:sz w:val="28"/>
            <w:szCs w:val="28"/>
            <w:u w:val="single"/>
            <w:rtl w:val="0"/>
          </w:rPr>
          <w:t xml:space="preserve">https://attack.mitre.org/techniques/T1566/002/</w:t>
        </w:r>
      </w:hyperlink>
      <w:r w:rsidDel="00000000" w:rsidR="00000000" w:rsidRPr="00000000">
        <w:rPr>
          <w:rtl w:val="0"/>
        </w:rPr>
      </w:r>
    </w:p>
    <w:p w:rsidR="00000000" w:rsidDel="00000000" w:rsidP="00000000" w:rsidRDefault="00000000" w:rsidRPr="00000000" w14:paraId="0000002A">
      <w:pPr>
        <w:spacing w:after="160" w:lineRule="auto"/>
        <w:ind w:left="1080" w:hanging="360"/>
        <w:rPr>
          <w:b w:val="1"/>
          <w:bCs w:val="1"/>
          <w:sz w:val="28"/>
          <w:szCs w:val="28"/>
          <w:u w:val="single"/>
        </w:rPr>
      </w:pPr>
      <w:r w:rsidDel="00000000" w:rsidR="00000000" w:rsidRPr="00000000">
        <w:rPr>
          <w:sz w:val="28"/>
          <w:szCs w:val="2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u w:val="single"/>
          <w:rtl w:val="0"/>
        </w:rPr>
        <w:t xml:space="preserve">Execution</w:t>
      </w:r>
      <w:r w:rsidDel="00000000" w:rsidR="00000000" w:rsidRPr="00000000">
        <w:rPr>
          <w:b w:val="1"/>
          <w:bCs w:val="1"/>
          <w:sz w:val="28"/>
          <w:szCs w:val="28"/>
          <w:u w:val="single"/>
          <w:rtl w:val="0"/>
        </w:rPr>
        <w:t xml:space="preserve">:</w:t>
      </w:r>
    </w:p>
    <w:p w:rsidR="00000000" w:rsidDel="00000000" w:rsidP="00000000" w:rsidRDefault="00000000" w:rsidRPr="00000000" w14:paraId="0000002B">
      <w:pPr>
        <w:spacing w:after="160" w:lineRule="auto"/>
        <w:rPr>
          <w:b w:val="1"/>
          <w:bCs w:val="1"/>
          <w:color w:val="1155cc"/>
          <w:sz w:val="36"/>
          <w:szCs w:val="36"/>
          <w:u w:val="single"/>
        </w:rPr>
      </w:pPr>
      <w:hyperlink r:id="rId10">
        <w:r w:rsidDel="00000000" w:rsidR="00000000" w:rsidRPr="00000000">
          <w:rPr>
            <w:b w:val="1"/>
            <w:bCs w:val="1"/>
            <w:color w:val="1155cc"/>
            <w:sz w:val="36"/>
            <w:szCs w:val="36"/>
            <w:u w:val="single"/>
            <w:rtl w:val="0"/>
          </w:rPr>
          <w:t xml:space="preserve">https://attack.mitre.org/techniques/T1059/</w:t>
        </w:r>
      </w:hyperlink>
      <w:r w:rsidDel="00000000" w:rsidR="00000000" w:rsidRPr="00000000">
        <w:rPr>
          <w:rtl w:val="0"/>
        </w:rPr>
      </w:r>
    </w:p>
    <w:p w:rsidR="00000000" w:rsidDel="00000000" w:rsidP="00000000" w:rsidRDefault="00000000" w:rsidRPr="00000000" w14:paraId="0000002C">
      <w:pPr>
        <w:spacing w:after="160" w:lineRule="auto"/>
        <w:ind w:left="1080" w:hanging="360"/>
        <w:rPr>
          <w:b w:val="1"/>
          <w:bCs w:val="1"/>
          <w:sz w:val="36"/>
          <w:szCs w:val="36"/>
          <w:u w:val="single"/>
        </w:rPr>
      </w:pPr>
      <w:r w:rsidDel="00000000" w:rsidR="00000000" w:rsidRPr="00000000">
        <w:rPr>
          <w:sz w:val="36"/>
          <w:szCs w:val="3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u w:val="single"/>
          <w:rtl w:val="0"/>
        </w:rPr>
        <w:t xml:space="preserve">Defense Evasion</w:t>
      </w:r>
      <w:r w:rsidDel="00000000" w:rsidR="00000000" w:rsidRPr="00000000">
        <w:rPr>
          <w:b w:val="1"/>
          <w:bCs w:val="1"/>
          <w:sz w:val="36"/>
          <w:szCs w:val="36"/>
          <w:u w:val="single"/>
          <w:rtl w:val="0"/>
        </w:rPr>
        <w:t xml:space="preserve">:</w:t>
      </w:r>
    </w:p>
    <w:p w:rsidR="00000000" w:rsidDel="00000000" w:rsidP="00000000" w:rsidRDefault="00000000" w:rsidRPr="00000000" w14:paraId="0000002D">
      <w:pPr>
        <w:spacing w:after="160" w:lineRule="auto"/>
        <w:rPr>
          <w:b w:val="1"/>
          <w:bCs w:val="1"/>
          <w:color w:val="1155cc"/>
          <w:sz w:val="28"/>
          <w:szCs w:val="28"/>
          <w:u w:val="single"/>
        </w:rPr>
      </w:pPr>
      <w:hyperlink r:id="rId11">
        <w:r w:rsidDel="00000000" w:rsidR="00000000" w:rsidRPr="00000000">
          <w:rPr>
            <w:b w:val="1"/>
            <w:bCs w:val="1"/>
            <w:color w:val="1155cc"/>
            <w:sz w:val="28"/>
            <w:szCs w:val="28"/>
            <w:u w:val="single"/>
            <w:rtl w:val="0"/>
          </w:rPr>
          <w:t xml:space="preserve">https://attack.mitre.org/techniques/T1070/004/</w:t>
        </w:r>
      </w:hyperlink>
      <w:r w:rsidDel="00000000" w:rsidR="00000000" w:rsidRPr="00000000">
        <w:rPr>
          <w:rtl w:val="0"/>
        </w:rPr>
      </w:r>
    </w:p>
    <w:p w:rsidR="00000000" w:rsidDel="00000000" w:rsidP="00000000" w:rsidRDefault="00000000" w:rsidRPr="00000000" w14:paraId="0000002E">
      <w:pPr>
        <w:spacing w:after="160" w:lineRule="auto"/>
        <w:ind w:left="720" w:firstLine="0"/>
        <w:rPr>
          <w:b w:val="1"/>
          <w:bCs w:val="1"/>
          <w:sz w:val="28"/>
          <w:szCs w:val="28"/>
          <w:u w:val="single"/>
        </w:rPr>
      </w:pPr>
      <w:r w:rsidDel="00000000" w:rsidR="00000000" w:rsidRPr="00000000">
        <w:rPr>
          <w:b w:val="1"/>
          <w:bCs w:val="1"/>
          <w:sz w:val="28"/>
          <w:szCs w:val="28"/>
          <w:rtl w:val="0"/>
        </w:rPr>
        <w:t xml:space="preserve">III.</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28"/>
          <w:szCs w:val="28"/>
          <w:u w:val="single"/>
          <w:rtl w:val="0"/>
        </w:rPr>
        <w:t xml:space="preserve">Indicators of Compromise:</w:t>
      </w:r>
    </w:p>
    <w:p w:rsidR="00000000" w:rsidDel="00000000" w:rsidP="00000000" w:rsidRDefault="00000000" w:rsidRPr="00000000" w14:paraId="0000002F">
      <w:pPr>
        <w:spacing w:after="160" w:lineRule="auto"/>
        <w:rPr>
          <w:b w:val="1"/>
          <w:bCs w:val="1"/>
          <w:color w:val="1155cc"/>
          <w:sz w:val="28"/>
          <w:szCs w:val="28"/>
          <w:u w:val="single"/>
        </w:rPr>
      </w:pPr>
      <w:hyperlink r:id="rId12">
        <w:r w:rsidDel="00000000" w:rsidR="00000000" w:rsidRPr="00000000">
          <w:rPr>
            <w:b w:val="1"/>
            <w:bCs w:val="1"/>
            <w:color w:val="1155cc"/>
            <w:sz w:val="28"/>
            <w:szCs w:val="28"/>
            <w:u w:val="single"/>
            <w:rtl w:val="0"/>
          </w:rPr>
          <w:t xml:space="preserve">https://www.trendmicro.com/en_gb/research/24/l/darkgate-malware.html</w:t>
        </w:r>
      </w:hyperlink>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attack.mitre.org/techniques/T1070/004/" TargetMode="External"/><Relationship Id="rId10" Type="http://schemas.openxmlformats.org/officeDocument/2006/relationships/hyperlink" Target="https://attack.mitre.org/techniques/T1059/" TargetMode="External"/><Relationship Id="rId12" Type="http://schemas.openxmlformats.org/officeDocument/2006/relationships/hyperlink" Target="https://www.trendmicro.com/en_gb/research/24/l/darkgate-malware.html" TargetMode="External"/><Relationship Id="rId9" Type="http://schemas.openxmlformats.org/officeDocument/2006/relationships/hyperlink" Target="https://attack.mitre.org/techniques/T1566/002/"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www.proofpoint.com/us/blog/threat-insight/battleroyal-darkgate-cluster-spreads-email-and-fake-browser-updates" TargetMode="External"/><Relationship Id="rId8" Type="http://schemas.openxmlformats.org/officeDocument/2006/relationships/hyperlink" Target="https://attack.mitre.org/techniques/T1566/00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