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sz w:val="48"/>
          <w:szCs w:val="48"/>
          <w:u w:val="single"/>
        </w:rPr>
      </w:pPr>
      <w:r w:rsidDel="00000000" w:rsidR="00000000" w:rsidRPr="00000000">
        <w:rPr>
          <w:b w:val="1"/>
          <w:bCs w:val="1"/>
          <w:sz w:val="48"/>
          <w:szCs w:val="48"/>
          <w:u w:val="single"/>
          <w:rtl w:val="0"/>
        </w:rPr>
        <w:t xml:space="preserve">Threat Intelligence Confidence Assessment</w:t>
      </w:r>
    </w:p>
    <w:tbl>
      <w:tblPr>
        <w:tblStyle w:val="Table1"/>
        <w:tblW w:w="4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355"/>
        <w:tblGridChange w:id="0">
          <w:tblGrid>
            <w:gridCol w:w="2490"/>
            <w:gridCol w:w="2355"/>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2">
            <w:pPr>
              <w:spacing w:after="160" w:lineRule="auto"/>
              <w:rPr>
                <w:b w:val="1"/>
                <w:bCs w:val="1"/>
                <w:sz w:val="32"/>
                <w:szCs w:val="32"/>
              </w:rPr>
            </w:pPr>
            <w:r w:rsidDel="00000000" w:rsidR="00000000" w:rsidRPr="00000000">
              <w:rPr>
                <w:b w:val="1"/>
                <w:bCs w:val="1"/>
                <w:sz w:val="32"/>
                <w:szCs w:val="32"/>
                <w:rtl w:val="0"/>
              </w:rPr>
              <w:t xml:space="preserve">Most likely actor?</w:t>
            </w:r>
          </w:p>
        </w:tc>
        <w:tc>
          <w:tcPr>
            <w:tcBorders>
              <w:top w:color="000000" w:space="0" w:sz="5" w:val="single"/>
              <w:left w:color="000000" w:space="0" w:sz="5" w:val="single"/>
              <w:bottom w:color="000000" w:space="0" w:sz="0" w:val="nil"/>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3">
            <w:pPr>
              <w:spacing w:after="160" w:lineRule="auto"/>
              <w:rPr/>
            </w:pPr>
            <w:r w:rsidDel="00000000" w:rsidR="00000000" w:rsidRPr="00000000">
              <w:rPr>
                <w:rtl w:val="0"/>
              </w:rPr>
              <w:t xml:space="preserve"> APT29 (Cozy Bear)</w:t>
            </w:r>
          </w:p>
        </w:tc>
      </w:tr>
      <w:tr>
        <w:trPr>
          <w:cantSplit w:val="0"/>
          <w:trHeight w:val="525" w:hRule="atLeast"/>
          <w:tblHeader w:val="0"/>
        </w:trPr>
        <w:tc>
          <w:tcPr>
            <w:tcBorders>
              <w:top w:color="000000" w:space="0" w:sz="0" w:val="nil"/>
              <w:left w:color="000000" w:space="0" w:sz="5" w:val="single"/>
              <w:bottom w:color="000000" w:space="0" w:sz="5"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4">
            <w:pPr>
              <w:spacing w:after="160" w:lineRule="auto"/>
              <w:rPr>
                <w:b w:val="1"/>
                <w:bCs w:val="1"/>
                <w:sz w:val="28"/>
                <w:szCs w:val="28"/>
              </w:rPr>
            </w:pPr>
            <w:r w:rsidDel="00000000" w:rsidR="00000000" w:rsidRPr="00000000">
              <w:rPr>
                <w:b w:val="1"/>
                <w:bCs w:val="1"/>
                <w:sz w:val="28"/>
                <w:szCs w:val="28"/>
                <w:rtl w:val="0"/>
              </w:rPr>
              <w:t xml:space="preserve">Confidence Level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5">
            <w:pPr>
              <w:spacing w:after="160" w:lineRule="auto"/>
              <w:rPr/>
            </w:pPr>
            <w:r w:rsidDel="00000000" w:rsidR="00000000" w:rsidRPr="00000000">
              <w:rPr>
                <w:rtl w:val="0"/>
              </w:rPr>
              <w:t xml:space="preserve">  High</w:t>
            </w:r>
          </w:p>
        </w:tc>
      </w:tr>
    </w:tbl>
    <w:p w:rsidR="00000000" w:rsidDel="00000000" w:rsidP="00000000" w:rsidRDefault="00000000" w:rsidRPr="00000000" w14:paraId="00000006">
      <w:pPr>
        <w:spacing w:after="160" w:lineRule="auto"/>
        <w:rPr>
          <w:b w:val="1"/>
          <w:bCs w:val="1"/>
          <w:sz w:val="32"/>
          <w:szCs w:val="32"/>
          <w:u w:val="single"/>
        </w:rPr>
      </w:pPr>
      <w:r w:rsidDel="00000000" w:rsidR="00000000" w:rsidRPr="00000000">
        <w:rPr>
          <w:b w:val="1"/>
          <w:bCs w:val="1"/>
          <w:sz w:val="32"/>
          <w:szCs w:val="32"/>
          <w:u w:val="single"/>
          <w:rtl w:val="0"/>
        </w:rPr>
        <w:t xml:space="preserve">Rationale</w:t>
      </w:r>
    </w:p>
    <w:p w:rsidR="00000000" w:rsidDel="00000000" w:rsidP="00000000" w:rsidRDefault="00000000" w:rsidRPr="00000000" w14:paraId="00000007">
      <w:pPr>
        <w:spacing w:after="160" w:lineRule="auto"/>
        <w:rPr/>
      </w:pPr>
      <w:r w:rsidDel="00000000" w:rsidR="00000000" w:rsidRPr="00000000">
        <w:rPr>
          <w:b w:val="1"/>
          <w:bCs w:val="1"/>
          <w:sz w:val="32"/>
          <w:szCs w:val="32"/>
          <w:rtl w:val="0"/>
        </w:rPr>
        <w:tab/>
        <w:t xml:space="preserve">        </w:t>
      </w:r>
      <w:r w:rsidDel="00000000" w:rsidR="00000000" w:rsidRPr="00000000">
        <w:rPr>
          <w:rtl w:val="0"/>
        </w:rPr>
        <w:t xml:space="preserve">APT29 is the most likely actor because the available malware shows </w:t>
      </w:r>
      <w:r w:rsidDel="00000000" w:rsidR="00000000" w:rsidRPr="00000000">
        <w:rPr>
          <w:b w:val="1"/>
          <w:bCs w:val="1"/>
          <w:rtl w:val="0"/>
        </w:rPr>
        <w:t xml:space="preserve">78% code overlap with known APT29 samples</w:t>
      </w:r>
      <w:r w:rsidDel="00000000" w:rsidR="00000000" w:rsidRPr="00000000">
        <w:rPr>
          <w:rtl w:val="0"/>
        </w:rPr>
        <w:t xml:space="preserve">, which is the strongest technical evidence in the investigation. The campaign timeline also matches APT29's known working hours, providing additional support for the attribution. Although the infrastructure has a </w:t>
      </w:r>
      <w:r w:rsidDel="00000000" w:rsidR="00000000" w:rsidRPr="00000000">
        <w:rPr>
          <w:b w:val="1"/>
          <w:bCs w:val="1"/>
          <w:rtl w:val="0"/>
        </w:rPr>
        <w:t xml:space="preserve">65% match with APT28</w:t>
      </w:r>
      <w:r w:rsidDel="00000000" w:rsidR="00000000" w:rsidRPr="00000000">
        <w:rPr>
          <w:rtl w:val="0"/>
        </w:rPr>
        <w:t xml:space="preserve">, TTPs, target sectors, and European victim location are consistent with both groups and therefore are not unique attribution indicators. Additionally, Mandiant's research linked activity tracked as </w:t>
      </w:r>
      <w:r w:rsidDel="00000000" w:rsidR="00000000" w:rsidRPr="00000000">
        <w:rPr>
          <w:b w:val="1"/>
          <w:bCs w:val="1"/>
          <w:rtl w:val="0"/>
        </w:rPr>
        <w:t xml:space="preserve">UNC2452 to APT29</w:t>
      </w:r>
      <w:r w:rsidDel="00000000" w:rsidR="00000000" w:rsidRPr="00000000">
        <w:rPr>
          <w:rtl w:val="0"/>
        </w:rPr>
        <w:t xml:space="preserve">, making APT29 the strongest overall attribution.</w:t>
      </w:r>
    </w:p>
    <w:p w:rsidR="00000000" w:rsidDel="00000000" w:rsidP="00000000" w:rsidRDefault="00000000" w:rsidRPr="00000000" w14:paraId="00000008">
      <w:pPr>
        <w:spacing w:after="160" w:lineRule="auto"/>
        <w:rPr>
          <w:b w:val="1"/>
          <w:bCs w:val="1"/>
          <w:sz w:val="32"/>
          <w:szCs w:val="32"/>
          <w:u w:val="single"/>
        </w:rPr>
      </w:pPr>
      <w:r w:rsidDel="00000000" w:rsidR="00000000" w:rsidRPr="00000000">
        <w:rPr>
          <w:b w:val="1"/>
          <w:bCs w:val="1"/>
          <w:sz w:val="32"/>
          <w:szCs w:val="32"/>
          <w:u w:val="single"/>
          <w:rtl w:val="0"/>
        </w:rPr>
        <w:t xml:space="preserve">What Additional Evidence Would Help?</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Additional malware samples with unique APT29 code characteristics.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More evidence linking the campaign's domains, IP addresses, SSL certificates, or C2 infrastructure to known APT29 infrastructure.</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Malware compilation timestamps and additional operational timing evidence.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Forensic evidence linking the attacker to known APT29 tools or previously identified campaigns.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More victimology evidence that uniquely matches APT29 rather than APT28.</w:t>
      </w:r>
    </w:p>
    <w:p w:rsidR="00000000" w:rsidDel="00000000" w:rsidP="00000000" w:rsidRDefault="00000000" w:rsidRPr="00000000" w14:paraId="0000000E">
      <w:pPr>
        <w:spacing w:after="160" w:lineRule="auto"/>
        <w:rPr>
          <w:b w:val="1"/>
          <w:bCs w:val="1"/>
          <w:sz w:val="32"/>
          <w:szCs w:val="32"/>
          <w:u w:val="single"/>
        </w:rPr>
      </w:pPr>
      <w:r w:rsidDel="00000000" w:rsidR="00000000" w:rsidRPr="00000000">
        <w:rPr>
          <w:b w:val="1"/>
          <w:bCs w:val="1"/>
          <w:sz w:val="32"/>
          <w:szCs w:val="32"/>
          <w:u w:val="single"/>
          <w:rtl w:val="0"/>
        </w:rPr>
        <w:t xml:space="preserve">How Would You Monitor This Campaign?</w:t>
      </w:r>
    </w:p>
    <w:p w:rsidR="00000000" w:rsidDel="00000000" w:rsidP="00000000" w:rsidRDefault="00000000" w:rsidRPr="00000000" w14:paraId="0000000F">
      <w:pPr>
        <w:spacing w:after="160" w:lineRule="auto"/>
        <w:rPr/>
      </w:pPr>
      <w:r w:rsidDel="00000000" w:rsidR="00000000" w:rsidRPr="00000000">
        <w:rPr>
          <w:rtl w:val="0"/>
        </w:rPr>
        <w:tab/>
        <w:t xml:space="preserve">         I would monitor newly registered domains, IP addresses, SSL certificates, and C2 infrastructure associated with the campaign. Network monitoring would be used to detect suspicious outbound connections and known or newly discovered IOCs. Endpoint monitoring would focus on malware execution, persistence, credential access, lateral movement, and other relevant ATT&amp;CK techniques. Threat intelligence feeds would also be monitored continuously for new indicators connected to APT29 or related infrastructure.</w:t>
      </w:r>
    </w:p>
    <w:p w:rsidR="00000000" w:rsidDel="00000000" w:rsidP="00000000" w:rsidRDefault="00000000" w:rsidRPr="00000000" w14:paraId="00000010">
      <w:pPr>
        <w:spacing w:after="160" w:lineRule="auto"/>
        <w:rPr>
          <w:b w:val="1"/>
          <w:bCs w:val="1"/>
          <w:sz w:val="28"/>
          <w:szCs w:val="28"/>
          <w:u w:val="single"/>
        </w:rPr>
      </w:pPr>
      <w:r w:rsidDel="00000000" w:rsidR="00000000" w:rsidRPr="00000000">
        <w:rPr>
          <w:b w:val="1"/>
          <w:bCs w:val="1"/>
          <w:sz w:val="28"/>
          <w:szCs w:val="28"/>
          <w:u w:val="single"/>
          <w:rtl w:val="0"/>
        </w:rPr>
        <w:t xml:space="preserve">Reflection: Why Can't We Be Certain in Threat Intelligence?</w:t>
      </w:r>
    </w:p>
    <w:p w:rsidR="00000000" w:rsidDel="00000000" w:rsidP="00000000" w:rsidRDefault="00000000" w:rsidRPr="00000000" w14:paraId="00000011">
      <w:pPr>
        <w:spacing w:after="160" w:lineRule="auto"/>
        <w:rPr/>
      </w:pPr>
      <w:r w:rsidDel="00000000" w:rsidR="00000000" w:rsidRPr="00000000">
        <w:rPr>
          <w:rtl w:val="0"/>
        </w:rPr>
        <w:t xml:space="preserve">        </w:t>
        <w:tab/>
        <w:t xml:space="preserve">We cannot always be certain in threat intelligence because attackers can reuse tools, infrastructure, malware, and techniques, causing different threat groups to appear similar. Intelligence reports may also be based on incomplete samples, limited visibility, or different attribution methodologies. In this case, APT28 has infrastructure similarities while APT29 has stronger code and timeline evidence, showing why conflicting intelligence must be carefully evaluated. Therefore, attribution should be treated as an evidence-based assessment rather than absolute proof, and the confidence level should be updated when new evidence becomes available.</w:t>
      </w:r>
    </w:p>
    <w:p w:rsidR="00000000" w:rsidDel="00000000" w:rsidP="00000000" w:rsidRDefault="00000000" w:rsidRPr="00000000" w14:paraId="00000012">
      <w:pPr>
        <w:spacing w:after="160" w:lineRule="auto"/>
        <w:rPr>
          <w:b w:val="1"/>
          <w:bCs w:val="1"/>
          <w:sz w:val="36"/>
          <w:szCs w:val="36"/>
          <w:u w:val="single"/>
        </w:rPr>
      </w:pPr>
      <w:r w:rsidDel="00000000" w:rsidR="00000000" w:rsidRPr="00000000">
        <w:rPr>
          <w:b w:val="1"/>
          <w:bCs w:val="1"/>
          <w:sz w:val="36"/>
          <w:szCs w:val="36"/>
          <w:u w:val="single"/>
          <w:rtl w:val="0"/>
        </w:rPr>
        <w:t xml:space="preserve">Sources</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MITRE ATT&amp;CK –  </w:t>
      </w:r>
      <w:hyperlink r:id="rId6">
        <w:r w:rsidDel="00000000" w:rsidR="00000000" w:rsidRPr="00000000">
          <w:rPr>
            <w:color w:val="1155cc"/>
            <w:u w:val="single"/>
            <w:rtl w:val="0"/>
          </w:rPr>
          <w:t xml:space="preserve">https://attack.mitre.org/groups/G0007/</w:t>
        </w:r>
      </w:hyperlink>
      <w:r w:rsidDel="00000000" w:rsidR="00000000" w:rsidRPr="00000000">
        <w:rPr>
          <w:rtl w:val="0"/>
        </w:rPr>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MITRE ATT&amp;CK –  </w:t>
      </w:r>
      <w:hyperlink r:id="rId7">
        <w:r w:rsidDel="00000000" w:rsidR="00000000" w:rsidRPr="00000000">
          <w:rPr>
            <w:color w:val="1155cc"/>
            <w:u w:val="single"/>
            <w:rtl w:val="0"/>
          </w:rPr>
          <w:t xml:space="preserve">https://attack.mitre.org/groups/G0016/</w:t>
        </w:r>
      </w:hyperlink>
      <w:r w:rsidDel="00000000" w:rsidR="00000000" w:rsidRPr="00000000">
        <w:rPr>
          <w:rtl w:val="0"/>
        </w:rPr>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Mandiant/Google Cloud – UNC2452 merged into APT29 ---</w:t>
      </w:r>
    </w:p>
    <w:p w:rsidR="00000000" w:rsidDel="00000000" w:rsidP="00000000" w:rsidRDefault="00000000" w:rsidRPr="00000000" w14:paraId="00000016">
      <w:pPr>
        <w:spacing w:after="160" w:lineRule="auto"/>
        <w:ind w:left="720" w:firstLine="0"/>
        <w:rPr>
          <w:color w:val="1155cc"/>
          <w:u w:val="single"/>
        </w:rPr>
      </w:pPr>
      <w:hyperlink r:id="rId8">
        <w:r w:rsidDel="00000000" w:rsidR="00000000" w:rsidRPr="00000000">
          <w:rPr>
            <w:color w:val="1155cc"/>
            <w:u w:val="single"/>
            <w:rtl w:val="0"/>
          </w:rPr>
          <w:t xml:space="preserve">https://cloud.google.com/blog/topics/threat-intelligence/unc2452-merged-into-apt29</w:t>
        </w:r>
      </w:hyperlink>
      <w:r w:rsidDel="00000000" w:rsidR="00000000" w:rsidRPr="00000000">
        <w:rPr>
          <w:rtl w:val="0"/>
        </w:rPr>
      </w:r>
    </w:p>
    <w:p w:rsidR="00000000" w:rsidDel="00000000" w:rsidP="00000000" w:rsidRDefault="00000000" w:rsidRPr="00000000" w14:paraId="00000017">
      <w:pPr>
        <w:spacing w:after="160" w:lineRule="auto"/>
        <w:ind w:left="720" w:firstLine="0"/>
        <w:rPr/>
      </w:pPr>
      <w:r w:rsidDel="00000000" w:rsidR="00000000" w:rsidRPr="00000000">
        <w:rPr>
          <w:rtl w:val="0"/>
        </w:rPr>
        <w:t xml:space="preserve"> </w:t>
      </w:r>
    </w:p>
    <w:p w:rsidR="00000000" w:rsidDel="00000000" w:rsidP="00000000" w:rsidRDefault="00000000" w:rsidRPr="00000000" w14:paraId="00000018">
      <w:pPr>
        <w:spacing w:after="160" w:lineRule="auto"/>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ttack.mitre.org/groups/G0007/" TargetMode="External"/><Relationship Id="rId7" Type="http://schemas.openxmlformats.org/officeDocument/2006/relationships/hyperlink" Target="https://attack.mitre.org/groups/G0016/" TargetMode="External"/><Relationship Id="rId8" Type="http://schemas.openxmlformats.org/officeDocument/2006/relationships/hyperlink" Target="https://cloud.google.com/blog/topics/threat-intelligence/unc2452-merged-into-apt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