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p>
      <w:pPr>
        <w:spacing w:after="0" w:before="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60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200" w:before="0"/>
            </w:pPr>
            <w:r>
              <w:rPr>
                <w:rFonts w:ascii="Inter" w:cs="Inter" w:eastAsia="Inter" w:hAnsi="Inter"/>
                <w:b/>
                <w:bCs/>
                <w:color w:val="FFFFFF"/>
                <w:sz w:val="96"/>
                <w:szCs w:val="96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96"/>
                <w:szCs w:val="96"/>
              </w:rPr>
              <w:t xml:space="preserve">tech</w:t>
            </w:r>
          </w:p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00C46A"/>
                <w:spacing w:val="80"/>
                <w:sz w:val="28"/>
                <w:szCs w:val="28"/>
              </w:rPr>
              <w:t xml:space="preserve">BRANDBOOK</w:t>
            </w:r>
          </w:p>
          <w:p>
            <w:pPr>
              <w:spacing w:after="160" w:before="0"/>
            </w:pPr>
            <w:r>
              <w:rPr>
                <w:rFonts w:ascii="Inter" w:cs="Inter" w:eastAsia="Inter" w:hAnsi="Inter"/>
                <w:i/>
                <w:iCs/>
                <w:color w:val="A1A1AA"/>
                <w:sz w:val="24"/>
                <w:szCs w:val="24"/>
              </w:rPr>
              <w:t xml:space="preserve">Inteligência que age. Gestão que entende.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A1A1AA"/>
                <w:sz w:val="18"/>
                <w:szCs w:val="18"/>
              </w:rPr>
              <w:t xml:space="preserve">Versão 1.0  ·  Maio 2026  ·  Documento confidencial</w:t>
            </w:r>
          </w:p>
        </w:tc>
      </w:tr>
    </w:tbl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SUMÁRIO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Sumário</w:t>
      </w:r>
    </w:p>
    <w:p>
      <w:pPr>
        <w:spacing w:after="36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Este brandbook reúne os fundamentos visuais e verbais do ORCtech. Cada seção pode ser consultada individualmente quando você for tomar decisões de design, copy ou produto.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Sobre o ORCtech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A plataforma, seus dois módulos e quem ela atende.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Marca verbal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Posicionamento, missão, tom de voz e o jeito de escrever.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Logo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Construção, variações, espaço de respiro e usos proibidos.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Cores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Paleta principal, neutros e cores semânticas.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Tipografia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Famílias, escala e hierarquia.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Componentes de UI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Botões, cards, badges e tabelas no estilo do produto.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Iconografia e ilustração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Estilo de ícones e ilustrações de apoio.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Aplicações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Como a marca aparece em produto, social e materiais.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b/>
                <w:bCs/>
                <w:color w:val="00A058"/>
                <w:sz w:val="24"/>
                <w:szCs w:val="24"/>
              </w:rPr>
              <w:t xml:space="preserve">09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80"/>
              <w:left w:type="dxa" w:w="0"/>
              <w:bottom w:type="dxa" w:w="180"/>
              <w:right w:type="dxa" w:w="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A0A0A"/>
                <w:sz w:val="24"/>
                <w:szCs w:val="24"/>
              </w:rPr>
              <w:t xml:space="preserve">Boas práticas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Checklist para cada peça antes de publicar.</w:t>
            </w:r>
          </w:p>
        </w:tc>
      </w:tr>
    </w:tbl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01 · SOBRE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Sobre o ORCtech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ORCtech é a plataforma brasileira que une ERP com Inteligência Artificial para varejistas e prestadores de serviço. Dois módulos independentes, um único nome, valor real desde o primeiro dia.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O que vendemos</w:t>
      </w:r>
    </w:p>
    <w:p>
      <w:pPr>
        <w:spacing w:after="1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ORCtech é vendido em dois módulos independentes. O cliente contrata o que precisa, ou os dois com desconto no combo.</w:t>
      </w:r>
    </w:p>
    <w:p>
      <w:pPr>
        <w:spacing w:after="20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A0A0A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32"/>
                <w:szCs w:val="32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32"/>
                <w:szCs w:val="32"/>
              </w:rPr>
              <w:t xml:space="preserve">tech </w:t>
            </w: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32"/>
                <w:szCs w:val="32"/>
              </w:rPr>
              <w:t xml:space="preserve">Loja</w:t>
            </w:r>
          </w:p>
          <w:p>
            <w:pPr>
              <w:spacing w:after="200"/>
            </w:pPr>
            <w:r>
              <w:rPr>
                <w:rFonts w:ascii="Inter" w:cs="Inter" w:eastAsia="Inter" w:hAnsi="Inter"/>
                <w:color w:val="A1A1AA"/>
                <w:sz w:val="20"/>
                <w:szCs w:val="20"/>
              </w:rPr>
              <w:t xml:space="preserve">ERP com IA para varejistas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C46A"/>
                <w:spacing w:val="40"/>
                <w:sz w:val="14"/>
                <w:szCs w:val="14"/>
              </w:rPr>
              <w:t xml:space="preserve">PARA QUEM</w:t>
            </w:r>
          </w:p>
          <w:p>
            <w:pPr>
              <w:spacing w:after="200"/>
            </w:pPr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Lojistas de roupas, semi-joias, cosméticos, beleza, decoração, alimentos, pet shop e qualquer produto físico.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C46A"/>
                <w:spacing w:val="40"/>
                <w:sz w:val="14"/>
                <w:szCs w:val="14"/>
              </w:rPr>
              <w:t xml:space="preserve">FAIXA DE PREÇO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R$ 297 a R$ 997 / mês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A0A0A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100"/>
            </w:pPr>
            <w:r>
              <w:rPr>
                <w:rFonts w:ascii="Inter" w:cs="Inter" w:eastAsia="Inter" w:hAnsi="Inter"/>
                <w:b/>
                <w:bCs/>
                <w:color w:val="FFFFFF"/>
                <w:sz w:val="32"/>
                <w:szCs w:val="32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32"/>
                <w:szCs w:val="32"/>
              </w:rPr>
              <w:t xml:space="preserve">tech </w:t>
            </w:r>
            <w:r>
              <w:rPr>
                <w:rFonts w:ascii="Inter" w:cs="Inter" w:eastAsia="Inter" w:hAnsi="Inter"/>
                <w:b w:val="false"/>
                <w:bCs w:val="false"/>
                <w:color w:val="FFFFFF"/>
                <w:sz w:val="32"/>
                <w:szCs w:val="32"/>
              </w:rPr>
              <w:t xml:space="preserve">Orça</w:t>
            </w:r>
          </w:p>
          <w:p>
            <w:pPr>
              <w:spacing w:after="200"/>
            </w:pPr>
            <w:r>
              <w:rPr>
                <w:rFonts w:ascii="Inter" w:cs="Inter" w:eastAsia="Inter" w:hAnsi="Inter"/>
                <w:color w:val="A1A1AA"/>
                <w:sz w:val="20"/>
                <w:szCs w:val="20"/>
              </w:rPr>
              <w:t xml:space="preserve">Gestor de orçamentos com IA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C46A"/>
                <w:spacing w:val="40"/>
                <w:sz w:val="14"/>
                <w:szCs w:val="14"/>
              </w:rPr>
              <w:t xml:space="preserve">PARA QUEM</w:t>
            </w:r>
          </w:p>
          <w:p>
            <w:pPr>
              <w:spacing w:after="200"/>
            </w:pPr>
            <w:r>
              <w:rPr>
                <w:rFonts w:ascii="Inter" w:cs="Inter" w:eastAsia="Inter" w:hAnsi="Inter"/>
                <w:color w:val="FFFFFF"/>
                <w:sz w:val="20"/>
                <w:szCs w:val="20"/>
              </w:rPr>
              <w:t xml:space="preserve">Oficinas, funilarias, eletricistas, ar-condicionado, encanadores, eletrônica e qualquer serviço que emita orçamento.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C46A"/>
                <w:spacing w:val="40"/>
                <w:sz w:val="14"/>
                <w:szCs w:val="14"/>
              </w:rPr>
              <w:t xml:space="preserve">FAIXA DE PREÇO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R$ 197 a R$ 697 / mês</w:t>
            </w:r>
          </w:p>
        </w:tc>
      </w:tr>
    </w:tbl>
    <w:p>
      <w:pPr>
        <w:spacing w:after="24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Diferencial central</w:t>
      </w:r>
    </w:p>
    <w:p>
      <w:pPr>
        <w:spacing w:after="1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IA que age no negócio — descrição automática, lançamento multi-canal, análise de foto — não só armazena dados. Esse é o ponto que diferencia o ORCtech de qualquer ERP tradicional.</w:t>
      </w:r>
    </w:p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02 · MARCA VERBAL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Marca verbal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Como o ORCtech se posiciona, fala e se apresenta em qualquer canal.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Posicionamento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9F0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0A0A0A"/>
                <w:sz w:val="28"/>
                <w:szCs w:val="28"/>
              </w:rPr>
              <w:t xml:space="preserve">ORCtech é o ERP com IA que cuida do trabalho chato — descrições, fotos, orçamentos — pra você cuidar do que importa: vender e atender.</w:t>
            </w:r>
          </w:p>
        </w:tc>
      </w:tr>
    </w:tbl>
    <w:p>
      <w:pPr>
        <w:spacing w:after="20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Missão</w:t>
      </w:r>
    </w:p>
    <w:p>
      <w:pPr>
        <w:spacing w:after="1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Dar a pequenos e médios negócios brasileiros o mesmo poder de automação que grandes empresas têm — por um preço justo, em português, e com IA que entende o nosso mercado.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Promessa</w:t>
      </w:r>
    </w:p>
    <w:p>
      <w:pPr>
        <w:spacing w:after="1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Valor real desde o primeiro dia. Sem onboarding longo, sem migração dolorosa. O cliente cadastra um produto e a IA já trabalha por ele.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Pilares de marca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Confiança.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Margens transparentes, preços claros, regras simples. Sem letras miúdas.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Tech acessível.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Ferramentas avançadas em linguagem que qualquer dono de loja entende.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Crescimento.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Cada feature existe pra vender mais, atender melhor, escalar com menos dor.</w:t>
      </w:r>
    </w:p>
    <w:p>
      <w:pPr>
        <w:spacing w:after="14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Brasileiro.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Pensado pra realidade do varejista e prestador BR — Shopee, ML, TikTok, WhatsApp.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Tom de voz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Direto, prático, sem firula. Falamos como brasileiro que respeita o tempo do outro. Confiante mas nunca arrogante. Técnico quando precisa, humano sempre.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single" w:color="E4E4E7" w:sz="4"/>
          <w:insideV w:val="single" w:color="E4E4E7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E6F9F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✓  Faça</w:t>
            </w:r>
          </w:p>
        </w:tc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EF2F2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EF4444"/>
                <w:sz w:val="22"/>
                <w:szCs w:val="22"/>
              </w:rPr>
              <w:t xml:space="preserve">✕  Não faça</w:t>
            </w:r>
          </w:p>
        </w:tc>
      </w:tr>
      <w:tr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Sua loja, sua IA. Cadastra e ela escreve.</w:t>
            </w:r>
          </w:p>
        </w:tc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Solução inovadora baseada em IA generativa de última geração.</w:t>
            </w:r>
          </w:p>
        </w:tc>
      </w:tr>
      <w:tr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Margem acima de 95% em todos os planos.</w:t>
            </w:r>
          </w:p>
        </w:tc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Otimização robusta de eficiência operacional.</w:t>
            </w:r>
          </w:p>
        </w:tc>
      </w:tr>
      <w:tr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Funciona com Shopee, ML e TikTok Shop.</w:t>
            </w:r>
          </w:p>
        </w:tc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Integrações multi-marketplace de alta performance.</w:t>
            </w:r>
          </w:p>
        </w:tc>
      </w:tr>
      <w:tr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Sem mensalidade abusiva, sem letra miúda.</w:t>
            </w:r>
          </w:p>
        </w:tc>
        <w:tc>
          <w:tcPr>
            <w:tcW w:type="dxa" w:w="46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Investimento estratégico com ROI comprovado.</w:t>
            </w:r>
          </w:p>
        </w:tc>
      </w:tr>
    </w:tbl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03 · LOGO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Logo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A logo do ORCtech é uma palavra-marca em duas cores: ORC em preto/branco (dependendo do fundo) e tech no verde principal. A divisão visual reforça duas ideias: orçamento + tecnologia.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Versão principal — fundo claro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0A0A0A"/>
                <w:sz w:val="84"/>
                <w:szCs w:val="84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84"/>
                <w:szCs w:val="84"/>
              </w:rPr>
              <w:t xml:space="preserve">tech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20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Versão dark — fundo preto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rPr>
          <w:trHeight w:val="2400" w:hRule="atLeas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/>
            </w:pPr>
            <w:r>
              <w:t xml:space="preserve"> 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84"/>
                <w:szCs w:val="84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84"/>
                <w:szCs w:val="84"/>
              </w:rPr>
              <w:t xml:space="preserve">tech</w:t>
            </w:r>
          </w:p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20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Monocromática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impressões em uma cor só ou contextos onde o verde não funciona (fax, carimbo, peças oficiais). A logo vira 100% preta no fundo claro ou 100% branca no fundo escuro.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Construção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Fonte.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Inter Bold (peso 700) em ambas as palavras.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Divisão.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ORC + tech. Nunca quebre em outra divisão (ORCt + ech, OR + Ctech, etc).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Cor da palavra ORC.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Preto #0A0A0A em fundos claros · Branco em fundos escuros.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Cor da palavra tech.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Verde tech #00C46A em qualquer fundo.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Capitalização.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ORC em maiúsculas. tech em minúsculas. Sempre.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Espaço entre palavras.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Sem espaço. ORCtech é uma palavra única visualmente.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Espaço de respiro</w:t>
      </w:r>
    </w:p>
    <w:p>
      <w:pPr>
        <w:spacing w:after="1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Mantenha em volta da logo uma área livre equivalente à altura da letra O. Nada de elementos, texto ou imagens nessa zona — ela protege a leitura da marca.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Tamanho mínimo</w:t>
      </w:r>
    </w:p>
    <w:p>
      <w:pPr>
        <w:spacing w:after="1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Digital: 24px de altura. Impresso: 12mm de altura. Abaixo disso a palavra tech perde legibilidade.</w:t>
      </w:r>
    </w:p>
    <w:p>
      <w:pPr>
        <w:spacing w:after="24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Usos proibidos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✕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troque as cores das palavras (ex: ORC em verde e tech em preto).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✕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use a logo em ângulo, distorcida ou com sombra.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✕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aplique gradientes, contornos ou efeitos.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✕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use sobre fundos de baixo contraste (cinza médio, verde claro, etc).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✕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substitua a tipografia. É Inter Bold, sempre.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EF4444"/>
          <w:sz w:val="22"/>
          <w:szCs w:val="22"/>
        </w:rPr>
        <w:t xml:space="preserve">✕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use a logo dentro de uma caixa colorida fora do padrão (preto, branco ou verde).</w:t>
      </w:r>
    </w:p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04 · CORES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Paleta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A paleta do ORCtech é construída em torno do contraste preto + verde tech. Os neutros sustentam a legibilidade, o verde carrega a personalidade.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Cores principais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Essas cores definem a identidade. O verde tech é a cor que diz "é ORCtech".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0C46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Verde tech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#00C46A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Verde tech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#00C46A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0, 196, 106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Cor principal. Botões primários, destaques, ícones-chave, palavra 'tech' na logo.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0A05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Verde deep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#00A058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Verde deep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#00A058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0, 160, 88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Hover e pressed dos botões verdes. Também usado em texto verde sobre fundo claro.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A0A0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Preto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#0A0A0A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Preto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#0A0A0A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10, 10, 10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Fundo de páginas dark, header da logo, texto principal em fundo claro.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A1A1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Charcoal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#1A1A1A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Charcoal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#1A1A1A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26, 26, 26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Cards e superfícies elevadas em modo dark. Sidebar, modais, dropdowns.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E6F9F0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00A058"/>
                <w:sz w:val="24"/>
                <w:szCs w:val="24"/>
              </w:rPr>
              <w:t xml:space="preserve">Verde soft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00A058"/>
                <w:sz w:val="18"/>
                <w:szCs w:val="18"/>
              </w:rPr>
              <w:t xml:space="preserve">#E6F9F0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Verde soft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#E6F9F0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230, 249, 240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Background de badges, callouts, cards de destaque positivo (vendas, sucesso).</w:t>
            </w:r>
          </w:p>
        </w:tc>
      </w:tr>
    </w:tbl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04 · CORES</w:t>
      </w:r>
    </w:p>
    <w:p>
      <w:pPr>
        <w:spacing w:after="160" w:before="320" w:line="30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Neutros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Cinzas usados em fundos, bordas, texto secundário e estados desabilitados.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1A1A1A"/>
                <w:sz w:val="24"/>
                <w:szCs w:val="24"/>
              </w:rPr>
              <w:t xml:space="preserve">Off-white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1A1A1A"/>
                <w:sz w:val="18"/>
                <w:szCs w:val="18"/>
              </w:rPr>
              <w:t xml:space="preserve">#FAFAFA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Off-white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#FAFAFA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250, 250, 250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Background de páginas em modo claro. Nunca branco puro.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7F7F8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1A1A1A"/>
                <w:sz w:val="24"/>
                <w:szCs w:val="24"/>
              </w:rPr>
              <w:t xml:space="preserve">Gray 50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1A1A1A"/>
                <w:sz w:val="18"/>
                <w:szCs w:val="18"/>
              </w:rPr>
              <w:t xml:space="preserve">#F7F7F8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Gray 50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#F7F7F8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247, 247, 248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Superfícies secundárias, inputs em descanso, separações sutis.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E4E4E7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1A1A1A"/>
                <w:sz w:val="24"/>
                <w:szCs w:val="24"/>
              </w:rPr>
              <w:t xml:space="preserve">Gray 200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1A1A1A"/>
                <w:sz w:val="18"/>
                <w:szCs w:val="18"/>
              </w:rPr>
              <w:t xml:space="preserve">#E4E4E7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Gray 200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#E4E4E7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228, 228, 231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Bordas e divisores. A linha que organiza sem chamar atenção.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A1A1A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Gray 400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#A1A1AA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Gray 400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#A1A1AA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161, 161, 170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Texto muted, placeholder, labels secundários, ícones desabilitados.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52525B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Gray 600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#52525B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Gray 600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#52525B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82, 82, 91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Texto secundário com mais peso. Descrições, parágrafos de apoio.</w:t>
            </w:r>
          </w:p>
        </w:tc>
      </w:tr>
    </w:tbl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04 · CORES</w:t>
      </w:r>
    </w:p>
    <w:p>
      <w:pPr>
        <w:spacing w:after="160" w:before="320" w:line="30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Cores semânticas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Para feedback em produto. Sempre nas mesmas situações.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0C46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Sucesso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#00C46A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Sucesso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#00C46A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0, 196, 106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Confirmações, vendas, pagamentos aprovados. É o próprio verde tech.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59E0B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Atenção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#F59E0B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Atenção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#F59E0B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245, 158, 11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Estoque baixo, prazos próximos, avisos não-críticos.</w:t>
            </w:r>
          </w:p>
        </w:tc>
      </w:tr>
    </w:tbl>
    <w:p>
      <w:pPr>
        <w:spacing w:after="80"/>
      </w:pPr>
      <w:r>
        <w:t xml:space="preserve"> 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none" w:color="FFFFFF" w:sz="0"/>
          <w:insideV w:val="none" w:color="FFFFFF" w:sz="0"/>
        </w:tblBorders>
      </w:tblPr>
      <w:tblGrid>
        <w:gridCol w:w="2400"/>
        <w:gridCol w:w="6960"/>
      </w:tblGrid>
      <w:tr>
        <w:trPr>
          <w:trHeight w:val="1800" w:hRule="atLeast"/>
        </w:trPr>
        <w:tc>
          <w:tcPr>
            <w:tcW w:type="dxa" w:w="24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EF4444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Erro</w:t>
            </w:r>
          </w:p>
          <w:p>
            <w:pPr>
              <w:spacing w:after="0"/>
              <w:jc w:val="center"/>
            </w:pPr>
            <w:r>
              <w:rPr>
                <w:rFonts w:ascii="JetBrains Mono" w:cs="JetBrains Mono" w:eastAsia="JetBrains Mono" w:hAnsi="JetBrains Mono"/>
                <w:color w:val="FFFFFF"/>
                <w:sz w:val="18"/>
                <w:szCs w:val="18"/>
              </w:rPr>
              <w:t xml:space="preserve">#EF4444</w:t>
            </w:r>
          </w:p>
        </w:tc>
        <w:tc>
          <w:tcPr>
            <w:tcW w:type="dxa" w:w="69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Erro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HEX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#EF4444</w:t>
            </w:r>
            <w:r>
              <w:rPr>
                <w:rFonts w:ascii="Inter" w:cs="Inter" w:eastAsia="Inter" w:hAnsi="Inter"/>
                <w:b/>
                <w:bCs/>
                <w:color w:val="A1A1AA"/>
                <w:sz w:val="18"/>
                <w:szCs w:val="18"/>
              </w:rPr>
              <w:t xml:space="preserve">    RGB  </w:t>
            </w:r>
            <w:r>
              <w:rPr>
                <w:rFonts w:ascii="JetBrains Mono" w:cs="JetBrains Mono" w:eastAsia="JetBrains Mono" w:hAnsi="JetBrains Mono"/>
                <w:color w:val="1A1A1A"/>
                <w:sz w:val="20"/>
                <w:szCs w:val="20"/>
              </w:rPr>
              <w:t xml:space="preserve">239, 68, 68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52525B"/>
                <w:sz w:val="20"/>
                <w:szCs w:val="20"/>
              </w:rPr>
              <w:t xml:space="preserve">Validações, falhas, exclusões, ações destrutivas.</w:t>
            </w:r>
          </w:p>
        </w:tc>
      </w:tr>
    </w:tbl>
    <w:p>
      <w:pPr>
        <w:spacing w:after="24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Combinação recomendada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O bloco abaixo mostra o uso canônico: fundo preto, texto branco, destaque verde tech.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200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28"/>
                <w:szCs w:val="28"/>
              </w:rPr>
              <w:t xml:space="preserve">tech</w:t>
            </w:r>
            <w:r>
              <w:rPr>
                <w:rFonts w:ascii="Inter" w:cs="Inter" w:eastAsia="Inter" w:hAnsi="Inter"/>
                <w:color w:val="1A1A1A"/>
                <w:sz w:val="24"/>
                <w:szCs w:val="24"/>
              </w:rPr>
              <w:t xml:space="preserve">                                                       </w:t>
            </w: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 + Novo produto </w:t>
            </w:r>
          </w:p>
          <w:tbl>
            <w:tblPr>
              <w:tblW w:type="dxa" w:w="8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100"/>
              <w:gridCol w:w="200"/>
              <w:gridCol w:w="4100"/>
            </w:tblGrid>
            <w:tr>
              <w:tc>
                <w:tcPr>
                  <w:tcW w:type="dxa" w:w="4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color="auto" w:val="clear"/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60"/>
                  </w:pPr>
                  <w:r>
                    <w:rPr>
                      <w:rFonts w:ascii="Inter" w:cs="Inter" w:eastAsia="Inter" w:hAnsi="Inter"/>
                      <w:color w:val="A1A1AA"/>
                      <w:sz w:val="18"/>
                      <w:szCs w:val="18"/>
                    </w:rPr>
                    <w:t xml:space="preserve">Vendas hoje</w:t>
                  </w:r>
                </w:p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0C46A"/>
                      <w:sz w:val="32"/>
                      <w:szCs w:val="32"/>
                    </w:rPr>
                    <w:t xml:space="preserve">R$ 3.420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color="auto" w:val="clear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4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color="auto" w:val="clear"/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60"/>
                  </w:pPr>
                  <w:r>
                    <w:rPr>
                      <w:rFonts w:ascii="Inter" w:cs="Inter" w:eastAsia="Inter" w:hAnsi="Inter"/>
                      <w:color w:val="A1A1AA"/>
                      <w:sz w:val="18"/>
                      <w:szCs w:val="18"/>
                    </w:rPr>
                    <w:t xml:space="preserve">Estoque baixo</w:t>
                  </w:r>
                </w:p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32"/>
                      <w:szCs w:val="32"/>
                    </w:rPr>
                    <w:t xml:space="preserve">12 itens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05 · TIPOGRAFIA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Tipografia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Uma única família para tudo: Inter. Limpa, técnica, gratuita, com excelente legibilidade em telas pequenas — perfeita para um produto SaaS.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Família principal — Inter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A0A0A"/>
                <w:sz w:val="240"/>
                <w:szCs w:val="240"/>
              </w:rPr>
              <w:t xml:space="preserve">Aa</w:t>
            </w:r>
          </w:p>
          <w:p>
            <w:pPr>
              <w:spacing w:after="80" w:before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28"/>
                <w:szCs w:val="28"/>
              </w:rPr>
              <w:t xml:space="preserve">Inter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ABCDEFGHIJKLMNOPQRSTUVWXYZ</w:t>
            </w:r>
          </w:p>
          <w:p>
            <w:pPr>
              <w:spacing w:after="60"/>
            </w:pP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abcdefghijklmnopqrstuvwxyz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0123456789 R$ ! ? @ # &amp; %</w:t>
            </w:r>
          </w:p>
        </w:tc>
      </w:tr>
    </w:tbl>
    <w:p>
      <w:pPr>
        <w:spacing w:after="24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Família monoespaçada — JetBrains Mono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Apenas para valores numéricos onde alinhamento importa: códigos de cor, dados financeiros tabulares, SKUs, IDs. Nunca em parágrafos.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Pesos usados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Regular (400).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Parágrafos, textos de apoio, labels de input.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Medium (500).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Botões secundários, navegação, links.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Semibold (600).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Subtítulos, valores em destaque, cabeçalhos de tabela.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Bold (700).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Logo, títulos H1/H2/H3, números grandes (vendas, totais).</w:t>
      </w:r>
    </w:p>
    <w:p>
      <w:pPr>
        <w:spacing w:after="20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Escala tipográfica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A escala segue múltiplos coerentes. Mantenha-se nela em vez de criar tamanhos intermediários.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A058"/>
                <w:sz w:val="20"/>
                <w:szCs w:val="20"/>
              </w:rPr>
              <w:t xml:space="preserve">Display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A1A1AA"/>
                <w:sz w:val="16"/>
                <w:szCs w:val="16"/>
              </w:rPr>
              <w:t xml:space="preserve">48px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line="280"/>
            </w:pPr>
            <w:r>
              <w:rPr>
                <w:rFonts w:ascii="Inter" w:cs="Inter" w:eastAsia="Inter" w:hAnsi="Inter"/>
                <w:b/>
                <w:bCs/>
                <w:color w:val="0A0A0A"/>
                <w:sz w:val="96"/>
                <w:szCs w:val="96"/>
              </w:rPr>
              <w:t xml:space="preserve">Inteligência que 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i/>
                <w:iCs/>
                <w:color w:val="52525B"/>
                <w:sz w:val="18"/>
                <w:szCs w:val="18"/>
              </w:rPr>
              <w:t xml:space="preserve">Hero da landing, capa.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A058"/>
                <w:sz w:val="20"/>
                <w:szCs w:val="20"/>
              </w:rPr>
              <w:t xml:space="preserve">H1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A1A1AA"/>
                <w:sz w:val="16"/>
                <w:szCs w:val="16"/>
              </w:rPr>
              <w:t xml:space="preserve">32px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line="280"/>
            </w:pPr>
            <w:r>
              <w:rPr>
                <w:rFonts w:ascii="Inter" w:cs="Inter" w:eastAsia="Inter" w:hAnsi="Inter"/>
                <w:b/>
                <w:bCs/>
                <w:color w:val="0A0A0A"/>
                <w:sz w:val="56"/>
                <w:szCs w:val="56"/>
              </w:rPr>
              <w:t xml:space="preserve">Inteligência que 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i/>
                <w:iCs/>
                <w:color w:val="52525B"/>
                <w:sz w:val="18"/>
                <w:szCs w:val="18"/>
              </w:rPr>
              <w:t xml:space="preserve">Título de página.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A058"/>
                <w:sz w:val="20"/>
                <w:szCs w:val="20"/>
              </w:rPr>
              <w:t xml:space="preserve">H2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A1A1AA"/>
                <w:sz w:val="16"/>
                <w:szCs w:val="16"/>
              </w:rPr>
              <w:t xml:space="preserve">24px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line="280"/>
            </w:pPr>
            <w:r>
              <w:rPr>
                <w:rFonts w:ascii="Inter" w:cs="Inter" w:eastAsia="Inter" w:hAnsi="Inter"/>
                <w:b/>
                <w:bCs/>
                <w:color w:val="0A0A0A"/>
                <w:sz w:val="36"/>
                <w:szCs w:val="36"/>
              </w:rPr>
              <w:t xml:space="preserve">Inteligência que 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i/>
                <w:iCs/>
                <w:color w:val="52525B"/>
                <w:sz w:val="18"/>
                <w:szCs w:val="18"/>
              </w:rPr>
              <w:t xml:space="preserve">Seção principal.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A058"/>
                <w:sz w:val="20"/>
                <w:szCs w:val="20"/>
              </w:rPr>
              <w:t xml:space="preserve">H3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A1A1AA"/>
                <w:sz w:val="16"/>
                <w:szCs w:val="16"/>
              </w:rPr>
              <w:t xml:space="preserve">18px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line="280"/>
            </w:pPr>
            <w:r>
              <w:rPr>
                <w:rFonts w:ascii="Inter" w:cs="Inter" w:eastAsia="Inter" w:hAnsi="Inter"/>
                <w:b/>
                <w:bCs/>
                <w:color w:val="0A0A0A"/>
                <w:sz w:val="26"/>
                <w:szCs w:val="26"/>
              </w:rPr>
              <w:t xml:space="preserve">Inteligência que 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i/>
                <w:iCs/>
                <w:color w:val="52525B"/>
                <w:sz w:val="18"/>
                <w:szCs w:val="18"/>
              </w:rPr>
              <w:t xml:space="preserve">Subseção.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A058"/>
                <w:sz w:val="20"/>
                <w:szCs w:val="20"/>
              </w:rPr>
              <w:t xml:space="preserve">Body L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A1A1AA"/>
                <w:sz w:val="16"/>
                <w:szCs w:val="16"/>
              </w:rPr>
              <w:t xml:space="preserve">16px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line="28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Inteligência que 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i/>
                <w:iCs/>
                <w:color w:val="52525B"/>
                <w:sz w:val="18"/>
                <w:szCs w:val="18"/>
              </w:rPr>
              <w:t xml:space="preserve">Parágrafo padrão.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A058"/>
                <w:sz w:val="20"/>
                <w:szCs w:val="20"/>
              </w:rPr>
              <w:t xml:space="preserve">Body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A1A1AA"/>
                <w:sz w:val="16"/>
                <w:szCs w:val="16"/>
              </w:rPr>
              <w:t xml:space="preserve">14px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line="280"/>
            </w:pPr>
            <w:r>
              <w:rPr>
                <w:rFonts w:ascii="Inter" w:cs="Inter" w:eastAsia="Inter" w:hAnsi="Inter"/>
                <w:b/>
                <w:bCs/>
                <w:color w:val="0A0A0A"/>
                <w:sz w:val="20"/>
                <w:szCs w:val="20"/>
              </w:rPr>
              <w:t xml:space="preserve">Inteligência que 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i/>
                <w:iCs/>
                <w:color w:val="52525B"/>
                <w:sz w:val="18"/>
                <w:szCs w:val="18"/>
              </w:rPr>
              <w:t xml:space="preserve">Texto de apoio.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single" w:color="E4E4E7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Inter" w:cs="Inter" w:eastAsia="Inter" w:hAnsi="Inter"/>
                <w:b/>
                <w:bCs/>
                <w:color w:val="00A058"/>
                <w:sz w:val="20"/>
                <w:szCs w:val="20"/>
              </w:rPr>
              <w:t xml:space="preserve">Caption</w:t>
            </w:r>
          </w:p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color w:val="A1A1AA"/>
                <w:sz w:val="16"/>
                <w:szCs w:val="16"/>
              </w:rPr>
              <w:t xml:space="preserve">12px</w:t>
            </w:r>
          </w:p>
        </w:tc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60"/>
              <w:right w:type="dxa" w:w="0"/>
            </w:tcMar>
            <w:vAlign w:val="center"/>
          </w:tcPr>
          <w:p>
            <w:pPr>
              <w:spacing w:after="0" w:line="280"/>
            </w:pPr>
            <w:r>
              <w:rPr>
                <w:rFonts w:ascii="Inter" w:cs="Inter" w:eastAsia="Inter" w:hAnsi="Inter"/>
                <w:b/>
                <w:bCs/>
                <w:color w:val="0A0A0A"/>
                <w:sz w:val="18"/>
                <w:szCs w:val="18"/>
              </w:rPr>
              <w:t xml:space="preserve">Inteligência que age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16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Inter" w:cs="Inter" w:eastAsia="Inter" w:hAnsi="Inter"/>
                <w:i/>
                <w:iCs/>
                <w:color w:val="52525B"/>
                <w:sz w:val="18"/>
                <w:szCs w:val="18"/>
              </w:rPr>
              <w:t xml:space="preserve">Labels, metadados.</w:t>
            </w:r>
          </w:p>
        </w:tc>
      </w:tr>
    </w:tbl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06 · COMPONENTES DE UI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Componentes de UI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Os blocos visuais que se repetem dentro do produto. Mantenha a consistência — quando um componente muda, todos mudam juntos.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Botões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Três variações cobrem 95% dos casos: primário, secundário, ghost.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single" w:color="E4E4E7" w:sz="4"/>
          <w:insideV w:val="single" w:color="E4E4E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color="auto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color w:val="00C46A"/>
                <w:sz w:val="22"/>
                <w:szCs w:val="22"/>
              </w:rPr>
              <w:t xml:space="preserve">  </w:t>
            </w:r>
            <w:r>
              <w:rPr>
                <w:rFonts w:ascii="Inter" w:cs="Inter" w:eastAsia="Inter" w:hAnsi="Inter"/>
                <w:b/>
                <w:bCs/>
                <w:color w:val="FFFFFF"/>
                <w:sz w:val="22"/>
                <w:szCs w:val="22"/>
                <w:shd w:fill="00C46A" w:color="auto" w:val="clear"/>
              </w:rPr>
              <w:t xml:space="preserve">+ Novo produto</w:t>
            </w:r>
            <w:r>
              <w:rPr>
                <w:rFonts w:ascii="Inter" w:cs="Inter" w:eastAsia="Inter" w:hAnsi="Inter"/>
                <w:color w:val="00C46A"/>
                <w:sz w:val="22"/>
                <w:szCs w:val="22"/>
              </w:rPr>
              <w:t xml:space="preserve">  </w:t>
            </w:r>
          </w:p>
        </w:tc>
        <w:tc>
          <w:tcPr>
            <w:tcW w:type="dxa" w:w="312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color="auto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</w:t>
            </w:r>
            <w:r>
              <w:rPr>
                <w:rFonts w:ascii="Inter" w:cs="Inter" w:eastAsia="Inter" w:hAnsi="Inter"/>
                <w:b/>
                <w:bCs/>
                <w:color w:val="1A1A1A"/>
                <w:sz w:val="22"/>
                <w:szCs w:val="22"/>
                <w:shd w:fill="FFFFFF" w:color="auto" w:val="clear"/>
              </w:rPr>
              <w:t xml:space="preserve">Cancelar</w:t>
            </w:r>
            <w:r>
              <w:rPr>
                <w:rFonts w:ascii="Inter" w:cs="Inter" w:eastAsia="Inter" w:hAnsi="Inter"/>
                <w:color w:val="FFFFFF"/>
                <w:sz w:val="22"/>
                <w:szCs w:val="22"/>
              </w:rPr>
              <w:t xml:space="preserve">  </w:t>
            </w:r>
          </w:p>
        </w:tc>
        <w:tc>
          <w:tcPr>
            <w:tcW w:type="dxa" w:w="312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color="auto" w:val="clear"/>
            <w:tcMar>
              <w:top w:type="dxa" w:w="400"/>
              <w:left w:type="dxa" w:w="200"/>
              <w:bottom w:type="dxa" w:w="40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  <w:u w:val="single"/>
              </w:rPr>
              <w:t xml:space="preserve">Ver detalhes</w:t>
            </w:r>
          </w:p>
        </w:tc>
      </w:tr>
      <w:tr>
        <w:tc>
          <w:tcPr>
            <w:tcW w:type="dxa" w:w="312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Primário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18"/>
                <w:szCs w:val="18"/>
              </w:rPr>
              <w:t xml:space="preserve">Ação principal da tela. Um por bloco.</w:t>
            </w:r>
          </w:p>
        </w:tc>
        <w:tc>
          <w:tcPr>
            <w:tcW w:type="dxa" w:w="312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Secundário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18"/>
                <w:szCs w:val="18"/>
              </w:rPr>
              <w:t xml:space="preserve">Ações alternativas. Vem ao lado do primário.</w:t>
            </w:r>
          </w:p>
        </w:tc>
        <w:tc>
          <w:tcPr>
            <w:tcW w:type="dxa" w:w="312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0A0A0A"/>
                <w:sz w:val="22"/>
                <w:szCs w:val="22"/>
              </w:rPr>
              <w:t xml:space="preserve">Ghost / Link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52525B"/>
                <w:sz w:val="18"/>
                <w:szCs w:val="18"/>
              </w:rPr>
              <w:t xml:space="preserve">Ações terciárias. Sem fundo, só texto verde.</w:t>
            </w:r>
          </w:p>
        </w:tc>
      </w:tr>
    </w:tbl>
    <w:p>
      <w:pPr>
        <w:spacing w:after="24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Especificações de botão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Altura.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40px (default) · 32px (small) · 48px (large)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Raio.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8px em todos os tamanhos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Padding horizontal.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16px (default) · 12px (small) · 24px (large)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Peso da fonte.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Semibold (600)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Hover.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Primário: verde deep #00A058 · Secundário: gray 50 #F7F7F8</w:t>
      </w:r>
    </w:p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06 · COMPONENTES DE UI</w:t>
      </w:r>
    </w:p>
    <w:p>
      <w:pPr>
        <w:spacing w:after="160" w:before="320" w:line="30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Cards e métricas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Cartões são o bloco visual mais usado no produto. Eles agrupam informação relacionada e podem ser interativos ou puramente informativos.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80"/>
        <w:gridCol w:w="200"/>
        <w:gridCol w:w="4580"/>
      </w:tblGrid>
      <w:tr>
        <w:tc>
          <w:tcPr>
            <w:tcW w:type="dxa" w:w="458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FFFFF" w:color="auto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52525B"/>
                <w:sz w:val="20"/>
                <w:szCs w:val="20"/>
              </w:rPr>
              <w:t xml:space="preserve">Vendas hoje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A0A0A"/>
                <w:sz w:val="40"/>
                <w:szCs w:val="40"/>
              </w:rPr>
              <w:t xml:space="preserve">R$ 3.420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0A058"/>
                <w:sz w:val="18"/>
                <w:szCs w:val="18"/>
              </w:rPr>
              <w:t xml:space="preserve">↑ 12%  </w:t>
            </w:r>
            <w:r>
              <w:rPr>
                <w:rFonts w:ascii="Inter" w:cs="Inter" w:eastAsia="Inter" w:hAnsi="Inter"/>
                <w:color w:val="A1A1AA"/>
                <w:sz w:val="18"/>
                <w:szCs w:val="18"/>
              </w:rPr>
              <w:t xml:space="preserve">vs. ontem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spacing w:after="80"/>
            </w:pPr>
            <w:r>
              <w:rPr>
                <w:rFonts w:ascii="Inter" w:cs="Inter" w:eastAsia="Inter" w:hAnsi="Inter"/>
                <w:color w:val="A1A1AA"/>
                <w:sz w:val="20"/>
                <w:szCs w:val="20"/>
              </w:rPr>
              <w:t xml:space="preserve">Vendas hoje</w:t>
            </w:r>
          </w:p>
          <w:p>
            <w:pPr>
              <w:spacing w:after="80"/>
            </w:pPr>
            <w:r>
              <w:rPr>
                <w:rFonts w:ascii="Inter" w:cs="Inter" w:eastAsia="Inter" w:hAnsi="Inter"/>
                <w:b/>
                <w:bCs/>
                <w:color w:val="00C46A"/>
                <w:sz w:val="40"/>
                <w:szCs w:val="40"/>
              </w:rPr>
              <w:t xml:space="preserve">R$ 3.420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0C46A"/>
                <w:sz w:val="18"/>
                <w:szCs w:val="18"/>
              </w:rPr>
              <w:t xml:space="preserve">↑ 12%  </w:t>
            </w:r>
            <w:r>
              <w:rPr>
                <w:rFonts w:ascii="Inter" w:cs="Inter" w:eastAsia="Inter" w:hAnsi="Inter"/>
                <w:color w:val="A1A1AA"/>
                <w:sz w:val="18"/>
                <w:szCs w:val="18"/>
              </w:rPr>
              <w:t xml:space="preserve">vs. ontem</w:t>
            </w:r>
          </w:p>
        </w:tc>
      </w:tr>
    </w:tbl>
    <w:p>
      <w:pPr>
        <w:spacing w:after="20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Especificações de card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Padding interno.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20px (small) · 24px (default) · 32px (large)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Raio.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12px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Borda (light).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1px solid #E4E4E7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Borda (dark).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Sem borda, fundo #1A1A1A se destaca do #0A0A0A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Sombra.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Sutil em hover: 0 4px 12px rgba(0,0,0,0.04)</w:t>
      </w:r>
    </w:p>
    <w:p>
      <w:pPr>
        <w:spacing w:after="24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Badges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Pequenos rótulos para status, categoria ou destaque.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FAFAFA" w:color="auto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00A058"/>
                <w:sz w:val="18"/>
                <w:szCs w:val="18"/>
                <w:shd w:fill="E6F9F0" w:color="auto" w:val="clear"/>
              </w:rPr>
              <w:t xml:space="preserve">  Top escolha  </w:t>
            </w:r>
            <w:r>
              <w:rPr>
                <w:rFonts w:ascii="Inter" w:cs="Inter" w:eastAsia="Inter" w:hAnsi="Inter"/>
                <w:color w:val="FAFAFA"/>
                <w:sz w:val="18"/>
                <w:szCs w:val="18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  <w:shd w:fill="00C46A" w:color="auto" w:val="clear"/>
              </w:rPr>
              <w:t xml:space="preserve">  Aprovado  </w:t>
            </w:r>
            <w:r>
              <w:rPr>
                <w:rFonts w:ascii="Inter" w:cs="Inter" w:eastAsia="Inter" w:hAnsi="Inter"/>
                <w:color w:val="FAFAFA"/>
                <w:sz w:val="18"/>
                <w:szCs w:val="18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  <w:shd w:fill="F59E0B" w:color="auto" w:val="clear"/>
              </w:rPr>
              <w:t xml:space="preserve">  Estoque baixo  </w:t>
            </w:r>
            <w:r>
              <w:rPr>
                <w:rFonts w:ascii="Inter" w:cs="Inter" w:eastAsia="Inter" w:hAnsi="Inter"/>
                <w:color w:val="FAFAFA"/>
                <w:sz w:val="18"/>
                <w:szCs w:val="18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  <w:shd w:fill="EF4444" w:color="auto" w:val="clear"/>
              </w:rPr>
              <w:t xml:space="preserve">  Rejeitado  </w:t>
            </w:r>
            <w:r>
              <w:rPr>
                <w:rFonts w:ascii="Inter" w:cs="Inter" w:eastAsia="Inter" w:hAnsi="Inter"/>
                <w:color w:val="FAFAFA"/>
                <w:sz w:val="18"/>
                <w:szCs w:val="18"/>
              </w:rPr>
              <w:t xml:space="preserve">      </w:t>
            </w:r>
            <w:r>
              <w:rPr>
                <w:rFonts w:ascii="Inter" w:cs="Inter" w:eastAsia="Inter" w:hAnsi="Inter"/>
                <w:b/>
                <w:bCs/>
                <w:color w:val="52525B"/>
                <w:sz w:val="18"/>
                <w:szCs w:val="18"/>
                <w:shd w:fill="E4E4E7" w:color="auto" w:val="clear"/>
              </w:rPr>
              <w:t xml:space="preserve">  Rascunho  </w:t>
            </w:r>
          </w:p>
        </w:tc>
      </w:tr>
    </w:tbl>
    <w:p>
      <w:pPr>
        <w:spacing w:after="24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Inputs e formulários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Altura.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40px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Raio.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8px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Borda em descanso.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1px solid #E4E4E7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Borda em foco.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1px solid #00C46A com ring 3px rgba(0,196,106,0.15)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Placeholder.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Gray 400 #A1A1AA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Padding horizontal.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12px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Label.  </w:t>
      </w:r>
      <w:r>
        <w:rPr>
          <w:rFonts w:ascii="JetBrains Mono" w:cs="JetBrains Mono" w:eastAsia="JetBrains Mono" w:hAnsi="JetBrains Mono"/>
          <w:color w:val="52525B"/>
          <w:sz w:val="20"/>
          <w:szCs w:val="20"/>
        </w:rPr>
        <w:t xml:space="preserve">Acima do campo, 14px, semibold</w:t>
      </w:r>
    </w:p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07 · ICONOGRAFIA E ILUSTRAÇÃO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Iconografia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Ícones são funcionais antes de serem decorativos. Eles guiam o usuário pela interface; nunca competem com texto.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Biblioteca recomendada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Lucide Icons como padrão. É a mesma família usada em produtos modernos (Linear, Vercel, shadcn/ui) e tem ampla cobertura.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Especificações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Tamanho padrão.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20×20 px em UI · 16×16 px inline com texto · 24×24 px em estados vazios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Espessura de traço.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1.75 px (default do Lucide)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Cor padrão.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Herda do texto adjacente · Gray 600 em ações neutras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Cor de destaque.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Verde tech em itens ativos da navegação e CTAs</w:t>
      </w:r>
    </w:p>
    <w:p>
      <w:pPr>
        <w:spacing w:after="80" w:line="28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Cor de aviso.  </w:t>
      </w:r>
      <w:r>
        <w:rPr>
          <w:rFonts w:ascii="Inter" w:cs="Inter" w:eastAsia="Inter" w:hAnsi="Inter"/>
          <w:color w:val="52525B"/>
          <w:sz w:val="22"/>
          <w:szCs w:val="22"/>
        </w:rPr>
        <w:t xml:space="preserve">Vermelho #EF4444 em ícones de exclusão e erro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Regras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→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Use só uma família de ícones. Não misture Lucide com Material, Font Awesome, etc.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→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Ícone sempre acompanhado de texto em ações importantes. Ícone solo só em ações universalmente conhecidas (✕ fechar, ⚙ configurações).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→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invente metáforas. Se o ícone não existe na Lucide para o que você precisa, use texto.</w:t>
      </w:r>
    </w:p>
    <w:p>
      <w:pPr>
        <w:spacing w:after="80" w:line="280"/>
        <w:ind w:left="360" w:hanging="2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→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Não use ícones coloridos em UI. A cor vem do contexto, não do ícone.</w:t>
      </w:r>
    </w:p>
    <w:p>
      <w:pPr>
        <w:spacing w:after="240"/>
      </w:pPr>
      <w:r>
        <w:t xml:space="preserve"> </w:t>
      </w:r>
    </w:p>
    <w:p>
      <w:pPr>
        <w:spacing w:after="160" w:before="320" w:line="300"/>
      </w:pPr>
      <w:r>
        <w:rPr>
          <w:rFonts w:ascii="Inter" w:cs="Inter" w:eastAsia="Inter" w:hAnsi="Inter"/>
          <w:b/>
          <w:bCs/>
          <w:color w:val="0A0A0A"/>
          <w:sz w:val="36"/>
          <w:szCs w:val="36"/>
        </w:rPr>
        <w:t xml:space="preserve">Ilustração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Quando o ORCtech precisa ilustrar uma cena (onboarding, estado vazio, página de erro), o estilo é geometria simples em duas cores: preto + verde tech.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Princípios</w:t>
      </w:r>
    </w:p>
    <w:p>
      <w:pPr>
        <w:spacing w:after="12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Geométrica.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Formas simples — círculos, retângulos arredondados, linhas. Sem ilustração realista.</w:t>
      </w:r>
    </w:p>
    <w:p>
      <w:pPr>
        <w:spacing w:after="12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Duas cores.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Preto e verde tech como base. Branco ou cinza claro como apoio. Nunca mais de 3 cores.</w:t>
      </w:r>
    </w:p>
    <w:p>
      <w:pPr>
        <w:spacing w:after="12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Sem rosto humano.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Pessoas representadas como silhuetas ou formas abstratas. Foco no objeto/ação, não no rosto.</w:t>
      </w:r>
    </w:p>
    <w:p>
      <w:pPr>
        <w:spacing w:after="120" w:line="30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Funcional.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Toda ilustração serve a um propósito (orientar, comunicar estado). Sem decoração pela decoração.</w:t>
      </w:r>
    </w:p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08 · APLICAÇÕES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Aplicações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Como a marca aparece em cada superfície. Pequenas variações são aceitas, mas o núcleo (logo, verde tech, Inter) é inegociável.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Dentro do produto (ERP)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ERP é o lar natural da marca. Modo dark é o padrão; modo light disponível por preferência do usuário.</w:t>
      </w:r>
    </w:p>
    <w:tbl>
      <w:tblPr>
        <w:tblW w:type="dxa" w:w="9360"/>
        <w:tblBorders>
          <w:top w:val="single" w:color="E4E4E7" w:sz="4"/>
          <w:left w:val="single" w:color="E4E4E7" w:sz="4"/>
          <w:bottom w:val="single" w:color="E4E4E7" w:sz="4"/>
          <w:right w:val="single" w:color="E4E4E7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1A1A1A" w:color="auto" w:val="clear"/>
            <w:tcMar>
              <w:top w:type="dxa" w:w="280"/>
              <w:left w:type="dxa" w:w="240"/>
              <w:bottom w:type="dxa" w:w="280"/>
              <w:right w:type="dxa" w:w="240"/>
            </w:tcMar>
          </w:tcPr>
          <w:p>
            <w:pPr>
              <w:spacing w:after="280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24"/>
                <w:szCs w:val="24"/>
              </w:rPr>
              <w:t xml:space="preserve">tech</w:t>
            </w:r>
          </w:p>
          <w:p>
            <w:pPr>
              <w:spacing w:after="160"/>
            </w:pPr>
            <w:r>
              <w:rPr>
                <w:rFonts w:ascii="Inter" w:cs="Inter" w:eastAsia="Inter" w:hAnsi="Inter"/>
                <w:b/>
                <w:bCs/>
                <w:color w:val="00C46A"/>
                <w:sz w:val="18"/>
                <w:szCs w:val="18"/>
              </w:rPr>
              <w:t xml:space="preserve">■  Dashboard</w:t>
            </w:r>
          </w:p>
          <w:p>
            <w:pPr>
              <w:spacing w:after="160"/>
            </w:pPr>
            <w:r>
              <w:rPr>
                <w:rFonts w:ascii="Inter" w:cs="Inter" w:eastAsia="Inter" w:hAnsi="Inter"/>
                <w:b w:val="false"/>
                <w:bCs w:val="false"/>
                <w:color w:val="A1A1AA"/>
                <w:sz w:val="18"/>
                <w:szCs w:val="18"/>
              </w:rPr>
              <w:t xml:space="preserve">□  Produtos</w:t>
            </w:r>
          </w:p>
          <w:p>
            <w:pPr>
              <w:spacing w:after="160"/>
            </w:pPr>
            <w:r>
              <w:rPr>
                <w:rFonts w:ascii="Inter" w:cs="Inter" w:eastAsia="Inter" w:hAnsi="Inter"/>
                <w:b w:val="false"/>
                <w:bCs w:val="false"/>
                <w:color w:val="A1A1AA"/>
                <w:sz w:val="18"/>
                <w:szCs w:val="18"/>
              </w:rPr>
              <w:t xml:space="preserve">□  Vendas</w:t>
            </w:r>
          </w:p>
          <w:p>
            <w:pPr>
              <w:spacing w:after="160"/>
            </w:pPr>
            <w:r>
              <w:rPr>
                <w:rFonts w:ascii="Inter" w:cs="Inter" w:eastAsia="Inter" w:hAnsi="Inter"/>
                <w:b w:val="false"/>
                <w:bCs w:val="false"/>
                <w:color w:val="A1A1AA"/>
                <w:sz w:val="18"/>
                <w:szCs w:val="18"/>
              </w:rPr>
              <w:t xml:space="preserve">□  Estoque</w:t>
            </w:r>
          </w:p>
          <w:p>
            <w:pPr>
              <w:spacing w:after="160"/>
            </w:pPr>
            <w:r>
              <w:rPr>
                <w:rFonts w:ascii="Inter" w:cs="Inter" w:eastAsia="Inter" w:hAnsi="Inter"/>
                <w:b w:val="false"/>
                <w:bCs w:val="false"/>
                <w:color w:val="A1A1AA"/>
                <w:sz w:val="18"/>
                <w:szCs w:val="18"/>
              </w:rPr>
              <w:t xml:space="preserve">□  Clientes</w:t>
            </w:r>
          </w:p>
          <w:p>
            <w:pPr>
              <w:spacing w:after="160"/>
            </w:pPr>
            <w:r>
              <w:rPr>
                <w:rFonts w:ascii="Inter" w:cs="Inter" w:eastAsia="Inter" w:hAnsi="Inter"/>
                <w:b w:val="false"/>
                <w:bCs w:val="false"/>
                <w:color w:val="A1A1AA"/>
                <w:sz w:val="18"/>
                <w:szCs w:val="18"/>
              </w:rPr>
              <w:t xml:space="preserve">□  Relatórios</w:t>
            </w:r>
          </w:p>
        </w:tc>
        <w:tc>
          <w:tcPr>
            <w:tcW w:type="dxa" w:w="7160"/>
            <w:tcBorders>
              <w:top w:val="single" w:color="E4E4E7" w:sz="4"/>
              <w:left w:val="single" w:color="E4E4E7" w:sz="4"/>
              <w:bottom w:val="single" w:color="E4E4E7" w:sz="4"/>
              <w:right w:val="single" w:color="E4E4E7" w:sz="4"/>
            </w:tcBorders>
            <w:shd w:fill="0A0A0A" w:color="auto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240"/>
            </w:pPr>
            <w:r>
              <w:rPr>
                <w:rFonts w:ascii="Inter" w:cs="Inter" w:eastAsia="Inter" w:hAnsi="Inter"/>
                <w:b/>
                <w:bCs/>
                <w:color w:val="FFFFFF"/>
                <w:sz w:val="32"/>
                <w:szCs w:val="32"/>
              </w:rPr>
              <w:t xml:space="preserve">Dashboard</w:t>
            </w:r>
          </w:p>
          <w:tbl>
            <w:tblPr>
              <w:tblW w:type="dxa" w:w="65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160"/>
              <w:gridCol w:w="200"/>
              <w:gridCol w:w="3160"/>
            </w:tblGrid>
            <w:tr>
              <w:tc>
                <w:tcPr>
                  <w:tcW w:type="dxa" w:w="3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color="auto" w:val="clear"/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40"/>
                  </w:pPr>
                  <w:r>
                    <w:rPr>
                      <w:rFonts w:ascii="Inter" w:cs="Inter" w:eastAsia="Inter" w:hAnsi="Inter"/>
                      <w:color w:val="A1A1AA"/>
                      <w:sz w:val="16"/>
                      <w:szCs w:val="16"/>
                    </w:rPr>
                    <w:t xml:space="preserve">Vendas hoje</w:t>
                  </w:r>
                </w:p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00C46A"/>
                      <w:sz w:val="28"/>
                      <w:szCs w:val="28"/>
                    </w:rPr>
                    <w:t xml:space="preserve">R$ 3.420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A0A0A" w:color="auto" w:val="clear"/>
                </w:tcPr>
                <w:p>
                  <w:r>
                    <w:t xml:space="preserve"> </w:t>
                  </w:r>
                </w:p>
              </w:tc>
              <w:tc>
                <w:tcPr>
                  <w:tcW w:type="dxa" w:w="3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1A1A" w:color="auto" w:val="clear"/>
                  <w:tcMar>
                    <w:top w:type="dxa" w:w="200"/>
                    <w:left w:type="dxa" w:w="240"/>
                    <w:bottom w:type="dxa" w:w="200"/>
                    <w:right w:type="dxa" w:w="240"/>
                  </w:tcMar>
                </w:tcPr>
                <w:p>
                  <w:pPr>
                    <w:spacing w:after="40"/>
                  </w:pPr>
                  <w:r>
                    <w:rPr>
                      <w:rFonts w:ascii="Inter" w:cs="Inter" w:eastAsia="Inter" w:hAnsi="Inter"/>
                      <w:color w:val="A1A1AA"/>
                      <w:sz w:val="16"/>
                      <w:szCs w:val="16"/>
                    </w:rPr>
                    <w:t xml:space="preserve">Estoque baixo</w:t>
                  </w:r>
                </w:p>
                <w:p>
                  <w:pPr>
                    <w:spacing w:after="0"/>
                  </w:pPr>
                  <w:r>
                    <w:rPr>
                      <w:rFonts w:ascii="Inter" w:cs="Inter" w:eastAsia="Inter" w:hAnsi="Inter"/>
                      <w:b/>
                      <w:bCs/>
                      <w:color w:val="FFFFFF"/>
                      <w:sz w:val="28"/>
                      <w:szCs w:val="28"/>
                    </w:rPr>
                    <w:t xml:space="preserve">12 itens</w:t>
                  </w:r>
                </w:p>
              </w:tc>
            </w:tr>
          </w:tbl>
          <w:p/>
        </w:tc>
      </w:tr>
    </w:tbl>
    <w:p>
      <w:pPr>
        <w:spacing w:after="36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Comunicação externa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Site, landing pages, propostas e materiais comerciais usam modo light como padrão — mais arejado, mais comercial. O preto entra em CTAs e seções de destaque, criando contraste com o branco.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Redes sociais</w:t>
      </w:r>
    </w:p>
    <w:p>
      <w:pPr>
        <w:spacing w:after="14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Posts seguem dois templates principais: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Dark.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Fundo preto, título grande em branco, dado destacado em verde tech. Para anúncios de feature, números, conquistas.</w:t>
      </w:r>
    </w:p>
    <w:p>
      <w:pPr>
        <w:spacing w:after="100" w:line="280"/>
      </w:pPr>
      <w:r>
        <w:rPr>
          <w:rFonts w:ascii="Inter" w:cs="Inter" w:eastAsia="Inter" w:hAnsi="Inter"/>
          <w:b/>
          <w:bCs/>
          <w:color w:val="00A058"/>
          <w:sz w:val="22"/>
          <w:szCs w:val="22"/>
        </w:rPr>
        <w:t xml:space="preserve">Light.  </w:t>
      </w:r>
      <w:r>
        <w:rPr>
          <w:rFonts w:ascii="Inter" w:cs="Inter" w:eastAsia="Inter" w:hAnsi="Inter"/>
          <w:color w:val="1A1A1A"/>
          <w:sz w:val="22"/>
          <w:szCs w:val="22"/>
        </w:rPr>
        <w:t xml:space="preserve">Fundo off-white, título preto, ícone ou ilustração em verde tech. Para conteúdo educativo, dicas, tutoriais.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WhatsApp e e-mail</w:t>
      </w:r>
    </w:p>
    <w:p>
      <w:pPr>
        <w:spacing w:after="1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Comunicações transacionais (PDF de orçamento, notificações) carregam a logo no topo + uma linha verde tech como divisor. Cabeçalho preto, corpo branco, CTA verde.</w:t>
      </w:r>
    </w:p>
    <w:p>
      <w:r>
        <w:br w:type="page"/>
      </w:r>
    </w:p>
    <w:p>
      <w:pPr>
        <w:spacing w:after="60" w:before="0" w:line="240"/>
      </w:pPr>
      <w:r>
        <w:rPr>
          <w:rFonts w:ascii="Inter" w:cs="Inter" w:eastAsia="Inter" w:hAnsi="Inter"/>
          <w:b/>
          <w:bCs/>
          <w:color w:val="00A058"/>
          <w:spacing w:val="40"/>
          <w:sz w:val="16"/>
          <w:szCs w:val="16"/>
        </w:rPr>
        <w:t xml:space="preserve">09 · BOAS PRÁTICAS</w:t>
      </w:r>
    </w:p>
    <w:p>
      <w:pPr>
        <w:spacing w:after="240" w:before="360" w:line="300"/>
      </w:pPr>
      <w:r>
        <w:rPr>
          <w:rFonts w:ascii="Inter" w:cs="Inter" w:eastAsia="Inter" w:hAnsi="Inter"/>
          <w:b/>
          <w:bCs/>
          <w:color w:val="0A0A0A"/>
          <w:sz w:val="56"/>
          <w:szCs w:val="56"/>
        </w:rPr>
        <w:t xml:space="preserve">Checklist final</w:t>
      </w:r>
    </w:p>
    <w:p>
      <w:pPr>
        <w:spacing w:after="32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Antes de publicar qualquer peça — landing, post, slide, e-mail — passe por essa lista.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9F0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A logo está com ORC em preto/branco e tech em verde tech (#00C46A)?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O espaço de respiro ao redor da logo é equivalente à altura da letra O?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A peça usa apenas Inter (e JetBrains Mono em valores numéricos tabulares)?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Os tamanhos de texto seguem a escala (Display, H1, H2, H3, Body L, Body, Caption)?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Há contraste suficiente entre texto e fundo (preto sobre branco/off-white, branco sobre preto)?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Os botões primários estão em verde tech e os secundários em branco com borda cinza?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Os cards têm raio de 12px e os botões raio de 8px?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As cores semânticas estão sendo usadas nos contextos certos (verde = sucesso, âmbar = atenção, vermelho = erro)?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O tom de voz é direto, sem firula e respeita o tempo do leitor?</w:t>
            </w:r>
          </w:p>
          <w:p>
            <w:pPr>
              <w:spacing w:after="120" w:line="300"/>
              <w:ind w:left="360" w:hanging="280"/>
            </w:pPr>
            <w:r>
              <w:rPr>
                <w:rFonts w:ascii="Inter" w:cs="Inter" w:eastAsia="Inter" w:hAnsi="Inter"/>
                <w:b/>
                <w:bCs/>
                <w:color w:val="00A058"/>
                <w:sz w:val="22"/>
                <w:szCs w:val="22"/>
              </w:rPr>
              <w:t xml:space="preserve">☐  </w:t>
            </w:r>
            <w:r>
              <w:rPr>
                <w:rFonts w:ascii="Inter" w:cs="Inter" w:eastAsia="Inter" w:hAnsi="Inter"/>
                <w:color w:val="1A1A1A"/>
                <w:sz w:val="22"/>
                <w:szCs w:val="22"/>
              </w:rPr>
              <w:t xml:space="preserve">Não há nenhum uso proibido da logo (distorção, gradiente, sombra, cor errada)?</w:t>
            </w:r>
          </w:p>
        </w:tc>
      </w:tr>
    </w:tbl>
    <w:p>
      <w:pPr>
        <w:spacing w:after="360"/>
      </w:pPr>
      <w:r>
        <w:t xml:space="preserve"> </w:t>
      </w:r>
    </w:p>
    <w:p>
      <w:pPr>
        <w:spacing w:after="100" w:before="240" w:line="300"/>
      </w:pPr>
      <w:r>
        <w:rPr>
          <w:rFonts w:ascii="Inter" w:cs="Inter" w:eastAsia="Inter" w:hAnsi="Inter"/>
          <w:b/>
          <w:bCs/>
          <w:color w:val="0A0A0A"/>
          <w:sz w:val="26"/>
          <w:szCs w:val="26"/>
        </w:rPr>
        <w:t xml:space="preserve">Em caso de dúvida</w:t>
      </w:r>
    </w:p>
    <w:p>
      <w:pPr>
        <w:spacing w:after="200" w:before="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uma situação não estiver coberta por este documento, três perguntas resolvem 90% dos casos:</w:t>
      </w:r>
    </w:p>
    <w:p>
      <w:pPr>
        <w:spacing w:after="100" w:line="300"/>
        <w:ind w:left="360" w:hanging="360"/>
      </w:pPr>
      <w:r>
        <w:rPr>
          <w:rFonts w:ascii="JetBrains Mono" w:cs="JetBrains Mono" w:eastAsia="JetBrains Mono" w:hAnsi="JetBrains Mono"/>
          <w:b/>
          <w:bCs/>
          <w:color w:val="00A058"/>
          <w:sz w:val="22"/>
          <w:szCs w:val="22"/>
        </w:rPr>
        <w:t xml:space="preserve">1.  </w:t>
      </w:r>
      <w:r>
        <w:rPr>
          <w:rFonts w:ascii="Inter" w:cs="Inter" w:eastAsia="Inter" w:hAnsi="Inter"/>
          <w:i/>
          <w:iCs/>
          <w:color w:val="1A1A1A"/>
          <w:sz w:val="22"/>
          <w:szCs w:val="22"/>
        </w:rPr>
        <w:t xml:space="preserve">Isso parece com o produto?</w:t>
      </w:r>
    </w:p>
    <w:p>
      <w:pPr>
        <w:spacing w:after="100" w:line="300"/>
        <w:ind w:left="360" w:hanging="360"/>
      </w:pPr>
      <w:r>
        <w:rPr>
          <w:rFonts w:ascii="JetBrains Mono" w:cs="JetBrains Mono" w:eastAsia="JetBrains Mono" w:hAnsi="JetBrains Mono"/>
          <w:b/>
          <w:bCs/>
          <w:color w:val="00A058"/>
          <w:sz w:val="22"/>
          <w:szCs w:val="22"/>
        </w:rPr>
        <w:t xml:space="preserve">2.  </w:t>
      </w:r>
      <w:r>
        <w:rPr>
          <w:rFonts w:ascii="Inter" w:cs="Inter" w:eastAsia="Inter" w:hAnsi="Inter"/>
          <w:i/>
          <w:iCs/>
          <w:color w:val="1A1A1A"/>
          <w:sz w:val="22"/>
          <w:szCs w:val="22"/>
        </w:rPr>
        <w:t xml:space="preserve">Um lojista entenderia em 3 segundos?</w:t>
      </w:r>
    </w:p>
    <w:p>
      <w:pPr>
        <w:spacing w:after="100" w:line="300"/>
        <w:ind w:left="360" w:hanging="360"/>
      </w:pPr>
      <w:r>
        <w:rPr>
          <w:rFonts w:ascii="JetBrains Mono" w:cs="JetBrains Mono" w:eastAsia="JetBrains Mono" w:hAnsi="JetBrains Mono"/>
          <w:b/>
          <w:bCs/>
          <w:color w:val="00A058"/>
          <w:sz w:val="22"/>
          <w:szCs w:val="22"/>
        </w:rPr>
        <w:t xml:space="preserve">3.  </w:t>
      </w:r>
      <w:r>
        <w:rPr>
          <w:rFonts w:ascii="Inter" w:cs="Inter" w:eastAsia="Inter" w:hAnsi="Inter"/>
          <w:i/>
          <w:iCs/>
          <w:color w:val="1A1A1A"/>
          <w:sz w:val="22"/>
          <w:szCs w:val="22"/>
        </w:rPr>
        <w:t xml:space="preserve">Se eu fosse de outra marca, ainda assim diria que isso é "a cara do ORCtech"?</w:t>
      </w:r>
    </w:p>
    <w:p>
      <w:pPr>
        <w:spacing w:after="120" w:before="200" w:line="30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52525B"/>
          <w:sz w:val="22"/>
          <w:szCs w:val="22"/>
        </w:rPr>
        <w:t xml:space="preserve">Se a resposta para as três for "sim", está no caminho certo.</w:t>
      </w:r>
    </w:p>
    <w:p>
      <w:pPr>
        <w:spacing w:after="400"/>
      </w:pPr>
      <w:r>
        <w:t xml:space="preserve"> 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color="auto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20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48"/>
                <w:szCs w:val="48"/>
              </w:rPr>
              <w:t xml:space="preserve">ORC</w:t>
            </w:r>
            <w:r>
              <w:rPr>
                <w:rFonts w:ascii="Inter" w:cs="Inter" w:eastAsia="Inter" w:hAnsi="Inter"/>
                <w:b/>
                <w:bCs/>
                <w:color w:val="00C46A"/>
                <w:sz w:val="48"/>
                <w:szCs w:val="48"/>
              </w:rPr>
              <w:t xml:space="preserve">tech</w:t>
            </w:r>
          </w:p>
          <w:p>
            <w:pPr>
              <w:spacing w:after="0"/>
              <w:jc w:val="center"/>
            </w:pPr>
            <w:r>
              <w:rPr>
                <w:rFonts w:ascii="Inter" w:cs="Inter" w:eastAsia="Inter" w:hAnsi="Inter"/>
                <w:i/>
                <w:iCs/>
                <w:color w:val="A1A1AA"/>
                <w:sz w:val="22"/>
                <w:szCs w:val="22"/>
              </w:rPr>
              <w:t xml:space="preserve">Inteligência que age. Gestão que entende.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  <w:spacing w:before="0"/>
    </w:pPr>
    <w:r>
      <w:rPr>
        <w:rFonts w:ascii="Inter" w:cs="Inter" w:eastAsia="Inter" w:hAnsi="Inter"/>
        <w:i/>
        <w:iCs/>
        <w:color w:val="A1A1AA"/>
        <w:sz w:val="16"/>
        <w:szCs w:val="16"/>
      </w:rPr>
      <w:t xml:space="preserve">Confidencial — uso interno</w:t>
    </w:r>
    <w:r>
      <w:rPr>
        <w:sz w:val="16"/>
        <w:szCs w:val="16"/>
      </w:rPr>
      <w:t xml:space="preserve">	</w:t>
    </w:r>
    <w:r>
      <w:rPr>
        <w:rFonts w:ascii="Inter" w:cs="Inter" w:eastAsia="Inter" w:hAnsi="Inter"/>
        <w:color w:val="A1A1AA"/>
        <w:sz w:val="16"/>
        <w:szCs w:val="16"/>
      </w:rPr>
      <w:t xml:space="preserve">Página </w:t>
    </w:r>
    <w:r>
      <w:rPr>
        <w:rFonts w:ascii="Inter" w:cs="Inter" w:eastAsia="Inter" w:hAnsi="Inter"/>
        <w:b/>
        <w:bCs/>
        <w:color w:val="5252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A1A1AA"/>
        <w:sz w:val="16"/>
        <w:szCs w:val="16"/>
      </w:rPr>
      <w:t xml:space="preserve"> / </w:t>
    </w:r>
    <w:r>
      <w:rPr>
        <w:rFonts w:ascii="Inter" w:cs="Inter" w:eastAsia="Inter" w:hAnsi="Inter"/>
        <w:color w:val="A1A1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0"/>
    </w:pPr>
    <w:r>
      <w:rPr>
        <w:rFonts w:ascii="Inter" w:cs="Inter" w:eastAsia="Inter" w:hAnsi="Inter"/>
        <w:b/>
        <w:bCs/>
        <w:color w:val="0A0A0A"/>
        <w:sz w:val="18"/>
        <w:szCs w:val="18"/>
      </w:rPr>
      <w:t xml:space="preserve">ORC</w:t>
    </w:r>
    <w:r>
      <w:rPr>
        <w:rFonts w:ascii="Inter" w:cs="Inter" w:eastAsia="Inter" w:hAnsi="Inter"/>
        <w:b/>
        <w:bCs/>
        <w:color w:val="00C46A"/>
        <w:sz w:val="18"/>
        <w:szCs w:val="18"/>
      </w:rPr>
      <w:t xml:space="preserve">tech</w:t>
    </w:r>
    <w:r>
      <w:rPr>
        <w:rFonts w:ascii="Inter" w:cs="Inter" w:eastAsia="Inter" w:hAnsi="Inter"/>
        <w:color w:val="A1A1AA"/>
        <w:sz w:val="16"/>
        <w:szCs w:val="16"/>
      </w:rPr>
      <w:t xml:space="preserve">  ·  Brandbook v1.0</w:t>
    </w:r>
    <w:r>
      <w:rPr>
        <w:sz w:val="16"/>
        <w:szCs w:val="16"/>
      </w:rPr>
      <w:t xml:space="preserve">	</w:t>
    </w:r>
    <w:r>
      <w:rPr>
        <w:rFonts w:ascii="Inter" w:cs="Inter" w:eastAsia="Inter" w:hAnsi="Inter"/>
        <w:color w:val="A1A1AA"/>
        <w:sz w:val="16"/>
        <w:szCs w:val="16"/>
      </w:rPr>
      <w:t xml:space="preserve">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ORCtech Brandbook</dc:title>
  <dc:creator>ORCtech</dc:creator>
  <dc:description>Documento de identidade de marca do ORCtech</dc:description>
  <cp:lastModifiedBy>Un-named</cp:lastModifiedBy>
  <cp:revision>1</cp:revision>
  <dcterms:created xsi:type="dcterms:W3CDTF">2026-05-14T02:49:38.997Z</dcterms:created>
  <dcterms:modified xsi:type="dcterms:W3CDTF">2026-05-14T02:49:39.011Z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