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4E79"/>
          <w:spacing w:val="20"/>
          <w:sz w:val="28"/>
          <w:szCs w:val="28"/>
        </w:rPr>
        <w:t xml:space="preserve">TECHNICAL IMPLEMENTATION GUIDE</w:t>
      </w:r>
    </w:p>
    <w:p>
      <w:pPr>
        <w:spacing w:after="100"/>
        <w:jc w:val="center"/>
      </w:pPr>
      <w:r>
        <w:rPr>
          <w:b/>
          <w:bCs/>
          <w:sz w:val="40"/>
          <w:szCs w:val="40"/>
        </w:rPr>
        <w:t xml:space="preserve">Retrieval-Augmented Generation (RAG) System over</w:t>
      </w:r>
    </w:p>
    <w:p>
      <w:pPr>
        <w:spacing w:after="500"/>
        <w:jc w:val="center"/>
      </w:pPr>
      <w:r>
        <w:rPr>
          <w:b/>
          <w:bCs/>
          <w:sz w:val="40"/>
          <w:szCs w:val="40"/>
        </w:rPr>
        <w:t xml:space="preserve">Multiple Tableau Workbooks</w:t>
      </w:r>
    </w:p>
    <w:p>
      <w:pPr>
        <w:spacing w:after="100"/>
        <w:jc w:val="center"/>
      </w:pPr>
      <w:r>
        <w:rPr>
          <w:color w:val="595959"/>
          <w:sz w:val="24"/>
          <w:szCs w:val="24"/>
        </w:rPr>
        <w:t xml:space="preserve">A Zero-Cost Proof of Concept for Natural-Language Querying</w:t>
      </w:r>
    </w:p>
    <w:p>
      <w:pPr>
        <w:spacing w:after="100"/>
        <w:jc w:val="center"/>
      </w:pPr>
      <w:r>
        <w:rPr>
          <w:color w:val="595959"/>
          <w:sz w:val="24"/>
          <w:szCs w:val="24"/>
        </w:rPr>
        <w:t xml:space="preserve">of Cross-Domain Business Intelligence Dashboards</w:t>
      </w:r>
    </w:p>
    <w:p>
      <w:pPr>
        <w:spacing w:before="1000"/>
      </w:pPr>
    </w:p>
    <w:p>
      <w:pPr>
        <w:pBdr>
          <w:top w:val="single" w:color="1F4E79" w:sz="6"/>
        </w:pBdr>
        <w:spacing w:before="200"/>
        <w:jc w:val="center"/>
      </w:pPr>
    </w:p>
    <w:p>
      <w:pPr>
        <w:spacing w:after="60" w:before="300"/>
        <w:jc w:val="center"/>
      </w:pPr>
      <w:r>
        <w:rPr>
          <w:b/>
          <w:bCs/>
          <w:sz w:val="20"/>
          <w:szCs w:val="20"/>
        </w:rPr>
        <w:t xml:space="preserve">Document type:</w:t>
      </w:r>
      <w:r>
        <w:rPr>
          <w:sz w:val="20"/>
          <w:szCs w:val="20"/>
        </w:rPr>
        <w:t xml:space="preserve">  Technical build guide / internal POC documentation</w:t>
      </w:r>
    </w:p>
    <w:p>
      <w:pPr>
        <w:spacing w:after="60"/>
        <w:jc w:val="center"/>
      </w:pPr>
      <w:r>
        <w:rPr>
          <w:b/>
          <w:bCs/>
          <w:sz w:val="20"/>
          <w:szCs w:val="20"/>
        </w:rPr>
        <w:t xml:space="preserve">Audience:</w:t>
      </w:r>
      <w:r>
        <w:rPr>
          <w:sz w:val="20"/>
          <w:szCs w:val="20"/>
        </w:rPr>
        <w:t xml:space="preserve">  Engineer / analyst implementing the POC, and reviewers evaluating feasibility</w:t>
      </w:r>
    </w:p>
    <w:p>
      <w:pPr>
        <w:spacing w:after="60"/>
        <w:jc w:val="center"/>
      </w:pPr>
      <w:r>
        <w:rPr>
          <w:b/>
          <w:bCs/>
          <w:sz w:val="20"/>
          <w:szCs w:val="20"/>
        </w:rPr>
        <w:t xml:space="preserve">Cost profile:</w:t>
      </w:r>
      <w:r>
        <w:rPr>
          <w:sz w:val="20"/>
          <w:szCs w:val="20"/>
        </w:rPr>
        <w:t xml:space="preserve">  $0 — every tool and service specified has a permanent free tier</w:t>
      </w:r>
    </w:p>
    <w:p>
      <w:pPr>
        <w:spacing w:after="60"/>
        <w:jc w:val="center"/>
      </w:pPr>
      <w:r>
        <w:rPr>
          <w:b/>
          <w:bCs/>
          <w:sz w:val="20"/>
          <w:szCs w:val="20"/>
        </w:rPr>
        <w:t xml:space="preserve">Data sources:</w:t>
      </w:r>
      <w:r>
        <w:rPr>
          <w:sz w:val="20"/>
          <w:szCs w:val="20"/>
        </w:rPr>
        <w:t xml:space="preserve">  Two existing, publicly published Tableau Public workbooks (retail + public health)</w:t>
      </w:r>
    </w:p>
    <w:p>
      <w:pPr>
        <w:spacing w:before="800"/>
        <w:jc w:val="center"/>
      </w:pPr>
      <w:r>
        <w:rPr>
          <w:i/>
          <w:iCs/>
          <w:color w:val="595959"/>
          <w:sz w:val="18"/>
          <w:szCs w:val="18"/>
        </w:rPr>
        <w:t xml:space="preserve">Version 1.0</w:t>
      </w:r>
    </w:p>
    <w:p>
      <w:r>
        <w:br w:type="page"/>
      </w:r>
    </w:p>
    <w:p>
      <w:pPr>
        <w:pStyle w:val="Heading1"/>
      </w:pPr>
      <w:r>
        <w:t xml:space="preserve">Table of Contents</w:t>
      </w:r>
    </w:p>
    <w:p>
      <w:pPr>
        <w:tabs>
          <w:tab w:val="right" w:pos="9026" w:leader="dot"/>
        </w:tabs>
        <w:spacing w:after="140"/>
      </w:pPr>
      <w:r>
        <w:rPr>
          <w:sz w:val="22"/>
          <w:szCs w:val="22"/>
        </w:rPr>
        <w:t>0.  Document Purpose and How to Use This Guide	3</w:t>
      </w:r>
    </w:p>
    <w:p>
      <w:pPr>
        <w:tabs>
          <w:tab w:val="right" w:pos="9026" w:leader="dot"/>
        </w:tabs>
        <w:spacing w:after="140"/>
      </w:pPr>
      <w:r>
        <w:rPr>
          <w:sz w:val="22"/>
          <w:szCs w:val="22"/>
        </w:rPr>
        <w:t>1.  System Architecture	4</w:t>
      </w:r>
    </w:p>
    <w:p>
      <w:pPr>
        <w:tabs>
          <w:tab w:val="right" w:pos="9026" w:leader="dot"/>
        </w:tabs>
        <w:spacing w:after="140"/>
      </w:pPr>
      <w:r>
        <w:rPr>
          <w:sz w:val="22"/>
          <w:szCs w:val="22"/>
        </w:rPr>
        <w:t>2.  Phase 1 — Source the Tableau Workbooks	6</w:t>
      </w:r>
    </w:p>
    <w:p>
      <w:pPr>
        <w:tabs>
          <w:tab w:val="right" w:pos="9026" w:leader="dot"/>
        </w:tabs>
        <w:spacing w:after="140"/>
      </w:pPr>
      <w:r>
        <w:rPr>
          <w:sz w:val="22"/>
          <w:szCs w:val="22"/>
        </w:rPr>
        <w:t>3.  Phase 2 — Extract Data and Metadata from Each Workbook	8</w:t>
      </w:r>
    </w:p>
    <w:p>
      <w:pPr>
        <w:tabs>
          <w:tab w:val="right" w:pos="9026" w:leader="dot"/>
        </w:tabs>
        <w:spacing w:after="140"/>
      </w:pPr>
      <w:r>
        <w:rPr>
          <w:sz w:val="22"/>
          <w:szCs w:val="22"/>
        </w:rPr>
        <w:t>4.  Phase 3 — Build the Semantic Metadata Search	11</w:t>
      </w:r>
    </w:p>
    <w:p>
      <w:pPr>
        <w:tabs>
          <w:tab w:val="right" w:pos="9026" w:leader="dot"/>
        </w:tabs>
        <w:spacing w:after="140"/>
      </w:pPr>
      <w:r>
        <w:rPr>
          <w:sz w:val="22"/>
          <w:szCs w:val="22"/>
        </w:rPr>
        <w:t>5.  Phase 4 — Build the Structured Query Function	13</w:t>
      </w:r>
    </w:p>
    <w:p>
      <w:pPr>
        <w:tabs>
          <w:tab w:val="right" w:pos="9026" w:leader="dot"/>
        </w:tabs>
        <w:spacing w:after="140"/>
      </w:pPr>
      <w:r>
        <w:rPr>
          <w:sz w:val="22"/>
          <w:szCs w:val="22"/>
        </w:rPr>
        <w:t>6.  Phase 5 — Connect Both Paths to Gemini via Function Calling	15</w:t>
      </w:r>
    </w:p>
    <w:p>
      <w:pPr>
        <w:tabs>
          <w:tab w:val="right" w:pos="9026" w:leader="dot"/>
        </w:tabs>
        <w:spacing w:after="140"/>
      </w:pPr>
      <w:r>
        <w:rPr>
          <w:sz w:val="22"/>
          <w:szCs w:val="22"/>
        </w:rPr>
        <w:t>7.  Phase 6 — Build the Chat Interface	18</w:t>
      </w:r>
    </w:p>
    <w:p>
      <w:pPr>
        <w:tabs>
          <w:tab w:val="right" w:pos="9026" w:leader="dot"/>
        </w:tabs>
        <w:spacing w:after="140"/>
      </w:pPr>
      <w:r>
        <w:rPr>
          <w:sz w:val="22"/>
          <w:szCs w:val="22"/>
        </w:rPr>
        <w:t>8.  Phase 7 — Evaluation Before Demoing	19</w:t>
      </w:r>
    </w:p>
    <w:p>
      <w:pPr>
        <w:tabs>
          <w:tab w:val="right" w:pos="9026" w:leader="dot"/>
        </w:tabs>
        <w:spacing w:after="140"/>
      </w:pPr>
      <w:r>
        <w:rPr>
          <w:sz w:val="22"/>
          <w:szCs w:val="22"/>
        </w:rPr>
        <w:t>9.  Additional Considerations Not Covered Above	20</w:t>
      </w:r>
    </w:p>
    <w:p>
      <w:pPr>
        <w:spacing w:before="300"/>
      </w:pPr>
      <w:r>
        <w:rPr>
          <w:i/>
          <w:iCs/>
          <w:color w:val="595959"/>
          <w:sz w:val="18"/>
          <w:szCs w:val="18"/>
        </w:rPr>
        <w:t xml:space="preserve">Note: page numbers above are approximate guides for navigation; use Ctrl+F / Cmd+F to search by section title if numbering shifts after editing.</w:t>
      </w:r>
    </w:p>
    <w:p>
      <w:r>
        <w:br w:type="page"/>
      </w:r>
    </w:p>
    <w:p>
      <w:pPr>
        <w:pStyle w:val="Heading1"/>
      </w:pPr>
      <w:r>
        <w:t xml:space="preserve">0. Document Purpose and How to Use This Guide</w:t>
      </w:r>
    </w:p>
    <w:p>
      <w:pPr>
        <w:spacing w:after="160"/>
      </w:pPr>
      <w:r>
        <w:t xml:space="preserve">This document is a complete, standalone build guide for a proof-of-concept (POC) Retrieval-Augmented Generation (RAG) system that answers natural-language questions about the contents of multiple Tableau workbooks. It is written so that it can be handed to another engineer or analyst with no prior context and followed end to end.</w:t>
      </w:r>
    </w:p>
    <w:p>
      <w:pPr>
        <w:spacing w:after="160"/>
      </w:pPr>
      <w:r>
        <w:t xml:space="preserve">The POC simulates a real-world scenario where an organization maintains several independent Tableau workbooks — one per business strategy, department, or domain — and wants a single conversational interface that can answer both:</w:t>
      </w:r>
    </w:p>
    <w:p>
      <w:pPr>
        <w:pStyle w:val="ListParagraph"/>
        <w:numPr>
          <w:ilvl w:val="0"/>
          <w:numId w:val="2"/>
        </w:numPr>
        <w:spacing w:after="80"/>
      </w:pPr>
      <w:r>
        <w:t xml:space="preserve">Conceptual / descriptive questions (“What does this dashboard track?”, “Which workbook would tell me about regional performance?”, “What does this field mean?”) — answered via semantic search over dashboard metadata.</w:t>
      </w:r>
    </w:p>
    <w:p>
      <w:pPr>
        <w:pStyle w:val="ListParagraph"/>
        <w:numPr>
          <w:ilvl w:val="0"/>
          <w:numId w:val="2"/>
        </w:numPr>
        <w:spacing w:after="80"/>
      </w:pPr>
      <w:r>
        <w:t xml:space="preserve">Precise numerical questions (“What was total profit in the West region in 2023?”, “How many confirmed COVID-19 cases were reported in Italy in March 2021?”) — answered via a direct structured query against the underlying data, never guessed or paraphrased.</w:t>
      </w:r>
    </w:p>
    <w:p>
      <w:pPr>
        <w:spacing w:after="160"/>
      </w:pPr>
      <w:r>
        <w:t xml:space="preserve">To make the POC genuinely free and runnable outside any corporate network, it uses two already-published, publicly available Tableau Public workbooks from two different domains (retail sales and public health) as stand-ins for “strategy A” and “strategy B” workbooks. The architecture is domain-agnostic: swapping in real internal Tableau workbooks later requires no structural change, only a change of data source and credentials.</w:t>
      </w:r>
    </w:p>
    <w:p>
      <w:pPr>
        <w:pBdr>
          <w:top w:val="single" w:color="BF9000" w:sz="6"/>
          <w:left w:val="single" w:color="BF9000" w:sz="6"/>
          <w:bottom w:val="single" w:color="BF9000" w:sz="6"/>
          <w:right w:val="single" w:color="BF9000" w:sz="6"/>
        </w:pBdr>
        <w:shd w:fill="FFF4CE" w:val="clear"/>
        <w:spacing w:after="200" w:before="120"/>
      </w:pPr>
      <w:r>
        <w:rPr>
          <w:b/>
          <w:bCs/>
        </w:rPr>
        <w:t xml:space="preserve">Note:</w:t>
      </w:r>
      <w:r>
        <w:t xml:space="preserve">  Every tool, library, and API referenced in this document has a permanent, no-cost tier as of June 2026. Where a free tier has rate limits, those limits are stated explicitly in the relevant section so they can be monitored during build and demo.</w:t>
      </w:r>
    </w:p>
    <w:p>
      <w:r>
        <w:br w:type="page"/>
      </w:r>
    </w:p>
    <w:p>
      <w:pPr>
        <w:pStyle w:val="Heading1"/>
      </w:pPr>
      <w:r>
        <w:t xml:space="preserve">1. System Architecture</w:t>
      </w:r>
    </w:p>
    <w:p>
      <w:pPr>
        <w:pStyle w:val="Heading2"/>
      </w:pPr>
      <w:r>
        <w:t xml:space="preserve">1.1 Design principle</w:t>
      </w:r>
    </w:p>
    <w:p>
      <w:pPr>
        <w:spacing w:after="160"/>
      </w:pPr>
      <w:r>
        <w:t xml:space="preserve">Standard RAG embeds text and retrieves by semantic similarity. This works well for descriptive, conceptual content but is unreliable for precise numbers — an embedding model retrieves text that is topically similar, not necessarily the exact correct figure, and a language model asked to read a number out of a retrieved chunk can misstate it. For this reason, the system is split into two independent retrieval paths that are both made available to the orchestrating LLM as callable tools, and the LLM decides per-question which path (or both) a question requires.</w:t>
      </w:r>
    </w:p>
    <w:p>
      <w:pPr>
        <w:pStyle w:val="Heading2"/>
      </w:pPr>
      <w:r>
        <w:t xml:space="preserve">1.2 The two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360"/>
        <w:gridCol w:w="140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Path</w:t>
            </w:r>
          </w:p>
        </w:tc>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Answers questions like…</w:t>
            </w:r>
          </w:p>
        </w:tc>
        <w:tc>
          <w:tcPr>
            <w:tcW w:type="dxa" w:w="2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Mechanism</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Core technology</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Semantic / metadata RAG</w:t>
            </w:r>
          </w:p>
        </w:tc>
        <w:tc>
          <w:tcPr>
            <w:tcW w:type="dxa" w:w="3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“What does this dashboard show?” “What does field X mean?” “Which workbook covers Y?”</w:t>
            </w:r>
          </w:p>
        </w:tc>
        <w:tc>
          <w:tcPr>
            <w:tcW w:type="dxa" w:w="23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Embed the question, search a vector store of dashboard/field descriptions, return the closest matching text chunks</w:t>
            </w:r>
          </w:p>
        </w:tc>
        <w:tc>
          <w:tcPr>
            <w:tcW w:type="dxa" w:w="1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Sentence embedding model + local vector store</w:t>
            </w:r>
          </w:p>
        </w:tc>
      </w:tr>
      <w:tr>
        <w:tc>
          <w:tcPr>
            <w:tcW w:type="dxa" w:w="24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Structured query / tool-call</w:t>
            </w:r>
          </w:p>
        </w:tc>
        <w:tc>
          <w:tcPr>
            <w:tcW w:type="dxa" w:w="32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“What was total sales in the East region in 2023?” “How many cases were reported in France on a given date?”</w:t>
            </w:r>
          </w:p>
        </w:tc>
        <w:tc>
          <w:tcPr>
            <w:tcW w:type="dxa" w:w="236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Convert the question into a structured query (field, aggregation, filters) and execute it directly against the extracted data table</w:t>
            </w:r>
          </w:p>
        </w:tc>
        <w:tc>
          <w:tcPr>
            <w:tcW w:type="dxa" w:w="14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Pandas / SQLite query function exposed to the LLM as a tool</w:t>
            </w:r>
          </w:p>
        </w:tc>
      </w:tr>
    </w:tbl>
    <w:p>
      <w:pPr>
        <w:pStyle w:val="Heading2"/>
      </w:pPr>
      <w:r>
        <w:t xml:space="preserve">1.3 End-to-end flow</w:t>
      </w:r>
    </w:p>
    <w:p>
      <w:pPr>
        <w:spacing w:after="160"/>
      </w:pPr>
      <w:r>
        <w:t xml:space="preserve">The diagram below describes the flow referenced throughout this document. It is included here as a textual description since this is a static document; an interactive version was shared during scoping discussions.</w:t>
      </w:r>
    </w:p>
    <w:p>
      <w:pPr>
        <w:pStyle w:val="ListParagraph"/>
        <w:numPr>
          <w:ilvl w:val="0"/>
          <w:numId w:val="3"/>
        </w:numPr>
        <w:spacing w:after="80"/>
      </w:pPr>
      <w:r>
        <w:t xml:space="preserve">User submits a natural-language question through the chat interface.</w:t>
      </w:r>
    </w:p>
    <w:p>
      <w:pPr>
        <w:pStyle w:val="ListParagraph"/>
        <w:numPr>
          <w:ilvl w:val="0"/>
          <w:numId w:val="3"/>
        </w:numPr>
        <w:spacing w:after="80"/>
      </w:pPr>
      <w:r>
        <w:t xml:space="preserve">The orchestrating LLM (Google Gemini, via function calling) examines the question and decides which registered tool(s) to call: the metadata-search tool, the data-query tool, or both.</w:t>
      </w:r>
    </w:p>
    <w:p>
      <w:pPr>
        <w:pStyle w:val="ListParagraph"/>
        <w:numPr>
          <w:ilvl w:val="0"/>
          <w:numId w:val="3"/>
        </w:numPr>
        <w:spacing w:after="80"/>
      </w:pPr>
      <w:r>
        <w:t xml:space="preserve">If metadata search is invoked: the question is embedded, compared against the vector store, and the top-matching chunks (each tagged with the workbook and field/view they belong to) are returned to the LLM.</w:t>
      </w:r>
    </w:p>
    <w:p>
      <w:pPr>
        <w:pStyle w:val="ListParagraph"/>
        <w:numPr>
          <w:ilvl w:val="0"/>
          <w:numId w:val="3"/>
        </w:numPr>
        <w:spacing w:after="80"/>
      </w:pPr>
      <w:r>
        <w:t xml:space="preserve">If a data query is invoked: the LLM specifies which workbook, which field, what aggregation, and what filters; the query function executes directly against the locally extracted data and returns the real computed value.</w:t>
      </w:r>
    </w:p>
    <w:p>
      <w:pPr>
        <w:pStyle w:val="ListParagraph"/>
        <w:numPr>
          <w:ilvl w:val="0"/>
          <w:numId w:val="3"/>
        </w:numPr>
        <w:spacing w:after="80"/>
      </w:pPr>
      <w:r>
        <w:t xml:space="preserve">The LLM synthesizes a final answer from whatever was returned, citing which workbook and field/view the answer is grounded in.</w:t>
      </w:r>
    </w:p>
    <w:p>
      <w:pPr>
        <w:pStyle w:val="ListParagraph"/>
        <w:numPr>
          <w:ilvl w:val="0"/>
          <w:numId w:val="3"/>
        </w:numPr>
        <w:spacing w:after="80"/>
      </w:pPr>
      <w:r>
        <w:t xml:space="preserve">The chat interface displays the answer, ideally alongside a visible “source” note, so the analyst reviewing the POC can see exactly where each number came from.</w:t>
      </w:r>
    </w:p>
    <w:p>
      <w:pPr>
        <w:pStyle w:val="Heading2"/>
      </w:pPr>
      <w:r>
        <w:t xml:space="preserve">1.4 Why two different-domain workbooks</w:t>
      </w:r>
    </w:p>
    <w:p>
      <w:pPr>
        <w:spacing w:after="160"/>
      </w:pPr>
      <w:r>
        <w:t xml:space="preserve">Using two workbooks from genuinely different domains (rather than two sheets of the same dataset) is deliberate. It forces the routing logic to do real work: the system must correctly determine not only which retrieval path a question needs, but also which workbook the question is about. A single-workbook POC would not exercise this and would understate the complexity of the real multi-strategy use case it is meant to simulate.</w:t>
      </w:r>
    </w:p>
    <w:p>
      <w:r>
        <w:br w:type="page"/>
      </w:r>
    </w:p>
    <w:p>
      <w:pPr>
        <w:pStyle w:val="Heading1"/>
      </w:pPr>
      <w:r>
        <w:t xml:space="preserve">2. Phase 1 — Source the Tableau Workbooks</w:t>
      </w:r>
    </w:p>
    <w:p>
      <w:pPr>
        <w:pStyle w:val="Heading2"/>
      </w:pPr>
      <w:r>
        <w:t xml:space="preserve">2.1 Objective</w:t>
      </w:r>
    </w:p>
    <w:p>
      <w:pPr>
        <w:spacing w:after="160"/>
      </w:pPr>
      <w:r>
        <w:t xml:space="preserve">Obtain two real, already-published Tableau workbooks from different domains, with no dashboard-building required. Both selections below are official or long-standing community-maintained Tableau Public workbooks, chosen specifically for reliability rather than novelty.</w:t>
      </w:r>
    </w:p>
    <w:p>
      <w:pPr>
        <w:pStyle w:val="Heading2"/>
      </w:pPr>
      <w:r>
        <w:t xml:space="preserve">2.2 Selected workbooks</w:t>
      </w:r>
    </w:p>
    <w:p>
      <w:pPr>
        <w:pStyle w:val="Heading3"/>
      </w:pPr>
      <w:r>
        <w:t xml:space="preserve">Workbook A — Sample Superstore (retail / sales domain)</w:t>
      </w:r>
    </w:p>
    <w:p>
      <w:pPr>
        <w:spacing w:after="160"/>
      </w:pPr>
      <w:r>
        <w:t xml:space="preserve">Tableau's own bundled sample dataset, used in the official sample workbooks shipped with every Tableau install and referenced in nearly every Tableau tutorial. Fields cover sales, profit, discount, shipping, region, category, and customer segment.</w:t>
      </w:r>
    </w:p>
    <w:p>
      <w:pPr>
        <w:pStyle w:val="ListParagraph"/>
        <w:numPr>
          <w:ilvl w:val="0"/>
          <w:numId w:val="2"/>
        </w:numPr>
        <w:spacing w:after="80"/>
      </w:pPr>
      <w:r>
        <w:t xml:space="preserve">Tableau Public download page (free desktop app, used to open / inspect the workbook): </w:t>
      </w:r>
      <w:hyperlink w:history="1" r:id="rIdz0h3xq2bt15togngtzwh9">
        <w:r>
          <w:rPr>
            <w:rStyle w:val="Hyperlink"/>
          </w:rPr>
          <w:t xml:space="preserve">https://www.tableau.com/products/public/download</w:t>
        </w:r>
      </w:hyperlink>
    </w:p>
    <w:p>
      <w:pPr>
        <w:pStyle w:val="ListParagraph"/>
        <w:numPr>
          <w:ilvl w:val="0"/>
          <w:numId w:val="2"/>
        </w:numPr>
        <w:spacing w:after="80"/>
      </w:pPr>
      <w:r>
        <w:t xml:space="preserve">Example published Superstore dashboard on Tableau Public (“Sample Superstore – Sales Performance” by Pradeep Kumar G, one of the all-time most-favorited workbooks on the platform): </w:t>
      </w:r>
      <w:hyperlink w:history="1" r:id="rIdmk1r4fwryskuze_e5wqbo">
        <w:r>
          <w:rPr>
            <w:rStyle w:val="Hyperlink"/>
          </w:rPr>
          <w:t xml:space="preserve">https://public.tableau.com/profile/pradeepkumar.g#!/vizhome/SampleSuperstore-SalesPerformance/viz_</w:t>
        </w:r>
      </w:hyperlink>
    </w:p>
    <w:p>
      <w:pPr>
        <w:pStyle w:val="ListParagraph"/>
        <w:numPr>
          <w:ilvl w:val="0"/>
          <w:numId w:val="2"/>
        </w:numPr>
        <w:spacing w:after="80"/>
      </w:pPr>
      <w:r>
        <w:t xml:space="preserve">The raw Superstore dataset is also bundled locally inside any Tableau Desktop/Public installation under the application's “My Tableau Repository/Datasources” folder once installed, as a .xls/.hyper file — this is the most reliable copy to extract from directly.</w:t>
      </w:r>
    </w:p>
    <w:p>
      <w:pPr>
        <w:pStyle w:val="Heading3"/>
      </w:pPr>
      <w:r>
        <w:t xml:space="preserve">Workbook B — Global COVID-19 Tracker (public health domain)</w:t>
      </w:r>
    </w:p>
    <w:p>
      <w:pPr>
        <w:spacing w:after="160"/>
      </w:pPr>
      <w:r>
        <w:t xml:space="preserve">An official Tableau-published workbook, one of the ten most-favorited visualizations in Tableau Public's history. It ships as a downloadable starter workbook with a live connection to recognized public health data sources.</w:t>
      </w:r>
    </w:p>
    <w:p>
      <w:pPr>
        <w:pStyle w:val="ListParagraph"/>
        <w:numPr>
          <w:ilvl w:val="0"/>
          <w:numId w:val="2"/>
        </w:numPr>
        <w:spacing w:after="80"/>
      </w:pPr>
      <w:r>
        <w:t xml:space="preserve">Tableau Public profile / workbook (“Coronavirus (COVID-19) Cases” by the Coronavirus (COVID-19) Data Hub): </w:t>
      </w:r>
      <w:hyperlink w:history="1" r:id="rIdxjxe1dfm95puyhwb7tslz">
        <w:r>
          <w:rPr>
            <w:rStyle w:val="Hyperlink"/>
          </w:rPr>
          <w:t xml:space="preserve">https://public.tableau.com/profile/covid.19.data.resource.hub#!/vizhome/COVID-19Cases_15840488375320/COVID-19GlobalView</w:t>
        </w:r>
      </w:hyperlink>
    </w:p>
    <w:p>
      <w:pPr>
        <w:pStyle w:val="ListParagraph"/>
        <w:numPr>
          <w:ilvl w:val="0"/>
          <w:numId w:val="2"/>
        </w:numPr>
        <w:spacing w:after="80"/>
      </w:pPr>
      <w:r>
        <w:t xml:space="preserve">Underlying data source 1 — European Centre for Disease Prevention and Control: </w:t>
      </w:r>
      <w:hyperlink w:history="1" r:id="rIdquc3iepdedm8uszbsomrz">
        <w:r>
          <w:rPr>
            <w:rStyle w:val="Hyperlink"/>
          </w:rPr>
          <w:t xml:space="preserve">https://www.ecdc.europa.eu/en/publications-data/download-todays-data-geographic-distribution-covid-19-cases-worldwide</w:t>
        </w:r>
      </w:hyperlink>
    </w:p>
    <w:p>
      <w:pPr>
        <w:pStyle w:val="ListParagraph"/>
        <w:numPr>
          <w:ilvl w:val="0"/>
          <w:numId w:val="2"/>
        </w:numPr>
        <w:spacing w:after="80"/>
      </w:pPr>
      <w:r>
        <w:t xml:space="preserve">Underlying data source 2 — The New York Times COVID-19 data repository: </w:t>
      </w:r>
      <w:hyperlink w:history="1" r:id="rIdyx4tvgmxcwqga9qj8ab7v">
        <w:r>
          <w:rPr>
            <w:rStyle w:val="Hyperlink"/>
          </w:rPr>
          <w:t xml:space="preserve">https://github.com/nytimes/covid-19-data</w:t>
        </w:r>
      </w:hyperlink>
    </w:p>
    <w:p>
      <w:pPr>
        <w:pStyle w:val="ListParagraph"/>
        <w:numPr>
          <w:ilvl w:val="0"/>
          <w:numId w:val="2"/>
        </w:numPr>
        <w:spacing w:after="80"/>
      </w:pPr>
      <w:r>
        <w:t xml:space="preserve">Official Tableau blog post describing this workbook (context / provenance reference): </w:t>
      </w:r>
      <w:hyperlink w:history="1" r:id="rIdeaekybugoul93ka_ua6xi">
        <w:r>
          <w:rPr>
            <w:rStyle w:val="Hyperlink"/>
          </w:rPr>
          <w:t xml:space="preserve">https://www.tableau.com/blog/ten-most-favorited-vizzes-celebrate-ten-viz-tastic-years-tableau-public</w:t>
        </w:r>
      </w:hyperlink>
    </w:p>
    <w:p>
      <w:pPr>
        <w:pBdr>
          <w:top w:val="single" w:color="1F4E79" w:sz="6"/>
          <w:left w:val="single" w:color="1F4E79" w:sz="6"/>
          <w:bottom w:val="single" w:color="1F4E79" w:sz="6"/>
          <w:right w:val="single" w:color="1F4E79" w:sz="6"/>
        </w:pBdr>
        <w:shd w:fill="E7F1FA" w:val="clear"/>
        <w:spacing w:after="200" w:before="120"/>
      </w:pPr>
      <w:r>
        <w:rPr>
          <w:b/>
          <w:bCs/>
        </w:rPr>
        <w:t xml:space="preserve">If either link becomes unavailable:</w:t>
      </w:r>
      <w:r>
        <w:t xml:space="preserve">  Tableau Public's own gallery and search remain a reliable fallback — https://public.tableau.com/app/discover — search for “Superstore” or “COVID-19” and select any workbook with a high favorite count and a recent update date, since the metadata-extraction approach in Phase 3 works on the structure of any .twbx file, not specifically on these two.</w:t>
      </w:r>
    </w:p>
    <w:p>
      <w:pPr>
        <w:pStyle w:val="Heading2"/>
      </w:pPr>
      <w:r>
        <w:t xml:space="preserve">2.3 Tech stack for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1600"/>
        <w:gridCol w:w="9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Tool</w:t>
            </w:r>
          </w:p>
        </w:tc>
        <w:tc>
          <w:tcPr>
            <w:tcW w:type="dxa" w:w="4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Purpose</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Cost</w:t>
            </w:r>
          </w:p>
        </w:tc>
        <w:tc>
          <w:tcPr>
            <w:tcW w:type="dxa" w:w="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Link</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Tableau Public Desktop</w:t>
            </w:r>
          </w:p>
        </w:tc>
        <w:tc>
          <w:tcPr>
            <w:tcW w:type="dxa" w:w="4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Open, inspect, and download workbooks as .twbx files</w:t>
            </w:r>
          </w:p>
        </w:tc>
        <w:tc>
          <w:tcPr>
            <w:tcW w:type="dxa" w:w="1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Free, permanent</w:t>
            </w:r>
          </w:p>
        </w:tc>
        <w:tc>
          <w:tcPr>
            <w:tcW w:type="dxa" w:w="9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tc>
      </w:tr>
      <w:tr>
        <w:tc>
          <w:tcPr>
            <w:tcW w:type="dxa" w:w="28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Web browser</w:t>
            </w:r>
          </w:p>
        </w:tc>
        <w:tc>
          <w:tcPr>
            <w:tcW w:type="dxa" w:w="40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Navigate to the public workbook pages and use the “Download” → “Tableau Workbook” option on each published viz</w:t>
            </w:r>
          </w:p>
        </w:tc>
        <w:tc>
          <w:tcPr>
            <w:tcW w:type="dxa" w:w="16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Free</w:t>
            </w:r>
          </w:p>
        </w:tc>
        <w:tc>
          <w:tcPr>
            <w:tcW w:type="dxa" w:w="96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tc>
      </w:tr>
    </w:tbl>
    <w:p>
      <w:pPr>
        <w:pStyle w:val="Heading2"/>
      </w:pPr>
      <w:r>
        <w:t xml:space="preserve">2.4 Step-by-step instructions</w:t>
      </w:r>
    </w:p>
    <w:p>
      <w:pPr>
        <w:pStyle w:val="ListParagraph"/>
        <w:numPr>
          <w:ilvl w:val="0"/>
          <w:numId w:val="3"/>
        </w:numPr>
        <w:spacing w:after="80"/>
      </w:pPr>
      <w:r>
        <w:t xml:space="preserve">Install Tableau Public Desktop from the link above (Windows or Mac build, both free).</w:t>
      </w:r>
    </w:p>
    <w:p>
      <w:pPr>
        <w:pStyle w:val="ListParagraph"/>
        <w:numPr>
          <w:ilvl w:val="0"/>
          <w:numId w:val="3"/>
        </w:numPr>
        <w:spacing w:after="80"/>
      </w:pPr>
      <w:r>
        <w:t xml:space="preserve">Open each published workbook URL in a browser. On the Tableau Public viz page, locate the “Download” icon (usually bottom-right toolbar of the embedded viz) and choose “Tableau Workbook” — this downloads the real .twbx file, not an image.</w:t>
      </w:r>
    </w:p>
    <w:p>
      <w:pPr>
        <w:pStyle w:val="ListParagraph"/>
        <w:numPr>
          <w:ilvl w:val="0"/>
          <w:numId w:val="3"/>
        </w:numPr>
        <w:spacing w:after="80"/>
      </w:pPr>
      <w:r>
        <w:t xml:space="preserve">Repeat for both Workbook A (Superstore) and Workbook B (COVID-19 Tracker). You should now have two files, e.g. superstore_sales_performance.twbx and covid19_global_view.twbx.</w:t>
      </w:r>
    </w:p>
    <w:p>
      <w:pPr>
        <w:pStyle w:val="ListParagraph"/>
        <w:numPr>
          <w:ilvl w:val="0"/>
          <w:numId w:val="3"/>
        </w:numPr>
        <w:spacing w:after="80"/>
      </w:pPr>
      <w:r>
        <w:t xml:space="preserve">Open each .twbx file once in Tableau Public Desktop to confirm it opens correctly and to visually note how many sheets/dashboards each one contains — this will matter in Phase 3 when extracting metadata.</w:t>
      </w:r>
    </w:p>
    <w:p>
      <w:pPr>
        <w:pStyle w:val="Heading2"/>
      </w:pPr>
      <w:r>
        <w:t xml:space="preserve">2.5 Output of this phase</w:t>
      </w:r>
    </w:p>
    <w:p>
      <w:pPr>
        <w:pStyle w:val="ListParagraph"/>
        <w:numPr>
          <w:ilvl w:val="0"/>
          <w:numId w:val="2"/>
        </w:numPr>
        <w:spacing w:after="80"/>
      </w:pPr>
      <w:r>
        <w:t xml:space="preserve">Two valid, openable .twbx files saved locally, one per domain.</w:t>
      </w:r>
    </w:p>
    <w:p>
      <w:pPr>
        <w:pStyle w:val="ListParagraph"/>
        <w:numPr>
          <w:ilvl w:val="0"/>
          <w:numId w:val="2"/>
        </w:numPr>
        <w:spacing w:after="80"/>
      </w:pPr>
      <w:r>
        <w:t xml:space="preserve">A short note (even just a text file) listing how many dashboards/sheets each workbook contains and their names — this becomes the checklist for Phase 3.</w:t>
      </w:r>
    </w:p>
    <w:p>
      <w:pPr>
        <w:pStyle w:val="Heading3"/>
      </w:pPr>
      <w:r>
        <w:t xml:space="preserve">Check before moving on</w:t>
      </w:r>
    </w:p>
    <w:p>
      <w:pPr>
        <w:pStyle w:val="ListParagraph"/>
        <w:numPr>
          <w:ilvl w:val="0"/>
          <w:numId w:val="2"/>
        </w:numPr>
        <w:spacing w:after="80"/>
      </w:pPr>
      <w:r>
        <w:t xml:space="preserve">Both files open without error in Tableau Public Desktop.</w:t>
      </w:r>
    </w:p>
    <w:p>
      <w:pPr>
        <w:pStyle w:val="ListParagraph"/>
        <w:numPr>
          <w:ilvl w:val="0"/>
          <w:numId w:val="2"/>
        </w:numPr>
        <w:spacing w:after="80"/>
      </w:pPr>
      <w:r>
        <w:t xml:space="preserve">Each workbook has at least one worksheet with numeric, aggregatable fields (e.g. Sales, Profit, Confirmed Cases) — required for Phase 4's structured queries to be meaningful.</w:t>
      </w:r>
    </w:p>
    <w:p>
      <w:r>
        <w:br w:type="page"/>
      </w:r>
    </w:p>
    <w:p>
      <w:pPr>
        <w:pStyle w:val="Heading1"/>
      </w:pPr>
      <w:r>
        <w:t xml:space="preserve">3. Phase 2 — Extract Data and Metadata from Each Workbook</w:t>
      </w:r>
    </w:p>
    <w:p>
      <w:pPr>
        <w:pStyle w:val="Heading2"/>
      </w:pPr>
      <w:r>
        <w:t xml:space="preserve">3.1 Objective</w:t>
      </w:r>
    </w:p>
    <w:p>
      <w:pPr>
        <w:spacing w:after="160"/>
      </w:pPr>
      <w:r>
        <w:t xml:space="preserve">A .twbx file is a ZIP archive. Inside it is a .twb file (XML describing every field, calculated field, worksheet, and dashboard layout) and, when the workbook uses an extract, a .hyper file (Tableau's columnar data format containing the actual rows of data). This phase produces two outputs per workbook: a clean, queryable data table, and a structured metadata description of what that table contains.</w:t>
      </w:r>
    </w:p>
    <w:p>
      <w:pPr>
        <w:pStyle w:val="Heading2"/>
      </w:pPr>
      <w:r>
        <w:t xml:space="preserve">3.2 Tech stack for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400"/>
        <w:gridCol w:w="2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Tool</w:t>
            </w:r>
          </w:p>
        </w:tc>
        <w:tc>
          <w:tcPr>
            <w:tcW w:type="dxa" w:w="3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Purpose</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Cost</w:t>
            </w:r>
          </w:p>
        </w:tc>
        <w:tc>
          <w:tcPr>
            <w:tcW w:type="dxa" w:w="2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Install command / link</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Python 3.10+</w:t>
            </w:r>
          </w:p>
        </w:tc>
        <w:tc>
          <w:tcPr>
            <w:tcW w:type="dxa" w:w="3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Scripting environment for all extraction and processing</w:t>
            </w:r>
          </w:p>
        </w:tc>
        <w:tc>
          <w:tcPr>
            <w:tcW w:type="dxa" w:w="1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Free</w:t>
            </w:r>
          </w:p>
        </w:tc>
        <w:tc>
          <w:tcPr>
            <w:tcW w:type="dxa" w:w="21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tc>
      </w:tr>
      <w:tr>
        <w:tc>
          <w:tcPr>
            <w:tcW w:type="dxa" w:w="22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tableauhyperapi</w:t>
            </w:r>
          </w:p>
        </w:tc>
        <w:tc>
          <w:tcPr>
            <w:tcW w:type="dxa" w:w="36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Official Tableau library to read .hyper extract files directly into rows</w:t>
            </w:r>
          </w:p>
        </w:tc>
        <w:tc>
          <w:tcPr>
            <w:tcW w:type="dxa" w:w="14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Free, official</w:t>
            </w:r>
          </w:p>
        </w:tc>
        <w:tc>
          <w:tcPr>
            <w:tcW w:type="dxa" w:w="216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rFonts w:ascii="Consolas" w:cs="Consolas" w:eastAsia="Consolas" w:hAnsi="Consolas"/>
                <w:color w:val="C7254E"/>
                <w:sz w:val="20"/>
                <w:szCs w:val="20"/>
              </w:rPr>
              <w:t xml:space="preserve">pip install tableauhyperapi</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pandas</w:t>
            </w:r>
          </w:p>
        </w:tc>
        <w:tc>
          <w:tcPr>
            <w:tcW w:type="dxa" w:w="3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Load and reshape the extracted data into a clean table</w:t>
            </w:r>
          </w:p>
        </w:tc>
        <w:tc>
          <w:tcPr>
            <w:tcW w:type="dxa" w:w="1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Free</w:t>
            </w:r>
          </w:p>
        </w:tc>
        <w:tc>
          <w:tcPr>
            <w:tcW w:type="dxa" w:w="21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Consolas" w:cs="Consolas" w:eastAsia="Consolas" w:hAnsi="Consolas"/>
                <w:color w:val="C7254E"/>
                <w:sz w:val="20"/>
                <w:szCs w:val="20"/>
              </w:rPr>
              <w:t xml:space="preserve">pip install pandas</w:t>
            </w:r>
          </w:p>
        </w:tc>
      </w:tr>
      <w:tr>
        <w:tc>
          <w:tcPr>
            <w:tcW w:type="dxa" w:w="22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Python's built-in zipfile and xml.etree.ElementTree</w:t>
            </w:r>
          </w:p>
        </w:tc>
        <w:tc>
          <w:tcPr>
            <w:tcW w:type="dxa" w:w="36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Unzip the .twbx and parse the .twb XML for field names, types, and calculated field formulas</w:t>
            </w:r>
          </w:p>
        </w:tc>
        <w:tc>
          <w:tcPr>
            <w:tcW w:type="dxa" w:w="14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Free, built-in</w:t>
            </w:r>
          </w:p>
        </w:tc>
        <w:tc>
          <w:tcPr>
            <w:tcW w:type="dxa" w:w="216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tc>
      </w:tr>
    </w:tbl>
    <w:p>
      <w:pPr>
        <w:pStyle w:val="Heading2"/>
      </w:pPr>
      <w:r>
        <w:t xml:space="preserve">3.3 Step-by-step instructions</w:t>
      </w:r>
    </w:p>
    <w:p>
      <w:pPr>
        <w:pStyle w:val="Heading3"/>
      </w:pPr>
      <w:r>
        <w:t xml:space="preserve">Step 3.3.1 — Unzip the workbook</w:t>
      </w:r>
    </w:p>
    <w:p>
      <w:pPr>
        <w:spacing w:after="160"/>
      </w:pPr>
      <w:r>
        <w:t xml:space="preserve">A .twbx is a ZIP archive. Renaming the extension to .zip (or using Python's zipfile module directly, which does not require renaming) exposes its contents.</w:t>
      </w:r>
    </w:p>
    <w:p>
      <w:pPr>
        <w:pBdr>
          <w:top w:val="single" w:color="BFBFBF" w:sz="4"/>
          <w:left w:val="single" w:color="BFBFBF" w:sz="4"/>
          <w:bottom w:val="single" w:color="BFBFBF" w:sz="4"/>
          <w:right w:val="single" w:color="BFBFBF" w:sz="4"/>
        </w:pBdr>
        <w:shd w:fill="F5F5F5" w:val="clear"/>
        <w:spacing w:after="160" w:before="80"/>
      </w:pPr>
      <w:r>
        <w:rPr>
          <w:rFonts w:ascii="Consolas" w:cs="Consolas" w:eastAsia="Consolas" w:hAnsi="Consolas"/>
          <w:color w:val="2D2D2D"/>
          <w:sz w:val="19"/>
          <w:szCs w:val="19"/>
        </w:rPr>
        <w:t xml:space="preserve">import zipfile</w:t>
        <w:br/>
        <w:t xml:space="preserve"/>
        <w:br/>
        <w:t xml:space="preserve">with zipfile.ZipFile('superstore_sales_performance.twbx') as z:</w:t>
        <w:br/>
        <w:t xml:space="preserve">    z.extractall('extracted_superstore/')</w:t>
        <w:br/>
        <w:t xml:space="preserve"/>
        <w:br/>
        <w:t xml:space="preserve"># Repeat for the COVID-19 workbook</w:t>
        <w:br/>
        <w:t xml:space="preserve">with zipfile.ZipFile('covid19_global_view.twbx') as z:</w:t>
        <w:br/>
        <w:t xml:space="preserve">    z.extractall('extracted_covid/')</w:t>
      </w:r>
    </w:p>
    <w:p>
      <w:pPr>
        <w:spacing w:after="160"/>
      </w:pPr>
      <w:r>
        <w:t xml:space="preserve">This produces a folder containing a .twb (XML) file and a Data/ subfolder containing the .hyper extract file.</w:t>
      </w:r>
    </w:p>
    <w:p>
      <w:pPr>
        <w:pStyle w:val="Heading3"/>
      </w:pPr>
      <w:r>
        <w:t xml:space="preserve">Step 3.3.2 — Extract the actual data rows from the .hyper file</w:t>
      </w:r>
    </w:p>
    <w:p>
      <w:pPr>
        <w:pBdr>
          <w:top w:val="single" w:color="BFBFBF" w:sz="4"/>
          <w:left w:val="single" w:color="BFBFBF" w:sz="4"/>
          <w:bottom w:val="single" w:color="BFBFBF" w:sz="4"/>
          <w:right w:val="single" w:color="BFBFBF" w:sz="4"/>
        </w:pBdr>
        <w:shd w:fill="F5F5F5" w:val="clear"/>
        <w:spacing w:after="160" w:before="80"/>
      </w:pPr>
      <w:r>
        <w:rPr>
          <w:rFonts w:ascii="Consolas" w:cs="Consolas" w:eastAsia="Consolas" w:hAnsi="Consolas"/>
          <w:color w:val="2D2D2D"/>
          <w:sz w:val="19"/>
          <w:szCs w:val="19"/>
        </w:rPr>
        <w:t xml:space="preserve">from tableauhyperapi import HyperProcess, Connection, Telemetry</w:t>
        <w:br/>
        <w:t xml:space="preserve">import pandas as pd</w:t>
        <w:br/>
        <w:t xml:space="preserve"/>
        <w:br/>
        <w:t xml:space="preserve">def hyper_to_dataframe(hyper_path, table_name=None):</w:t>
        <w:br/>
        <w:t xml:space="preserve">    with HyperProcess(telemetry=Telemetry.DO_NOT_SEND_USAGE_DATA_TO_TABLEAU) as hp:</w:t>
        <w:br/>
        <w:t xml:space="preserve">        with Connection(endpoint=hp.endpoint, database=hyper_path) as conn:</w:t>
        <w:br/>
        <w:t xml:space="preserve">            schema = conn.catalog.get_schema_names()[0]</w:t>
        <w:br/>
        <w:t xml:space="preserve">            tables = conn.catalog.get_table_names(schema=schema)</w:t>
        <w:br/>
        <w:t xml:space="preserve">            target = table_name or tables[0]</w:t>
        <w:br/>
        <w:t xml:space="preserve">            rows = conn.execute_list_query(f'SELECT * FROM {target}')</w:t>
        <w:br/>
        <w:t xml:space="preserve">            columns = [c.name.unescaped for c in conn.catalog.get_table(target).columns]</w:t>
        <w:br/>
        <w:t xml:space="preserve">            return pd.DataFrame(rows, columns=columns)</w:t>
        <w:br/>
        <w:t xml:space="preserve"/>
        <w:br/>
        <w:t xml:space="preserve">df_superstore = hyper_to_dataframe('extracted_superstore/Data/&lt;file&gt;.hyper')</w:t>
        <w:br/>
        <w:t xml:space="preserve">df_covid = hyper_to_dataframe('extracted_covid/Data/&lt;file&gt;.hyper')</w:t>
      </w:r>
    </w:p>
    <w:p>
      <w:pPr>
        <w:pBdr>
          <w:top w:val="single" w:color="BF9000" w:sz="6"/>
          <w:left w:val="single" w:color="BF9000" w:sz="6"/>
          <w:bottom w:val="single" w:color="BF9000" w:sz="6"/>
          <w:right w:val="single" w:color="BF9000" w:sz="6"/>
        </w:pBdr>
        <w:shd w:fill="FFF4CE" w:val="clear"/>
        <w:spacing w:after="200" w:before="120"/>
      </w:pPr>
      <w:r>
        <w:rPr>
          <w:b/>
          <w:bCs/>
        </w:rPr>
        <w:t xml:space="preserve">Note:</w:t>
      </w:r>
      <w:r>
        <w:t xml:space="preserve">  The exact .hyper filename varies per workbook — list the contents of the Data/ folder after unzipping to find it. If a workbook uses a live connection rather than an extract, there may be no .hyper file; in that case, use the workbook's underlying CSV source directly if available (the COVID-19 workbook's underlying CSV sources are linked in Phase 1, Section 2.2).</w:t>
      </w:r>
    </w:p>
    <w:p>
      <w:pPr>
        <w:pStyle w:val="Heading3"/>
      </w:pPr>
      <w:r>
        <w:t xml:space="preserve">Step 3.3.3 — Save each extracted table locally</w:t>
      </w:r>
    </w:p>
    <w:p>
      <w:pPr>
        <w:pBdr>
          <w:top w:val="single" w:color="BFBFBF" w:sz="4"/>
          <w:left w:val="single" w:color="BFBFBF" w:sz="4"/>
          <w:bottom w:val="single" w:color="BFBFBF" w:sz="4"/>
          <w:right w:val="single" w:color="BFBFBF" w:sz="4"/>
        </w:pBdr>
        <w:shd w:fill="F5F5F5" w:val="clear"/>
        <w:spacing w:after="160" w:before="80"/>
      </w:pPr>
      <w:r>
        <w:rPr>
          <w:rFonts w:ascii="Consolas" w:cs="Consolas" w:eastAsia="Consolas" w:hAnsi="Consolas"/>
          <w:color w:val="2D2D2D"/>
          <w:sz w:val="19"/>
          <w:szCs w:val="19"/>
        </w:rPr>
        <w:t xml:space="preserve">df_superstore.to_csv('data/superstore.csv', index=False)</w:t>
        <w:br/>
        <w:t xml:space="preserve">df_covid.to_csv('data/covid19.csv', index=False)</w:t>
        <w:br/>
        <w:t xml:space="preserve"/>
        <w:br/>
        <w:t xml:space="preserve"># Optional: also load into SQLite for SQL-style querying in Phase 4</w:t>
        <w:br/>
        <w:t xml:space="preserve">import sqlite3</w:t>
        <w:br/>
        <w:t xml:space="preserve">conn = sqlite3.connect('data/workbooks.db')</w:t>
        <w:br/>
        <w:t xml:space="preserve">df_superstore.to_sql('superstore', conn, if_exists='replace', index=False)</w:t>
        <w:br/>
        <w:t xml:space="preserve">df_covid.to_sql('covid19', conn, if_exists='replace', index=False)</w:t>
      </w:r>
    </w:p>
    <w:p>
      <w:pPr>
        <w:pStyle w:val="Heading3"/>
      </w:pPr>
      <w:r>
        <w:t xml:space="preserve">Step 3.3.4 — Parse the .twb XML for field and worksheet metadata</w:t>
      </w:r>
    </w:p>
    <w:p>
      <w:pPr>
        <w:spacing w:after="160"/>
      </w:pPr>
      <w:r>
        <w:t xml:space="preserve">This step produces the human-readable description of each field and worksheet, used later for semantic search.</w:t>
      </w:r>
    </w:p>
    <w:p>
      <w:pPr>
        <w:pBdr>
          <w:top w:val="single" w:color="BFBFBF" w:sz="4"/>
          <w:left w:val="single" w:color="BFBFBF" w:sz="4"/>
          <w:bottom w:val="single" w:color="BFBFBF" w:sz="4"/>
          <w:right w:val="single" w:color="BFBFBF" w:sz="4"/>
        </w:pBdr>
        <w:shd w:fill="F5F5F5" w:val="clear"/>
        <w:spacing w:after="160" w:before="80"/>
      </w:pPr>
      <w:r>
        <w:rPr>
          <w:rFonts w:ascii="Consolas" w:cs="Consolas" w:eastAsia="Consolas" w:hAnsi="Consolas"/>
          <w:color w:val="2D2D2D"/>
          <w:sz w:val="19"/>
          <w:szCs w:val="19"/>
        </w:rPr>
        <w:t xml:space="preserve">import xml.etree.ElementTree as ET</w:t>
        <w:br/>
        <w:t xml:space="preserve"/>
        <w:br/>
        <w:t xml:space="preserve">def extract_fields(twb_path):</w:t>
        <w:br/>
        <w:t xml:space="preserve">    tree = ET.parse(twb_path)</w:t>
        <w:br/>
        <w:t xml:space="preserve">    root = tree.getroot()</w:t>
        <w:br/>
        <w:t xml:space="preserve">    fields = []</w:t>
        <w:br/>
        <w:t xml:space="preserve">    for col in root.iter('column'):</w:t>
        <w:br/>
        <w:t xml:space="preserve">        fields.append({</w:t>
        <w:br/>
        <w:t xml:space="preserve">            'name': col.get('name', '').strip('[]'),</w:t>
        <w:br/>
        <w:t xml:space="preserve">            'datatype': col.get('datatype'),</w:t>
        <w:br/>
        <w:t xml:space="preserve">            'role': col.get('role'),       # dimension or measure</w:t>
        <w:br/>
        <w:t xml:space="preserve">            'caption': col.get('caption'),</w:t>
        <w:br/>
        <w:t xml:space="preserve">        })</w:t>
        <w:br/>
        <w:t xml:space="preserve">    worksheets = [ws.get('name') for ws in root.iter('worksheet')]</w:t>
        <w:br/>
        <w:t xml:space="preserve">    return fields, worksheets</w:t>
        <w:br/>
        <w:t xml:space="preserve"/>
        <w:br/>
        <w:t xml:space="preserve">fields_ss, sheets_ss = extract_fields('extracted_superstore/&lt;file&gt;.twb')</w:t>
        <w:br/>
        <w:t xml:space="preserve">fields_cv, sheets_cv = extract_fields('extracted_covid/&lt;file&gt;.twb')</w:t>
      </w:r>
    </w:p>
    <w:p>
      <w:pPr>
        <w:pStyle w:val="Heading3"/>
      </w:pPr>
      <w:r>
        <w:t xml:space="preserve">Step 3.3.5 — Write the metadata as structured text</w:t>
      </w:r>
    </w:p>
    <w:p>
      <w:pPr>
        <w:spacing w:after="160"/>
      </w:pPr>
      <w:r>
        <w:t xml:space="preserve">Convert the parsed fields and worksheets into a small set of plain-language records — one per field, one per worksheet — each tagged with which workbook it belongs to. This is the raw material Phase 4's semantic search will run on.</w:t>
      </w:r>
    </w:p>
    <w:p>
      <w:pPr>
        <w:pBdr>
          <w:top w:val="single" w:color="BFBFBF" w:sz="4"/>
          <w:left w:val="single" w:color="BFBFBF" w:sz="4"/>
          <w:bottom w:val="single" w:color="BFBFBF" w:sz="4"/>
          <w:right w:val="single" w:color="BFBFBF" w:sz="4"/>
        </w:pBdr>
        <w:shd w:fill="F5F5F5" w:val="clear"/>
        <w:spacing w:after="160" w:before="80"/>
      </w:pPr>
      <w:r>
        <w:rPr>
          <w:rFonts w:ascii="Consolas" w:cs="Consolas" w:eastAsia="Consolas" w:hAnsi="Consolas"/>
          <w:color w:val="2D2D2D"/>
          <w:sz w:val="19"/>
          <w:szCs w:val="19"/>
        </w:rPr>
        <w:t xml:space="preserve">import json</w:t>
        <w:br/>
        <w:t xml:space="preserve"/>
        <w:br/>
        <w:t xml:space="preserve">metadata_records = []</w:t>
        <w:br/>
        <w:t xml:space="preserve">for f in fields_ss:</w:t>
        <w:br/>
        <w:t xml:space="preserve">    metadata_records.append({</w:t>
        <w:br/>
        <w:t xml:space="preserve">        'workbook': 'Superstore',</w:t>
        <w:br/>
        <w:t xml:space="preserve">        'type': 'field',</w:t>
        <w:br/>
        <w:t xml:space="preserve">        'name': f['name'],</w:t>
        <w:br/>
        <w:t xml:space="preserve">        'text': f"Field '{f['name']}' in the Superstore workbook is a "</w:t>
        <w:br/>
        <w:t xml:space="preserve">                f"{f['role']} of type {f['datatype']}."</w:t>
        <w:br/>
        <w:t xml:space="preserve">    })</w:t>
        <w:br/>
        <w:t xml:space="preserve">for s in sheets_ss:</w:t>
        <w:br/>
        <w:t xml:space="preserve">    metadata_records.append({</w:t>
        <w:br/>
        <w:t xml:space="preserve">        'workbook': 'Superstore', 'type': 'worksheet', 'name': s,</w:t>
        <w:br/>
        <w:t xml:space="preserve">        'text': f"Worksheet '{s}' belongs to the Superstore (retail sales) workbook."</w:t>
        <w:br/>
        <w:t xml:space="preserve">    })</w:t>
        <w:br/>
        <w:t xml:space="preserve"># Repeat the same pattern for the COVID-19 workbook fields/sheets,</w:t>
        <w:br/>
        <w:t xml:space="preserve"># tagging 'workbook': 'COVID-19 Tracker'</w:t>
        <w:br/>
        <w:t xml:space="preserve"/>
        <w:br/>
        <w:t xml:space="preserve">with open('data/metadata.json', 'w') as f:</w:t>
        <w:br/>
        <w:t xml:space="preserve">    json.dump(metadata_records, f, indent=2)</w:t>
      </w:r>
    </w:p>
    <w:p>
      <w:pPr>
        <w:pBdr>
          <w:top w:val="single" w:color="BF9000" w:sz="6"/>
          <w:left w:val="single" w:color="BF9000" w:sz="6"/>
          <w:bottom w:val="single" w:color="BF9000" w:sz="6"/>
          <w:right w:val="single" w:color="BF9000" w:sz="6"/>
        </w:pBdr>
        <w:shd w:fill="FFF4CE" w:val="clear"/>
        <w:spacing w:after="200" w:before="120"/>
      </w:pPr>
      <w:r>
        <w:rPr>
          <w:b/>
          <w:bCs/>
        </w:rPr>
        <w:t xml:space="preserve">Important:</w:t>
      </w:r>
      <w:r>
        <w:t xml:space="preserve">  Field captions and Tableau's auto-generated names are often cryptic (e.g. “Calculation_123456789” for a calculated field). Manually rewrite the 'text' description for any field whose business meaning is not obvious from its name — this hand-curation step is what makes the semantic search actually useful later, rather than just echoing field names back.</w:t>
      </w:r>
    </w:p>
    <w:p>
      <w:pPr>
        <w:pStyle w:val="Heading2"/>
      </w:pPr>
      <w:r>
        <w:t xml:space="preserve">3.4 Output of this phase</w:t>
      </w:r>
    </w:p>
    <w:p>
      <w:pPr>
        <w:pStyle w:val="ListParagraph"/>
        <w:numPr>
          <w:ilvl w:val="0"/>
          <w:numId w:val="2"/>
        </w:numPr>
        <w:spacing w:after="80"/>
      </w:pPr>
      <w:r>
        <w:t xml:space="preserve">data/superstore.csv and data/covid19.csv — clean, flat data tables, one per workbook.</w:t>
      </w:r>
    </w:p>
    <w:p>
      <w:pPr>
        <w:pStyle w:val="ListParagraph"/>
        <w:numPr>
          <w:ilvl w:val="0"/>
          <w:numId w:val="2"/>
        </w:numPr>
        <w:spacing w:after="80"/>
      </w:pPr>
      <w:r>
        <w:t xml:space="preserve">data/workbooks.db — the same data loaded into SQLite, ready for direct SQL querying in Phase 4.</w:t>
      </w:r>
    </w:p>
    <w:p>
      <w:pPr>
        <w:pStyle w:val="ListParagraph"/>
        <w:numPr>
          <w:ilvl w:val="0"/>
          <w:numId w:val="2"/>
        </w:numPr>
        <w:spacing w:after="80"/>
      </w:pPr>
      <w:r>
        <w:t xml:space="preserve">data/metadata.json — a structured, human-readable list of every field and worksheet across both workbooks, each tagged with its source workbook.</w:t>
      </w:r>
    </w:p>
    <w:p>
      <w:pPr>
        <w:pStyle w:val="Heading3"/>
      </w:pPr>
      <w:r>
        <w:t xml:space="preserve">Check before moving on</w:t>
      </w:r>
    </w:p>
    <w:p>
      <w:pPr>
        <w:pStyle w:val="ListParagraph"/>
        <w:numPr>
          <w:ilvl w:val="0"/>
          <w:numId w:val="2"/>
        </w:numPr>
        <w:spacing w:after="80"/>
      </w:pPr>
      <w:r>
        <w:t xml:space="preserve">Open each CSV and confirm row counts look reasonable (Superstore: typically several thousand rows; COVID-19 tracker: typically tens of thousands of rows given daily records across many countries).</w:t>
      </w:r>
    </w:p>
    <w:p>
      <w:pPr>
        <w:pStyle w:val="ListParagraph"/>
        <w:numPr>
          <w:ilvl w:val="0"/>
          <w:numId w:val="2"/>
        </w:numPr>
        <w:spacing w:after="80"/>
      </w:pPr>
      <w:r>
        <w:t xml:space="preserve">Open metadata.json and confirm every record has a clear, readable 'text' description — not just a raw field name.</w:t>
      </w:r>
    </w:p>
    <w:p>
      <w:pPr>
        <w:pStyle w:val="ListParagraph"/>
        <w:numPr>
          <w:ilvl w:val="0"/>
          <w:numId w:val="2"/>
        </w:numPr>
        <w:spacing w:after="80"/>
      </w:pPr>
      <w:r>
        <w:t xml:space="preserve">Confirm every metadata record has the correct 'workbook' tag — this tag is what later prevents the system from mixing up which dashboard an answer came from.</w:t>
      </w:r>
    </w:p>
    <w:p>
      <w:r>
        <w:br w:type="page"/>
      </w:r>
    </w:p>
    <w:p>
      <w:pPr>
        <w:pStyle w:val="Heading1"/>
      </w:pPr>
      <w:r>
        <w:t xml:space="preserve">4. Phase 3 — Build the Semantic Metadata Search (Conceptual-Question Path)</w:t>
      </w:r>
    </w:p>
    <w:p>
      <w:pPr>
        <w:pStyle w:val="Heading2"/>
      </w:pPr>
      <w:r>
        <w:t xml:space="preserve">4.1 Objective</w:t>
      </w:r>
    </w:p>
    <w:p>
      <w:pPr>
        <w:spacing w:after="160"/>
      </w:pPr>
      <w:r>
        <w:t xml:space="preserve">Build a function that, given a natural-language question, returns the most relevant metadata records from Phase 2's metadata.json — regardless of which workbook the question is about. This is the path that answers “what is this” and “which workbook covers this” type questions.</w:t>
      </w:r>
    </w:p>
    <w:p>
      <w:pPr>
        <w:pStyle w:val="Heading2"/>
      </w:pPr>
      <w:r>
        <w:t xml:space="preserve">4.2 Tech stack for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400"/>
        <w:gridCol w:w="13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Tool</w:t>
            </w:r>
          </w:p>
        </w:tc>
        <w:tc>
          <w:tcPr>
            <w:tcW w:type="dxa" w:w="4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Purpose</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Cost</w:t>
            </w:r>
          </w:p>
        </w:tc>
        <w:tc>
          <w:tcPr>
            <w:tcW w:type="dxa" w:w="1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Install command / link</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sentence-transformers</w:t>
            </w:r>
          </w:p>
        </w:tc>
        <w:tc>
          <w:tcPr>
            <w:tcW w:type="dxa" w:w="4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Local, free embedding model — converts text into vectors for similarity search</w:t>
            </w:r>
          </w:p>
        </w:tc>
        <w:tc>
          <w:tcPr>
            <w:tcW w:type="dxa" w:w="1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Free, runs locally, no API key</w:t>
            </w:r>
          </w:p>
        </w:tc>
        <w:tc>
          <w:tcPr>
            <w:tcW w:type="dxa" w:w="13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Consolas" w:cs="Consolas" w:eastAsia="Consolas" w:hAnsi="Consolas"/>
                <w:color w:val="C7254E"/>
                <w:sz w:val="20"/>
                <w:szCs w:val="20"/>
              </w:rPr>
              <w:t xml:space="preserve">pip install sentence-transformers</w:t>
            </w:r>
          </w:p>
        </w:tc>
      </w:tr>
      <w:tr>
        <w:tc>
          <w:tcPr>
            <w:tcW w:type="dxa" w:w="24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all-MiniLM-L6-v2</w:t>
            </w:r>
          </w:p>
        </w:tc>
        <w:tc>
          <w:tcPr>
            <w:tcW w:type="dxa" w:w="42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The specific embedding model used — small, fast, well-suited to short metadata text, runs on CPU</w:t>
            </w:r>
          </w:p>
        </w:tc>
        <w:tc>
          <w:tcPr>
            <w:tcW w:type="dxa" w:w="14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Free, open-weight</w:t>
            </w:r>
          </w:p>
        </w:tc>
        <w:tc>
          <w:tcPr>
            <w:tcW w:type="dxa" w:w="136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hyperlink w:history="1" r:id="rIdpcvmelnfebhsbrwzpxwip">
              <w:r>
                <w:rPr>
                  <w:rStyle w:val="Hyperlink"/>
                </w:rPr>
                <w:t xml:space="preserve">https://huggingface.co/sentence-transformers/all-MiniLM-L6-v2</w:t>
              </w:r>
            </w:hyperlink>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ChromaDB</w:t>
            </w:r>
          </w:p>
        </w:tc>
        <w:tc>
          <w:tcPr>
            <w:tcW w:type="dxa" w:w="4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Local vector database — stores embeddings and performs the similarity search, no server required</w:t>
            </w:r>
          </w:p>
        </w:tc>
        <w:tc>
          <w:tcPr>
            <w:tcW w:type="dxa" w:w="1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Free, open source</w:t>
            </w:r>
          </w:p>
        </w:tc>
        <w:tc>
          <w:tcPr>
            <w:tcW w:type="dxa" w:w="13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Consolas" w:cs="Consolas" w:eastAsia="Consolas" w:hAnsi="Consolas"/>
                <w:color w:val="C7254E"/>
                <w:sz w:val="20"/>
                <w:szCs w:val="20"/>
              </w:rPr>
              <w:t xml:space="preserve">pip install chromadb</w:t>
            </w:r>
          </w:p>
        </w:tc>
      </w:tr>
    </w:tbl>
    <w:p>
      <w:pPr>
        <w:pStyle w:val="Heading2"/>
      </w:pPr>
      <w:r>
        <w:t xml:space="preserve">4.3 Step-by-step instructions</w:t>
      </w:r>
    </w:p>
    <w:p>
      <w:pPr>
        <w:pStyle w:val="Heading3"/>
      </w:pPr>
      <w:r>
        <w:t xml:space="preserve">Step 4.3.1 — Load the metadata and embed each record</w:t>
      </w:r>
    </w:p>
    <w:p>
      <w:pPr>
        <w:pBdr>
          <w:top w:val="single" w:color="BFBFBF" w:sz="4"/>
          <w:left w:val="single" w:color="BFBFBF" w:sz="4"/>
          <w:bottom w:val="single" w:color="BFBFBF" w:sz="4"/>
          <w:right w:val="single" w:color="BFBFBF" w:sz="4"/>
        </w:pBdr>
        <w:shd w:fill="F5F5F5" w:val="clear"/>
        <w:spacing w:after="160" w:before="80"/>
      </w:pPr>
      <w:r>
        <w:rPr>
          <w:rFonts w:ascii="Consolas" w:cs="Consolas" w:eastAsia="Consolas" w:hAnsi="Consolas"/>
          <w:color w:val="2D2D2D"/>
          <w:sz w:val="19"/>
          <w:szCs w:val="19"/>
        </w:rPr>
        <w:t xml:space="preserve">import json</w:t>
        <w:br/>
        <w:t xml:space="preserve">import chromadb</w:t>
        <w:br/>
        <w:t xml:space="preserve">from sentence_transformers import SentenceTransformer</w:t>
        <w:br/>
        <w:t xml:space="preserve"/>
        <w:br/>
        <w:t xml:space="preserve">model = SentenceTransformer('all-MiniLM-L6-v2')</w:t>
        <w:br/>
        <w:t xml:space="preserve"/>
        <w:br/>
        <w:t xml:space="preserve">with open('data/metadata.json') as f:</w:t>
        <w:br/>
        <w:t xml:space="preserve">    records = json.load(f)</w:t>
        <w:br/>
        <w:t xml:space="preserve"/>
        <w:br/>
        <w:t xml:space="preserve">client = chromadb.PersistentClient(path='data/vector_store')</w:t>
        <w:br/>
        <w:t xml:space="preserve">collection = client.get_or_create_collection('tableau_metadata')</w:t>
        <w:br/>
        <w:t xml:space="preserve"/>
        <w:br/>
        <w:t xml:space="preserve">texts = [r['text'] for r in records]</w:t>
        <w:br/>
        <w:t xml:space="preserve">embeddings = model.encode(texts).tolist()</w:t>
        <w:br/>
        <w:t xml:space="preserve"/>
        <w:br/>
        <w:t xml:space="preserve">collection.add(</w:t>
        <w:br/>
        <w:t xml:space="preserve">    ids=[str(i) for i in range(len(records))],</w:t>
        <w:br/>
        <w:t xml:space="preserve">    embeddings=embeddings,</w:t>
        <w:br/>
        <w:t xml:space="preserve">    documents=texts,</w:t>
        <w:br/>
        <w:t xml:space="preserve">    metadatas=[{'workbook': r['workbook'], 'type': r['type'], 'name': r['name']} for r in records]</w:t>
        <w:br/>
        <w:t xml:space="preserve">)</w:t>
      </w:r>
    </w:p>
    <w:p>
      <w:pPr>
        <w:pStyle w:val="Heading3"/>
      </w:pPr>
      <w:r>
        <w:t xml:space="preserve">Step 4.3.2 — Write the search function</w:t>
      </w:r>
    </w:p>
    <w:p>
      <w:pPr>
        <w:pBdr>
          <w:top w:val="single" w:color="BFBFBF" w:sz="4"/>
          <w:left w:val="single" w:color="BFBFBF" w:sz="4"/>
          <w:bottom w:val="single" w:color="BFBFBF" w:sz="4"/>
          <w:right w:val="single" w:color="BFBFBF" w:sz="4"/>
        </w:pBdr>
        <w:shd w:fill="F5F5F5" w:val="clear"/>
        <w:spacing w:after="160" w:before="80"/>
      </w:pPr>
      <w:r>
        <w:rPr>
          <w:rFonts w:ascii="Consolas" w:cs="Consolas" w:eastAsia="Consolas" w:hAnsi="Consolas"/>
          <w:color w:val="2D2D2D"/>
          <w:sz w:val="19"/>
          <w:szCs w:val="19"/>
        </w:rPr>
        <w:t xml:space="preserve">def search_dashboard_metadata(question: str, top_k: int = 4):</w:t>
        <w:br/>
        <w:t xml:space="preserve">    """</w:t>
        <w:br/>
        <w:t xml:space="preserve">    Semantic search over workbook/field/worksheet descriptions.</w:t>
        <w:br/>
        <w:t xml:space="preserve">    Returns the most relevant metadata chunks, each tagged with</w:t>
        <w:br/>
        <w:t xml:space="preserve">    its source workbook.</w:t>
        <w:br/>
        <w:t xml:space="preserve">    """</w:t>
        <w:br/>
        <w:t xml:space="preserve">    query_embedding = model.encode([question]).tolist()</w:t>
        <w:br/>
        <w:t xml:space="preserve">    results = collection.query(query_embeddings=query_embedding, n_results=top_k)</w:t>
        <w:br/>
        <w:t xml:space="preserve">    return [</w:t>
        <w:br/>
        <w:t xml:space="preserve">        {'text': doc, 'workbook': meta['workbook'], 'type': meta['type'], 'name': meta['name']}</w:t>
        <w:br/>
        <w:t xml:space="preserve">        for doc, meta in zip(results['documents'][0], results['metadatas'][0])</w:t>
        <w:br/>
        <w:t xml:space="preserve">    ]</w:t>
      </w:r>
    </w:p>
    <w:p>
      <w:pPr>
        <w:pStyle w:val="Heading3"/>
      </w:pPr>
      <w:r>
        <w:t xml:space="preserve">Step 4.3.3 — Test it manually before wiring it to the LLM</w:t>
      </w:r>
    </w:p>
    <w:p>
      <w:pPr>
        <w:pBdr>
          <w:top w:val="single" w:color="BFBFBF" w:sz="4"/>
          <w:left w:val="single" w:color="BFBFBF" w:sz="4"/>
          <w:bottom w:val="single" w:color="BFBFBF" w:sz="4"/>
          <w:right w:val="single" w:color="BFBFBF" w:sz="4"/>
        </w:pBdr>
        <w:shd w:fill="F5F5F5" w:val="clear"/>
        <w:spacing w:after="160" w:before="80"/>
      </w:pPr>
      <w:r>
        <w:rPr>
          <w:rFonts w:ascii="Consolas" w:cs="Consolas" w:eastAsia="Consolas" w:hAnsi="Consolas"/>
          <w:color w:val="2D2D2D"/>
          <w:sz w:val="19"/>
          <w:szCs w:val="19"/>
        </w:rPr>
        <w:t xml:space="preserve">print(search_dashboard_metadata('what does profit ratio mean'))</w:t>
        <w:br/>
        <w:t xml:space="preserve">print(search_dashboard_metadata('which workbook has country-level data'))</w:t>
        <w:br/>
        <w:t xml:space="preserve">print(search_dashboard_metadata('what fields track confirmed cases'))</w:t>
      </w:r>
    </w:p>
    <w:p>
      <w:pPr>
        <w:pStyle w:val="Heading2"/>
      </w:pPr>
      <w:r>
        <w:t xml:space="preserve">4.4 Output of this phase</w:t>
      </w:r>
    </w:p>
    <w:p>
      <w:pPr>
        <w:pStyle w:val="ListParagraph"/>
        <w:numPr>
          <w:ilvl w:val="0"/>
          <w:numId w:val="2"/>
        </w:numPr>
        <w:spacing w:after="80"/>
      </w:pPr>
      <w:r>
        <w:t xml:space="preserve">A persisted vector store at data/vector_store/ containing embeddings for every metadata record from both workbooks.</w:t>
      </w:r>
    </w:p>
    <w:p>
      <w:pPr>
        <w:pStyle w:val="ListParagraph"/>
        <w:numPr>
          <w:ilvl w:val="0"/>
          <w:numId w:val="2"/>
        </w:numPr>
        <w:spacing w:after="80"/>
      </w:pPr>
      <w:r>
        <w:t xml:space="preserve">A working search_dashboard_metadata() function, callable directly in Python, independent of any LLM.</w:t>
      </w:r>
    </w:p>
    <w:p>
      <w:pPr>
        <w:pStyle w:val="Heading3"/>
      </w:pPr>
      <w:r>
        <w:t xml:space="preserve">Check before moving on</w:t>
      </w:r>
    </w:p>
    <w:p>
      <w:pPr>
        <w:pStyle w:val="ListParagraph"/>
        <w:numPr>
          <w:ilvl w:val="0"/>
          <w:numId w:val="2"/>
        </w:numPr>
        <w:spacing w:after="80"/>
      </w:pPr>
      <w:r>
        <w:t xml:space="preserve">Run at least 5 manual test queries covering both workbooks. Confirm the top result's 'workbook' tag matches the domain the question is actually about (e.g. a sales question should not return a COVID-19-tagged record as the top hit).</w:t>
      </w:r>
    </w:p>
    <w:p>
      <w:pPr>
        <w:pStyle w:val="ListParagraph"/>
        <w:numPr>
          <w:ilvl w:val="0"/>
          <w:numId w:val="2"/>
        </w:numPr>
        <w:spacing w:after="80"/>
      </w:pPr>
      <w:r>
        <w:t xml:space="preserve">If results seem irrelevant, the most common cause is metadata text that is too short or too generic — revisit Phase 2, Step 3.3.5 and write fuller descriptions.</w:t>
      </w:r>
    </w:p>
    <w:p>
      <w:r>
        <w:br w:type="page"/>
      </w:r>
    </w:p>
    <w:p>
      <w:pPr>
        <w:pStyle w:val="Heading1"/>
      </w:pPr>
      <w:r>
        <w:t xml:space="preserve">5. Phase 4 — Build the Structured Query Function (Numerical-Question Path)</w:t>
      </w:r>
    </w:p>
    <w:p>
      <w:pPr>
        <w:pStyle w:val="Heading2"/>
      </w:pPr>
      <w:r>
        <w:t xml:space="preserve">5.1 Objective</w:t>
      </w:r>
    </w:p>
    <w:p>
      <w:pPr>
        <w:spacing w:after="160"/>
      </w:pPr>
      <w:r>
        <w:t xml:space="preserve">Build a function that takes a workbook name, a field, an aggregation type, and optional filters, and returns the real, computed value from the actual extracted data — with zero LLM involvement in the computation itself. The LLM's only job on this path is to decide what query to run and to phrase the final answer; it never invents or estimates the number.</w:t>
      </w:r>
    </w:p>
    <w:p>
      <w:pPr>
        <w:pStyle w:val="Heading2"/>
      </w:pPr>
      <w:r>
        <w:t xml:space="preserve">5.2 Tech stack for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3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Tool</w:t>
            </w:r>
          </w:p>
        </w:tc>
        <w:tc>
          <w:tcPr>
            <w:tcW w:type="dxa" w:w="4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Purpose</w:t>
            </w:r>
          </w:p>
        </w:tc>
        <w:tc>
          <w:tcPr>
            <w:tcW w:type="dxa" w:w="1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Cost</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pandas</w:t>
            </w:r>
          </w:p>
        </w:tc>
        <w:tc>
          <w:tcPr>
            <w:tcW w:type="dxa" w:w="4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In-memory filtering and aggregation of the extracted CSVs</w:t>
            </w:r>
          </w:p>
        </w:tc>
        <w:tc>
          <w:tcPr>
            <w:tcW w:type="dxa" w:w="13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Free</w:t>
            </w:r>
          </w:p>
        </w:tc>
      </w:tr>
      <w:tr>
        <w:tc>
          <w:tcPr>
            <w:tcW w:type="dxa" w:w="32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sqlite3 (Python built-in)</w:t>
            </w:r>
          </w:p>
        </w:tc>
        <w:tc>
          <w:tcPr>
            <w:tcW w:type="dxa" w:w="48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Optional SQL-based alternative to pandas, useful if filters become complex</w:t>
            </w:r>
          </w:p>
        </w:tc>
        <w:tc>
          <w:tcPr>
            <w:tcW w:type="dxa" w:w="136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Free, built-in</w:t>
            </w:r>
          </w:p>
        </w:tc>
      </w:tr>
    </w:tbl>
    <w:p>
      <w:pPr>
        <w:pStyle w:val="Heading2"/>
      </w:pPr>
      <w:r>
        <w:t xml:space="preserve">5.3 Step-by-step instructions</w:t>
      </w:r>
    </w:p>
    <w:p>
      <w:pPr>
        <w:pStyle w:val="Heading3"/>
      </w:pPr>
      <w:r>
        <w:t xml:space="preserve">Step 5.3.1 — Load both data tables</w:t>
      </w:r>
    </w:p>
    <w:p>
      <w:pPr>
        <w:pBdr>
          <w:top w:val="single" w:color="BFBFBF" w:sz="4"/>
          <w:left w:val="single" w:color="BFBFBF" w:sz="4"/>
          <w:bottom w:val="single" w:color="BFBFBF" w:sz="4"/>
          <w:right w:val="single" w:color="BFBFBF" w:sz="4"/>
        </w:pBdr>
        <w:shd w:fill="F5F5F5" w:val="clear"/>
        <w:spacing w:after="160" w:before="80"/>
      </w:pPr>
      <w:r>
        <w:rPr>
          <w:rFonts w:ascii="Consolas" w:cs="Consolas" w:eastAsia="Consolas" w:hAnsi="Consolas"/>
          <w:color w:val="2D2D2D"/>
          <w:sz w:val="19"/>
          <w:szCs w:val="19"/>
        </w:rPr>
        <w:t xml:space="preserve">import pandas as pd</w:t>
        <w:br/>
        <w:t xml:space="preserve"/>
        <w:br/>
        <w:t xml:space="preserve">tables = {</w:t>
        <w:br/>
        <w:t xml:space="preserve">    'superstore': pd.read_csv('data/superstore.csv'),</w:t>
        <w:br/>
        <w:t xml:space="preserve">    'covid19': pd.read_csv('data/covid19.csv'),</w:t>
        <w:br/>
        <w:t xml:space="preserve">}</w:t>
      </w:r>
    </w:p>
    <w:p>
      <w:pPr>
        <w:pStyle w:val="Heading3"/>
      </w:pPr>
      <w:r>
        <w:t xml:space="preserve">Step 5.3.2 — Write a generic query function</w:t>
      </w:r>
    </w:p>
    <w:p>
      <w:pPr>
        <w:pBdr>
          <w:top w:val="single" w:color="BFBFBF" w:sz="4"/>
          <w:left w:val="single" w:color="BFBFBF" w:sz="4"/>
          <w:bottom w:val="single" w:color="BFBFBF" w:sz="4"/>
          <w:right w:val="single" w:color="BFBFBF" w:sz="4"/>
        </w:pBdr>
        <w:shd w:fill="F5F5F5" w:val="clear"/>
        <w:spacing w:after="160" w:before="80"/>
      </w:pPr>
      <w:r>
        <w:rPr>
          <w:rFonts w:ascii="Consolas" w:cs="Consolas" w:eastAsia="Consolas" w:hAnsi="Consolas"/>
          <w:color w:val="2D2D2D"/>
          <w:sz w:val="19"/>
          <w:szCs w:val="19"/>
        </w:rPr>
        <w:t xml:space="preserve">def query_metric(workbook: str, field: str, aggregation: str = 'sum', filters: dict = None):</w:t>
        <w:br/>
        <w:t xml:space="preserve">    """</w:t>
        <w:br/>
        <w:t xml:space="preserve">    workbook    : 'superstore' or 'covid19'</w:t>
        <w:br/>
        <w:t xml:space="preserve">    field       : the column to aggregate, e.g. 'Sales', 'Profit', 'Confirmed Cases'</w:t>
        <w:br/>
        <w:t xml:space="preserve">    aggregation : 'sum' | 'mean' | 'count' | 'max' | 'min'</w:t>
        <w:br/>
        <w:t xml:space="preserve">    filters     : dict of {column: value}, e.g. {'Region': 'West', 'Year': 2023}</w:t>
        <w:br/>
        <w:t xml:space="preserve">    """</w:t>
        <w:br/>
        <w:t xml:space="preserve">    df = tables[workbook]</w:t>
        <w:br/>
        <w:t xml:space="preserve">    if filters:</w:t>
        <w:br/>
        <w:t xml:space="preserve">        for col, val in filters.items():</w:t>
        <w:br/>
        <w:t xml:space="preserve">            df = df[df[col] == val]</w:t>
        <w:br/>
        <w:t xml:space="preserve">    if df.empty:</w:t>
        <w:br/>
        <w:t xml:space="preserve">        return {'error': 'No matching rows for the given filters.'}</w:t>
        <w:br/>
        <w:t xml:space="preserve">    result = getattr(df[field], aggregation)()</w:t>
        <w:br/>
        <w:t xml:space="preserve">    return {</w:t>
        <w:br/>
        <w:t xml:space="preserve">        'workbook': workbook,</w:t>
        <w:br/>
        <w:t xml:space="preserve">        'field': field,</w:t>
        <w:br/>
        <w:t xml:space="preserve">        'aggregation': aggregation,</w:t>
        <w:br/>
        <w:t xml:space="preserve">        'filters': filters,</w:t>
        <w:br/>
        <w:t xml:space="preserve">        'value': float(result),</w:t>
        <w:br/>
        <w:t xml:space="preserve">        'row_count': len(df)</w:t>
        <w:br/>
        <w:t xml:space="preserve">    }</w:t>
      </w:r>
    </w:p>
    <w:p>
      <w:pPr>
        <w:pStyle w:val="Heading3"/>
      </w:pPr>
      <w:r>
        <w:t xml:space="preserve">Step 5.3.3 — Test it manually</w:t>
      </w:r>
    </w:p>
    <w:p>
      <w:pPr>
        <w:pBdr>
          <w:top w:val="single" w:color="BFBFBF" w:sz="4"/>
          <w:left w:val="single" w:color="BFBFBF" w:sz="4"/>
          <w:bottom w:val="single" w:color="BFBFBF" w:sz="4"/>
          <w:right w:val="single" w:color="BFBFBF" w:sz="4"/>
        </w:pBdr>
        <w:shd w:fill="F5F5F5" w:val="clear"/>
        <w:spacing w:after="160" w:before="80"/>
      </w:pPr>
      <w:r>
        <w:rPr>
          <w:rFonts w:ascii="Consolas" w:cs="Consolas" w:eastAsia="Consolas" w:hAnsi="Consolas"/>
          <w:color w:val="2D2D2D"/>
          <w:sz w:val="19"/>
          <w:szCs w:val="19"/>
        </w:rPr>
        <w:t xml:space="preserve">print(query_metric('superstore', 'Sales', 'sum', {'Region': 'West'}))</w:t>
        <w:br/>
        <w:t xml:space="preserve">print(query_metric('covid19', 'Confirmed Cases', 'sum', {'Country': 'Italy'}))</w:t>
      </w:r>
    </w:p>
    <w:p>
      <w:pPr>
        <w:pBdr>
          <w:top w:val="single" w:color="BF9000" w:sz="6"/>
          <w:left w:val="single" w:color="BF9000" w:sz="6"/>
          <w:bottom w:val="single" w:color="BF9000" w:sz="6"/>
          <w:right w:val="single" w:color="BF9000" w:sz="6"/>
        </w:pBdr>
        <w:shd w:fill="FFF4CE" w:val="clear"/>
        <w:spacing w:after="200" w:before="120"/>
      </w:pPr>
      <w:r>
        <w:rPr>
          <w:b/>
          <w:bCs/>
        </w:rPr>
        <w:t xml:space="preserve">Field name caution:</w:t>
      </w:r>
      <w:r>
        <w:t xml:space="preserve">  Field names must match exactly what appears in the extracted CSV header row, including case and spacing. Print df.columns for each table before writing test calls, and keep a short field-name reference list — this avoids the single most common bug in this phase.</w:t>
      </w:r>
    </w:p>
    <w:p>
      <w:pPr>
        <w:pStyle w:val="Heading2"/>
      </w:pPr>
      <w:r>
        <w:t xml:space="preserve">5.4 Output of this phase</w:t>
      </w:r>
    </w:p>
    <w:p>
      <w:pPr>
        <w:pStyle w:val="ListParagraph"/>
        <w:numPr>
          <w:ilvl w:val="0"/>
          <w:numId w:val="2"/>
        </w:numPr>
        <w:spacing w:after="80"/>
      </w:pPr>
      <w:r>
        <w:t xml:space="preserve">A working query_metric() function, tested independently against both data tables.</w:t>
      </w:r>
    </w:p>
    <w:p>
      <w:pPr>
        <w:pStyle w:val="ListParagraph"/>
        <w:numPr>
          <w:ilvl w:val="0"/>
          <w:numId w:val="2"/>
        </w:numPr>
        <w:spacing w:after="80"/>
      </w:pPr>
      <w:r>
        <w:t xml:space="preserve">Confirmed-correct answers to at least 5–10 manually verified numeric questions per workbook (cross-check a few against the live Tableau Public dashboard itself to confirm the extracted data matches what the dashboard displays).</w:t>
      </w:r>
    </w:p>
    <w:p>
      <w:pPr>
        <w:pStyle w:val="Heading3"/>
      </w:pPr>
      <w:r>
        <w:t xml:space="preserve">Check before moving on</w:t>
      </w:r>
    </w:p>
    <w:p>
      <w:pPr>
        <w:pStyle w:val="ListParagraph"/>
        <w:numPr>
          <w:ilvl w:val="0"/>
          <w:numId w:val="2"/>
        </w:numPr>
        <w:spacing w:after="80"/>
      </w:pPr>
      <w:r>
        <w:t xml:space="preserve">Every test query returns a real number, not an error.</w:t>
      </w:r>
    </w:p>
    <w:p>
      <w:pPr>
        <w:pStyle w:val="ListParagraph"/>
        <w:numPr>
          <w:ilvl w:val="0"/>
          <w:numId w:val="2"/>
        </w:numPr>
        <w:spacing w:after="80"/>
      </w:pPr>
      <w:r>
        <w:t xml:space="preserve">At least 2–3 results have been manually cross-checked against the number visibly shown on the actual published Tableau dashboard, to confirm the extraction in Phase 2 was faithful to the source.</w:t>
      </w:r>
    </w:p>
    <w:p>
      <w:r>
        <w:br w:type="page"/>
      </w:r>
    </w:p>
    <w:p>
      <w:pPr>
        <w:pStyle w:val="Heading1"/>
      </w:pPr>
      <w:r>
        <w:t xml:space="preserve">6. Phase 5 — Connect Both Paths to Gemini via Function Calling</w:t>
      </w:r>
    </w:p>
    <w:p>
      <w:pPr>
        <w:pStyle w:val="Heading2"/>
      </w:pPr>
      <w:r>
        <w:t xml:space="preserve">6.1 Objective</w:t>
      </w:r>
    </w:p>
    <w:p>
      <w:pPr>
        <w:spacing w:after="160"/>
      </w:pPr>
      <w:r>
        <w:t xml:space="preserve">Register both Phase 3's search_dashboard_metadata() and Phase 4's query_metric() as tools/functions that Google Gemini can call. Gemini receives the user's question, decides which tool(s) to invoke, receives their results, and writes the final natural-language answer — grounded only in what those tools actually returned.</w:t>
      </w:r>
    </w:p>
    <w:p>
      <w:pPr>
        <w:pStyle w:val="Heading2"/>
      </w:pPr>
      <w:r>
        <w:t xml:space="preserve">6.2 Why Gemini (cost and capability rationale)</w:t>
      </w:r>
    </w:p>
    <w:p>
      <w:pPr>
        <w:spacing w:after="160"/>
      </w:pPr>
      <w:r>
        <w:t xml:space="preserve">Google AI Studio's Gemini API offers a free tier with no credit card and no expiration, with limits generous enough for active development and demoing of a tool-calling pipeline like this one. It has solid native support for function calling, which is the one capability this entire architecture depends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Constraint</w:t>
            </w:r>
          </w:p>
        </w:tc>
        <w:tc>
          <w:tcPr>
            <w:tcW w:type="dxa" w:w="5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Free tier limit (Gemini Flash, verified June 2026)</w:t>
            </w:r>
          </w:p>
        </w:tc>
      </w:tr>
      <w:tr>
        <w:tc>
          <w:tcPr>
            <w:tcW w:type="dxa" w:w="3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Requests per day</w:t>
            </w:r>
          </w:p>
        </w:tc>
        <w:tc>
          <w:tcPr>
            <w:tcW w:type="dxa" w:w="57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1,500</w:t>
            </w:r>
          </w:p>
        </w:tc>
      </w:tr>
      <w:tr>
        <w:tc>
          <w:tcPr>
            <w:tcW w:type="dxa" w:w="36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Tokens per minute</w:t>
            </w:r>
          </w:p>
        </w:tc>
        <w:tc>
          <w:tcPr>
            <w:tcW w:type="dxa" w:w="576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1,000,000</w:t>
            </w:r>
          </w:p>
        </w:tc>
      </w:tr>
      <w:tr>
        <w:tc>
          <w:tcPr>
            <w:tcW w:type="dxa" w:w="3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Cost</w:t>
            </w:r>
          </w:p>
        </w:tc>
        <w:tc>
          <w:tcPr>
            <w:tcW w:type="dxa" w:w="57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$0, no credit card required, no expiration</w:t>
            </w:r>
          </w:p>
        </w:tc>
      </w:tr>
      <w:tr>
        <w:tc>
          <w:tcPr>
            <w:tcW w:type="dxa" w:w="36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Data use caveat</w:t>
            </w:r>
          </w:p>
        </w:tc>
        <w:tc>
          <w:tcPr>
            <w:tcW w:type="dxa" w:w="576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Google's terms permit using free-tier prompts for model training; relevant to disclose if this POC is later discussed for production use with real internal data</w:t>
            </w:r>
          </w:p>
        </w:tc>
      </w:tr>
    </w:tbl>
    <w:p>
      <w:pPr>
        <w:pStyle w:val="Heading2"/>
      </w:pPr>
      <w:r>
        <w:t xml:space="preserve">6.3 Tech stack for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1400"/>
        <w:gridCol w:w="9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Tool</w:t>
            </w:r>
          </w:p>
        </w:tc>
        <w:tc>
          <w:tcPr>
            <w:tcW w:type="dxa" w:w="4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Purpose</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Cost</w:t>
            </w:r>
          </w:p>
        </w:tc>
        <w:tc>
          <w:tcPr>
            <w:tcW w:type="dxa" w:w="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Link</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Google AI Studio account</w:t>
            </w:r>
          </w:p>
        </w:tc>
        <w:tc>
          <w:tcPr>
            <w:tcW w:type="dxa" w:w="4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Issues the free API key used to call Gemini</w:t>
            </w:r>
          </w:p>
        </w:tc>
        <w:tc>
          <w:tcPr>
            <w:tcW w:type="dxa" w:w="1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Free</w:t>
            </w:r>
          </w:p>
        </w:tc>
        <w:tc>
          <w:tcPr>
            <w:tcW w:type="dxa" w:w="9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hyperlink w:history="1" r:id="rIdl2fkbt_0zv1lczn1ad8qq">
              <w:r>
                <w:rPr>
                  <w:rStyle w:val="Hyperlink"/>
                </w:rPr>
                <w:t xml:space="preserve">https://aistudio.google.com/</w:t>
              </w:r>
            </w:hyperlink>
          </w:p>
        </w:tc>
      </w:tr>
      <w:tr>
        <w:tc>
          <w:tcPr>
            <w:tcW w:type="dxa" w:w="28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google-generativeai (Python SDK)</w:t>
            </w:r>
          </w:p>
        </w:tc>
        <w:tc>
          <w:tcPr>
            <w:tcW w:type="dxa" w:w="42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Official Python client for calling Gemini, including function calling</w:t>
            </w:r>
          </w:p>
        </w:tc>
        <w:tc>
          <w:tcPr>
            <w:tcW w:type="dxa" w:w="14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Free</w:t>
            </w:r>
          </w:p>
        </w:tc>
        <w:tc>
          <w:tcPr>
            <w:tcW w:type="dxa" w:w="96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rFonts w:ascii="Consolas" w:cs="Consolas" w:eastAsia="Consolas" w:hAnsi="Consolas"/>
                <w:color w:val="C7254E"/>
                <w:sz w:val="20"/>
                <w:szCs w:val="20"/>
              </w:rPr>
              <w:t xml:space="preserve">pip install google-generativeai</w:t>
            </w:r>
          </w:p>
        </w:tc>
      </w:tr>
    </w:tbl>
    <w:p>
      <w:pPr>
        <w:pStyle w:val="Heading2"/>
      </w:pPr>
      <w:r>
        <w:t xml:space="preserve">6.4 Step-by-step instructions</w:t>
      </w:r>
    </w:p>
    <w:p>
      <w:pPr>
        <w:pStyle w:val="Heading3"/>
      </w:pPr>
      <w:r>
        <w:t xml:space="preserve">Step 6.4.1 — Get a free API key</w:t>
      </w:r>
    </w:p>
    <w:p>
      <w:pPr>
        <w:pStyle w:val="ListParagraph"/>
        <w:numPr>
          <w:ilvl w:val="0"/>
          <w:numId w:val="3"/>
        </w:numPr>
        <w:spacing w:after="80"/>
      </w:pPr>
      <w:r>
        <w:t xml:space="preserve">Go to Google AI Studio (link above) and sign in with any Google account.</w:t>
      </w:r>
    </w:p>
    <w:p>
      <w:pPr>
        <w:pStyle w:val="ListParagraph"/>
        <w:numPr>
          <w:ilvl w:val="0"/>
          <w:numId w:val="3"/>
        </w:numPr>
        <w:spacing w:after="80"/>
      </w:pPr>
      <w:r>
        <w:t xml:space="preserve">Select “Get API key” and create a new key. No billing details are required for the free tier.</w:t>
      </w:r>
    </w:p>
    <w:p>
      <w:pPr>
        <w:pStyle w:val="ListParagraph"/>
        <w:numPr>
          <w:ilvl w:val="0"/>
          <w:numId w:val="3"/>
        </w:numPr>
        <w:spacing w:after="80"/>
      </w:pPr>
      <w:r>
        <w:t xml:space="preserve">Store the key as an environment variable rather than hardcoding it:</w:t>
      </w:r>
    </w:p>
    <w:p>
      <w:pPr>
        <w:pBdr>
          <w:top w:val="single" w:color="BFBFBF" w:sz="4"/>
          <w:left w:val="single" w:color="BFBFBF" w:sz="4"/>
          <w:bottom w:val="single" w:color="BFBFBF" w:sz="4"/>
          <w:right w:val="single" w:color="BFBFBF" w:sz="4"/>
        </w:pBdr>
        <w:shd w:fill="F5F5F5" w:val="clear"/>
        <w:spacing w:after="160" w:before="80"/>
      </w:pPr>
      <w:r>
        <w:rPr>
          <w:rFonts w:ascii="Consolas" w:cs="Consolas" w:eastAsia="Consolas" w:hAnsi="Consolas"/>
          <w:color w:val="2D2D2D"/>
          <w:sz w:val="19"/>
          <w:szCs w:val="19"/>
        </w:rPr>
        <w:t xml:space="preserve">export GOOGLE_API_KEY='your-key-here'   # on Mac/Linux</w:t>
        <w:br/>
        <w:t xml:space="preserve">setx GOOGLE_API_KEY "your-key-here"   # on Windows</w:t>
      </w:r>
    </w:p>
    <w:p>
      <w:pPr>
        <w:pStyle w:val="Heading3"/>
      </w:pPr>
      <w:r>
        <w:t xml:space="preserve">Step 6.4.2 — Declare the two tools to Gemini</w:t>
      </w:r>
    </w:p>
    <w:p>
      <w:pPr>
        <w:pBdr>
          <w:top w:val="single" w:color="BFBFBF" w:sz="4"/>
          <w:left w:val="single" w:color="BFBFBF" w:sz="4"/>
          <w:bottom w:val="single" w:color="BFBFBF" w:sz="4"/>
          <w:right w:val="single" w:color="BFBFBF" w:sz="4"/>
        </w:pBdr>
        <w:shd w:fill="F5F5F5" w:val="clear"/>
        <w:spacing w:after="160" w:before="80"/>
      </w:pPr>
      <w:r>
        <w:rPr>
          <w:rFonts w:ascii="Consolas" w:cs="Consolas" w:eastAsia="Consolas" w:hAnsi="Consolas"/>
          <w:color w:val="2D2D2D"/>
          <w:sz w:val="19"/>
          <w:szCs w:val="19"/>
        </w:rPr>
        <w:t xml:space="preserve">import google.generativeai as genai</w:t>
        <w:br/>
        <w:t xml:space="preserve">import os</w:t>
        <w:br/>
        <w:t xml:space="preserve"/>
        <w:br/>
        <w:t xml:space="preserve">genai.configure(api_key=os.environ['GOOGLE_API_KEY'])</w:t>
        <w:br/>
        <w:t xml:space="preserve"/>
        <w:br/>
        <w:t xml:space="preserve">tools = [</w:t>
        <w:br/>
        <w:t xml:space="preserve">    {</w:t>
        <w:br/>
        <w:t xml:space="preserve">        'function_declarations': [</w:t>
        <w:br/>
        <w:t xml:space="preserve">            {</w:t>
        <w:br/>
        <w:t xml:space="preserve">                'name': 'search_dashboard_metadata',</w:t>
        <w:br/>
        <w:t xml:space="preserve">                'description': 'Semantic search over field and worksheet descriptions '</w:t>
        <w:br/>
        <w:t xml:space="preserve">                               'across both Tableau workbooks. Use for conceptual or '</w:t>
        <w:br/>
        <w:t xml:space="preserve">                               'descriptive questions about what data exists or what a '</w:t>
        <w:br/>
        <w:t xml:space="preserve">                               'field/dashboard means.',</w:t>
        <w:br/>
        <w:t xml:space="preserve">                'parameters': {</w:t>
        <w:br/>
        <w:t xml:space="preserve">                    'type': 'object',</w:t>
        <w:br/>
        <w:t xml:space="preserve">                    'properties': {</w:t>
        <w:br/>
        <w:t xml:space="preserve">                        'question': {'type': 'string'},</w:t>
        <w:br/>
        <w:t xml:space="preserve">                    },</w:t>
        <w:br/>
        <w:t xml:space="preserve">                    'required': ['question']</w:t>
        <w:br/>
        <w:t xml:space="preserve">                }</w:t>
        <w:br/>
        <w:t xml:space="preserve">            },</w:t>
        <w:br/>
        <w:t xml:space="preserve">            {</w:t>
        <w:br/>
        <w:t xml:space="preserve">                'name': 'query_metric',</w:t>
        <w:br/>
        <w:t xml:space="preserve">                'description': 'Run a precise aggregation query against the real data '</w:t>
        <w:br/>
        <w:t xml:space="preserve">                               'in a named workbook. Use whenever the question asks for '</w:t>
        <w:br/>
        <w:t xml:space="preserve">                               'a specific number, total, average, or count.',</w:t>
        <w:br/>
        <w:t xml:space="preserve">                'parameters': {</w:t>
        <w:br/>
        <w:t xml:space="preserve">                    'type': 'object',</w:t>
        <w:br/>
        <w:t xml:space="preserve">                    'properties': {</w:t>
        <w:br/>
        <w:t xml:space="preserve">                        'workbook': {'type': 'string', 'enum': ['superstore', 'covid19']},</w:t>
        <w:br/>
        <w:t xml:space="preserve">                        'field': {'type': 'string'},</w:t>
        <w:br/>
        <w:t xml:space="preserve">                        'aggregation': {'type': 'string', 'enum': ['sum','mean','count','max','min']},</w:t>
        <w:br/>
        <w:t xml:space="preserve">                        'filters': {'type': 'object'},</w:t>
        <w:br/>
        <w:t xml:space="preserve">                    },</w:t>
        <w:br/>
        <w:t xml:space="preserve">                    'required': ['workbook', 'field', 'aggregation']</w:t>
        <w:br/>
        <w:t xml:space="preserve">                }</w:t>
        <w:br/>
        <w:t xml:space="preserve">            }</w:t>
        <w:br/>
        <w:t xml:space="preserve">        ]</w:t>
        <w:br/>
        <w:t xml:space="preserve">    }</w:t>
        <w:br/>
        <w:t xml:space="preserve">]</w:t>
      </w:r>
    </w:p>
    <w:p>
      <w:pPr>
        <w:pStyle w:val="Heading3"/>
      </w:pPr>
      <w:r>
        <w:t xml:space="preserve">Step 6.4.3 — Write the orchestration loop</w:t>
      </w:r>
    </w:p>
    <w:p>
      <w:pPr>
        <w:pBdr>
          <w:top w:val="single" w:color="BFBFBF" w:sz="4"/>
          <w:left w:val="single" w:color="BFBFBF" w:sz="4"/>
          <w:bottom w:val="single" w:color="BFBFBF" w:sz="4"/>
          <w:right w:val="single" w:color="BFBFBF" w:sz="4"/>
        </w:pBdr>
        <w:shd w:fill="F5F5F5" w:val="clear"/>
        <w:spacing w:after="160" w:before="80"/>
      </w:pPr>
      <w:r>
        <w:rPr>
          <w:rFonts w:ascii="Consolas" w:cs="Consolas" w:eastAsia="Consolas" w:hAnsi="Consolas"/>
          <w:color w:val="2D2D2D"/>
          <w:sz w:val="19"/>
          <w:szCs w:val="19"/>
        </w:rPr>
        <w:t xml:space="preserve">model = genai.GenerativeModel('gemini-2.5-flash', tools=tools)</w:t>
        <w:br/>
        <w:t xml:space="preserve"/>
        <w:br/>
        <w:t xml:space="preserve">AVAILABLE_FUNCTIONS = {</w:t>
        <w:br/>
        <w:t xml:space="preserve">    'search_dashboard_metadata': search_dashboard_metadata,</w:t>
        <w:br/>
        <w:t xml:space="preserve">    'query_metric': query_metric,</w:t>
        <w:br/>
        <w:t xml:space="preserve">}</w:t>
        <w:br/>
        <w:t xml:space="preserve"/>
        <w:br/>
        <w:t xml:space="preserve">def ask(question: str):</w:t>
        <w:br/>
        <w:t xml:space="preserve">    chat = model.start_chat()</w:t>
        <w:br/>
        <w:t xml:space="preserve">    response = chat.send_message(question)</w:t>
        <w:br/>
        <w:t xml:space="preserve"/>
        <w:br/>
        <w:t xml:space="preserve">    while response.candidates[0].content.parts[0].function_call:</w:t>
        <w:br/>
        <w:t xml:space="preserve">        call = response.candidates[0].content.parts[0].function_call</w:t>
        <w:br/>
        <w:t xml:space="preserve">        fn = AVAILABLE_FUNCTIONS[call.name]</w:t>
        <w:br/>
        <w:t xml:space="preserve">        result = fn(**dict(call.args))</w:t>
        <w:br/>
        <w:t xml:space="preserve">        response = chat.send_message(</w:t>
        <w:br/>
        <w:t xml:space="preserve">            genai.protos.Content(parts=[genai.protos.Part(</w:t>
        <w:br/>
        <w:t xml:space="preserve">                function_response=genai.protos.FunctionResponse(</w:t>
        <w:br/>
        <w:t xml:space="preserve">                    name=call.name, response={'result': result}</w:t>
        <w:br/>
        <w:t xml:space="preserve">                )</w:t>
        <w:br/>
        <w:t xml:space="preserve">            )])</w:t>
        <w:br/>
        <w:t xml:space="preserve">        )</w:t>
        <w:br/>
        <w:t xml:space="preserve">    return response.text</w:t>
      </w:r>
    </w:p>
    <w:p>
      <w:pPr>
        <w:pStyle w:val="Heading3"/>
      </w:pPr>
      <w:r>
        <w:t xml:space="preserve">Step 6.4.4 — Test the full pipeline</w:t>
      </w:r>
    </w:p>
    <w:p>
      <w:pPr>
        <w:pBdr>
          <w:top w:val="single" w:color="BFBFBF" w:sz="4"/>
          <w:left w:val="single" w:color="BFBFBF" w:sz="4"/>
          <w:bottom w:val="single" w:color="BFBFBF" w:sz="4"/>
          <w:right w:val="single" w:color="BFBFBF" w:sz="4"/>
        </w:pBdr>
        <w:shd w:fill="F5F5F5" w:val="clear"/>
        <w:spacing w:after="160" w:before="80"/>
      </w:pPr>
      <w:r>
        <w:rPr>
          <w:rFonts w:ascii="Consolas" w:cs="Consolas" w:eastAsia="Consolas" w:hAnsi="Consolas"/>
          <w:color w:val="2D2D2D"/>
          <w:sz w:val="19"/>
          <w:szCs w:val="19"/>
        </w:rPr>
        <w:t xml:space="preserve">print(ask('What was total profit in the Superstore data for the West region?'))</w:t>
        <w:br/>
        <w:t xml:space="preserve">print(ask('What does the Superstore workbook track?'))</w:t>
        <w:br/>
        <w:t xml:space="preserve">print(ask('How many confirmed COVID-19 cases were there in Italy?'))</w:t>
        <w:br/>
        <w:t xml:space="preserve">print(ask('Which of the two workbooks would tell me about regional sales trends?'))</w:t>
      </w:r>
    </w:p>
    <w:p>
      <w:pPr>
        <w:pStyle w:val="Heading2"/>
      </w:pPr>
      <w:r>
        <w:t xml:space="preserve">6.5 Output of this phase</w:t>
      </w:r>
    </w:p>
    <w:p>
      <w:pPr>
        <w:pStyle w:val="ListParagraph"/>
        <w:numPr>
          <w:ilvl w:val="0"/>
          <w:numId w:val="2"/>
        </w:numPr>
        <w:spacing w:after="80"/>
      </w:pPr>
      <w:r>
        <w:t xml:space="preserve">A working ask() function that takes any plain-English question and returns an answer grounded in real tool results, with Gemini autonomously deciding which tool(s) to call.</w:t>
      </w:r>
    </w:p>
    <w:p>
      <w:pPr>
        <w:pStyle w:val="Heading3"/>
      </w:pPr>
      <w:r>
        <w:t xml:space="preserve">Check before moving on</w:t>
      </w:r>
    </w:p>
    <w:p>
      <w:pPr>
        <w:pStyle w:val="ListParagraph"/>
        <w:numPr>
          <w:ilvl w:val="0"/>
          <w:numId w:val="2"/>
        </w:numPr>
        <w:spacing w:after="80"/>
      </w:pPr>
      <w:r>
        <w:t xml:space="preserve">Run all four test questions above. Confirm numeric questions return the same value as the manually-verified Phase 4 test queries — not a paraphrased or rounded approximation.</w:t>
      </w:r>
    </w:p>
    <w:p>
      <w:pPr>
        <w:pStyle w:val="ListParagraph"/>
        <w:numPr>
          <w:ilvl w:val="0"/>
          <w:numId w:val="2"/>
        </w:numPr>
        <w:spacing w:after="80"/>
      </w:pPr>
      <w:r>
        <w:t xml:space="preserve">Confirm conceptual questions correctly identify which workbook they relate to.</w:t>
      </w:r>
    </w:p>
    <w:p>
      <w:pPr>
        <w:pStyle w:val="ListParagraph"/>
        <w:numPr>
          <w:ilvl w:val="0"/>
          <w:numId w:val="2"/>
        </w:numPr>
        <w:spacing w:after="80"/>
      </w:pPr>
      <w:r>
        <w:t xml:space="preserve">Try one deliberately ambiguous or cross-workbook question and observe whether Gemini calls both tools or asks a reasonable follow-up — either is an acceptable result at POC stage.</w:t>
      </w:r>
    </w:p>
    <w:p>
      <w:r>
        <w:br w:type="page"/>
      </w:r>
    </w:p>
    <w:p>
      <w:pPr>
        <w:pStyle w:val="Heading1"/>
      </w:pPr>
      <w:r>
        <w:t xml:space="preserve">7. Phase 6 — Build the Chat Interface</w:t>
      </w:r>
    </w:p>
    <w:p>
      <w:pPr>
        <w:pStyle w:val="Heading2"/>
      </w:pPr>
      <w:r>
        <w:t xml:space="preserve">7.1 Objective</w:t>
      </w:r>
    </w:p>
    <w:p>
      <w:pPr>
        <w:spacing w:after="160"/>
      </w:pPr>
      <w:r>
        <w:t xml:space="preserve">Wrap Phase 5's ask() function in a simple, presentable chat window so the POC can be opened in a browser and demoed without anyone needing to run Python scripts directly.</w:t>
      </w:r>
    </w:p>
    <w:p>
      <w:pPr>
        <w:pStyle w:val="Heading2"/>
      </w:pPr>
      <w:r>
        <w:t xml:space="preserve">7.2 Tech stack for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1600"/>
        <w:gridCol w:w="9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Tool</w:t>
            </w:r>
          </w:p>
        </w:tc>
        <w:tc>
          <w:tcPr>
            <w:tcW w:type="dxa" w:w="4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Purpose</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Cost</w:t>
            </w:r>
          </w:p>
        </w:tc>
        <w:tc>
          <w:tcPr>
            <w:tcW w:type="dxa" w:w="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Install command</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Streamlit</w:t>
            </w:r>
          </w:p>
        </w:tc>
        <w:tc>
          <w:tcPr>
            <w:tcW w:type="dxa" w:w="4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Pure-Python web app framework; fastest path to a working chat UI with no frontend code</w:t>
            </w:r>
          </w:p>
        </w:tc>
        <w:tc>
          <w:tcPr>
            <w:tcW w:type="dxa" w:w="1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Free, open source</w:t>
            </w:r>
          </w:p>
        </w:tc>
        <w:tc>
          <w:tcPr>
            <w:tcW w:type="dxa" w:w="9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Consolas" w:cs="Consolas" w:eastAsia="Consolas" w:hAnsi="Consolas"/>
                <w:color w:val="C7254E"/>
                <w:sz w:val="20"/>
                <w:szCs w:val="20"/>
              </w:rPr>
              <w:t xml:space="preserve">pip install streamlit</w:t>
            </w:r>
          </w:p>
        </w:tc>
      </w:tr>
    </w:tbl>
    <w:p>
      <w:pPr>
        <w:pStyle w:val="Heading2"/>
      </w:pPr>
      <w:r>
        <w:t xml:space="preserve">7.3 Step-by-step instructions</w:t>
      </w:r>
    </w:p>
    <w:p>
      <w:pPr>
        <w:pStyle w:val="Heading3"/>
      </w:pPr>
      <w:r>
        <w:t xml:space="preserve">Step 7.3.1 — Build the chat app</w:t>
      </w:r>
    </w:p>
    <w:p>
      <w:pPr>
        <w:pBdr>
          <w:top w:val="single" w:color="BFBFBF" w:sz="4"/>
          <w:left w:val="single" w:color="BFBFBF" w:sz="4"/>
          <w:bottom w:val="single" w:color="BFBFBF" w:sz="4"/>
          <w:right w:val="single" w:color="BFBFBF" w:sz="4"/>
        </w:pBdr>
        <w:shd w:fill="F5F5F5" w:val="clear"/>
        <w:spacing w:after="160" w:before="80"/>
      </w:pPr>
      <w:r>
        <w:rPr>
          <w:rFonts w:ascii="Consolas" w:cs="Consolas" w:eastAsia="Consolas" w:hAnsi="Consolas"/>
          <w:color w:val="2D2D2D"/>
          <w:sz w:val="19"/>
          <w:szCs w:val="19"/>
        </w:rPr>
        <w:t xml:space="preserve"># app.py</w:t>
        <w:br/>
        <w:t xml:space="preserve">import streamlit as st</w:t>
        <w:br/>
        <w:t xml:space="preserve">from pipeline import ask   # the ask() function built in Phase 5</w:t>
        <w:br/>
        <w:t xml:space="preserve"/>
        <w:br/>
        <w:t xml:space="preserve">st.set_page_config(page_title='Tableau RAG POC', page_icon='\U0001F4CA')</w:t>
        <w:br/>
        <w:t xml:space="preserve">st.title('Cross-Workbook Tableau Q&amp;A (POC)')</w:t>
        <w:br/>
        <w:t xml:space="preserve">st.caption('Ask about the Superstore (retail) or COVID-19 (public health) workbooks.')</w:t>
        <w:br/>
        <w:t xml:space="preserve"/>
        <w:br/>
        <w:t xml:space="preserve">if 'messages' not in st.session_state:</w:t>
        <w:br/>
        <w:t xml:space="preserve">    st.session_state.messages = []</w:t>
        <w:br/>
        <w:t xml:space="preserve"/>
        <w:br/>
        <w:t xml:space="preserve">for msg in st.session_state.messages:</w:t>
        <w:br/>
        <w:t xml:space="preserve">    with st.chat_message(msg['role']):</w:t>
        <w:br/>
        <w:t xml:space="preserve">        st.markdown(msg['content'])</w:t>
        <w:br/>
        <w:t xml:space="preserve"/>
        <w:br/>
        <w:t xml:space="preserve">if question := st.chat_input('Ask a question about either workbook...'):</w:t>
        <w:br/>
        <w:t xml:space="preserve">    st.session_state.messages.append({'role': 'user', 'content': question})</w:t>
        <w:br/>
        <w:t xml:space="preserve">    with st.chat_message('user'):</w:t>
        <w:br/>
        <w:t xml:space="preserve">        st.markdown(question)</w:t>
        <w:br/>
        <w:t xml:space="preserve"/>
        <w:br/>
        <w:t xml:space="preserve">    with st.chat_message('assistant'):</w:t>
        <w:br/>
        <w:t xml:space="preserve">        with st.spinner('Thinking...'):</w:t>
        <w:br/>
        <w:t xml:space="preserve">            answer = ask(question)</w:t>
        <w:br/>
        <w:t xml:space="preserve">            st.markdown(answer)</w:t>
        <w:br/>
        <w:t xml:space="preserve">    st.session_state.messages.append({'role': 'assistant', 'content': answer})</w:t>
      </w:r>
    </w:p>
    <w:p>
      <w:pPr>
        <w:pStyle w:val="Heading3"/>
      </w:pPr>
      <w:r>
        <w:t xml:space="preserve">Step 7.3.2 — Run it</w:t>
      </w:r>
    </w:p>
    <w:p>
      <w:pPr>
        <w:pBdr>
          <w:top w:val="single" w:color="BFBFBF" w:sz="4"/>
          <w:left w:val="single" w:color="BFBFBF" w:sz="4"/>
          <w:bottom w:val="single" w:color="BFBFBF" w:sz="4"/>
          <w:right w:val="single" w:color="BFBFBF" w:sz="4"/>
        </w:pBdr>
        <w:shd w:fill="F5F5F5" w:val="clear"/>
        <w:spacing w:after="160" w:before="80"/>
      </w:pPr>
      <w:r>
        <w:rPr>
          <w:rFonts w:ascii="Consolas" w:cs="Consolas" w:eastAsia="Consolas" w:hAnsi="Consolas"/>
          <w:color w:val="2D2D2D"/>
          <w:sz w:val="19"/>
          <w:szCs w:val="19"/>
        </w:rPr>
        <w:t xml:space="preserve">streamlit run app.py</w:t>
      </w:r>
    </w:p>
    <w:p>
      <w:pPr>
        <w:spacing w:after="160"/>
      </w:pPr>
      <w:r>
        <w:t xml:space="preserve">This opens the chat interface in a browser at http://localhost:8501 by default.</w:t>
      </w:r>
    </w:p>
    <w:p>
      <w:pPr>
        <w:pStyle w:val="Heading2"/>
      </w:pPr>
      <w:r>
        <w:t xml:space="preserve">7.4 Output of this phase</w:t>
      </w:r>
    </w:p>
    <w:p>
      <w:pPr>
        <w:pStyle w:val="ListParagraph"/>
        <w:numPr>
          <w:ilvl w:val="0"/>
          <w:numId w:val="2"/>
        </w:numPr>
        <w:spacing w:after="80"/>
      </w:pPr>
      <w:r>
        <w:t xml:space="preserve">A browser-based chat window, runnable locally with a single command, that lets anyone type questions and see grounded answers without touching code.</w:t>
      </w:r>
    </w:p>
    <w:p>
      <w:pPr>
        <w:pStyle w:val="Heading3"/>
      </w:pPr>
      <w:r>
        <w:t xml:space="preserve">Check before moving on</w:t>
      </w:r>
    </w:p>
    <w:p>
      <w:pPr>
        <w:pStyle w:val="ListParagraph"/>
        <w:numPr>
          <w:ilvl w:val="0"/>
          <w:numId w:val="2"/>
        </w:numPr>
        <w:spacing w:after="80"/>
      </w:pPr>
      <w:r>
        <w:t xml:space="preserve">Open the app and run the same four test questions from Phase 5 through the UI. Confirm responses match what the script produced directly.</w:t>
      </w:r>
    </w:p>
    <w:p>
      <w:pPr>
        <w:pStyle w:val="ListParagraph"/>
        <w:numPr>
          <w:ilvl w:val="0"/>
          <w:numId w:val="2"/>
        </w:numPr>
        <w:spacing w:after="80"/>
      </w:pPr>
      <w:r>
        <w:t xml:space="preserve">Confirm the spinner/loading state displays correctly and the chat history persists across multiple questions in the same session.</w:t>
      </w:r>
    </w:p>
    <w:p>
      <w:r>
        <w:br w:type="page"/>
      </w:r>
    </w:p>
    <w:p>
      <w:pPr>
        <w:pStyle w:val="Heading1"/>
      </w:pPr>
      <w:r>
        <w:t xml:space="preserve">8. Phase 7 — Evaluation Before Demoing</w:t>
      </w:r>
    </w:p>
    <w:p>
      <w:pPr>
        <w:pStyle w:val="Heading2"/>
      </w:pPr>
      <w:r>
        <w:t xml:space="preserve">8.1 Objective</w:t>
      </w:r>
    </w:p>
    <w:p>
      <w:pPr>
        <w:spacing w:after="160"/>
      </w:pPr>
      <w:r>
        <w:t xml:space="preserve">Before presenting this POC to anyone, validate it against a fixed set of representative questions so that any failure is caught privately rather than live.</w:t>
      </w:r>
    </w:p>
    <w:p>
      <w:pPr>
        <w:pStyle w:val="Heading2"/>
      </w:pPr>
      <w:r>
        <w:t xml:space="preserve">8.2 Suggested evaluation question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2400"/>
        <w:gridCol w:w="2260"/>
      </w:tblGrid>
      <w:tr>
        <w:trPr>
          <w:tblHeader/>
        </w:trPr>
        <w:tc>
          <w:tcPr>
            <w:tcW w:type="dxa" w:w="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Question</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Type</w:t>
            </w:r>
          </w:p>
        </w:tc>
        <w:tc>
          <w:tcPr>
            <w:tcW w:type="dxa" w:w="22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Expected workbook</w:t>
            </w:r>
          </w:p>
        </w:tc>
      </w:tr>
      <w:tr>
        <w:tc>
          <w:tcPr>
            <w:tcW w:type="dxa" w:w="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1</w:t>
            </w:r>
          </w:p>
        </w:tc>
        <w:tc>
          <w:tcPr>
            <w:tcW w:type="dxa" w:w="4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What was total sales in the West region?</w:t>
            </w:r>
          </w:p>
        </w:tc>
        <w:tc>
          <w:tcPr>
            <w:tcW w:type="dxa" w:w="2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Numeric</w:t>
            </w:r>
          </w:p>
        </w:tc>
        <w:tc>
          <w:tcPr>
            <w:tcW w:type="dxa" w:w="22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Superstore</w:t>
            </w:r>
          </w:p>
        </w:tc>
      </w:tr>
      <w:tr>
        <w:tc>
          <w:tcPr>
            <w:tcW w:type="dxa" w:w="5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2</w:t>
            </w:r>
          </w:p>
        </w:tc>
        <w:tc>
          <w:tcPr>
            <w:tcW w:type="dxa" w:w="42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What is the average discount given across all orders?</w:t>
            </w:r>
          </w:p>
        </w:tc>
        <w:tc>
          <w:tcPr>
            <w:tcW w:type="dxa" w:w="24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Numeric</w:t>
            </w:r>
          </w:p>
        </w:tc>
        <w:tc>
          <w:tcPr>
            <w:tcW w:type="dxa" w:w="226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Superstore</w:t>
            </w:r>
          </w:p>
        </w:tc>
      </w:tr>
      <w:tr>
        <w:tc>
          <w:tcPr>
            <w:tcW w:type="dxa" w:w="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3</w:t>
            </w:r>
          </w:p>
        </w:tc>
        <w:tc>
          <w:tcPr>
            <w:tcW w:type="dxa" w:w="4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What does the Profit Ratio field represent?</w:t>
            </w:r>
          </w:p>
        </w:tc>
        <w:tc>
          <w:tcPr>
            <w:tcW w:type="dxa" w:w="2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Conceptual</w:t>
            </w:r>
          </w:p>
        </w:tc>
        <w:tc>
          <w:tcPr>
            <w:tcW w:type="dxa" w:w="22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Superstore</w:t>
            </w:r>
          </w:p>
        </w:tc>
      </w:tr>
      <w:tr>
        <w:tc>
          <w:tcPr>
            <w:tcW w:type="dxa" w:w="5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4</w:t>
            </w:r>
          </w:p>
        </w:tc>
        <w:tc>
          <w:tcPr>
            <w:tcW w:type="dxa" w:w="42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How many confirmed COVID-19 cases were reported in Italy?</w:t>
            </w:r>
          </w:p>
        </w:tc>
        <w:tc>
          <w:tcPr>
            <w:tcW w:type="dxa" w:w="24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Numeric</w:t>
            </w:r>
          </w:p>
        </w:tc>
        <w:tc>
          <w:tcPr>
            <w:tcW w:type="dxa" w:w="226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COVID-19 Tracker</w:t>
            </w:r>
          </w:p>
        </w:tc>
      </w:tr>
      <w:tr>
        <w:tc>
          <w:tcPr>
            <w:tcW w:type="dxa" w:w="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5</w:t>
            </w:r>
          </w:p>
        </w:tc>
        <w:tc>
          <w:tcPr>
            <w:tcW w:type="dxa" w:w="4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What data sources feed the COVID-19 workbook?</w:t>
            </w:r>
          </w:p>
        </w:tc>
        <w:tc>
          <w:tcPr>
            <w:tcW w:type="dxa" w:w="2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Conceptual</w:t>
            </w:r>
          </w:p>
        </w:tc>
        <w:tc>
          <w:tcPr>
            <w:tcW w:type="dxa" w:w="22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COVID-19 Tracker</w:t>
            </w:r>
          </w:p>
        </w:tc>
      </w:tr>
      <w:tr>
        <w:tc>
          <w:tcPr>
            <w:tcW w:type="dxa" w:w="5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6</w:t>
            </w:r>
          </w:p>
        </w:tc>
        <w:tc>
          <w:tcPr>
            <w:tcW w:type="dxa" w:w="42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Which workbook would I use to look at regional performance trends?</w:t>
            </w:r>
          </w:p>
        </w:tc>
        <w:tc>
          <w:tcPr>
            <w:tcW w:type="dxa" w:w="24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Conceptual, cross-workbook</w:t>
            </w:r>
          </w:p>
        </w:tc>
        <w:tc>
          <w:tcPr>
            <w:tcW w:type="dxa" w:w="226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Superstore</w:t>
            </w:r>
          </w:p>
        </w:tc>
      </w:tr>
      <w:tr>
        <w:tc>
          <w:tcPr>
            <w:tcW w:type="dxa" w:w="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7</w:t>
            </w:r>
          </w:p>
        </w:tc>
        <w:tc>
          <w:tcPr>
            <w:tcW w:type="dxa" w:w="4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Compare how granular the two workbooks' data is.</w:t>
            </w:r>
          </w:p>
        </w:tc>
        <w:tc>
          <w:tcPr>
            <w:tcW w:type="dxa" w:w="2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Conceptual, cross-workbook</w:t>
            </w:r>
          </w:p>
        </w:tc>
        <w:tc>
          <w:tcPr>
            <w:tcW w:type="dxa" w:w="22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Both</w:t>
            </w:r>
          </w:p>
        </w:tc>
      </w:tr>
      <w:tr>
        <w:tc>
          <w:tcPr>
            <w:tcW w:type="dxa" w:w="5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8</w:t>
            </w:r>
          </w:p>
        </w:tc>
        <w:tc>
          <w:tcPr>
            <w:tcW w:type="dxa" w:w="42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What was the maximum single-order profit recorded?</w:t>
            </w:r>
          </w:p>
        </w:tc>
        <w:tc>
          <w:tcPr>
            <w:tcW w:type="dxa" w:w="24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Numeric</w:t>
            </w:r>
          </w:p>
        </w:tc>
        <w:tc>
          <w:tcPr>
            <w:tcW w:type="dxa" w:w="226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Superstore</w:t>
            </w:r>
          </w:p>
        </w:tc>
      </w:tr>
    </w:tbl>
    <w:p>
      <w:pPr>
        <w:pStyle w:val="Heading2"/>
      </w:pPr>
      <w:r>
        <w:t xml:space="preserve">8.3 What to check for each answer</w:t>
      </w:r>
    </w:p>
    <w:p>
      <w:pPr>
        <w:pStyle w:val="ListParagraph"/>
        <w:numPr>
          <w:ilvl w:val="0"/>
          <w:numId w:val="2"/>
        </w:numPr>
        <w:spacing w:after="80"/>
      </w:pPr>
      <w:r>
        <w:t xml:space="preserve">Correctness: for numeric questions, does the value match what was manually verified in Phase 4 / Phase 5?</w:t>
      </w:r>
    </w:p>
    <w:p>
      <w:pPr>
        <w:pStyle w:val="ListParagraph"/>
        <w:numPr>
          <w:ilvl w:val="0"/>
          <w:numId w:val="2"/>
        </w:numPr>
        <w:spacing w:after="80"/>
      </w:pPr>
      <w:r>
        <w:t xml:space="preserve">Attribution: does the answer correctly state (or imply, if asked conversationally) which workbook it drew from?</w:t>
      </w:r>
    </w:p>
    <w:p>
      <w:pPr>
        <w:pStyle w:val="ListParagraph"/>
        <w:numPr>
          <w:ilvl w:val="0"/>
          <w:numId w:val="2"/>
        </w:numPr>
        <w:spacing w:after="80"/>
      </w:pPr>
      <w:r>
        <w:t xml:space="preserve">No hallucination: for any question the system cannot answer from the available data, does it say so, rather than inventing a plausible-sounding number?</w:t>
      </w:r>
    </w:p>
    <w:p>
      <w:pPr>
        <w:pStyle w:val="Heading2"/>
      </w:pPr>
      <w:r>
        <w:t xml:space="preserve">8.4 Output of this phase</w:t>
      </w:r>
    </w:p>
    <w:p>
      <w:pPr>
        <w:pStyle w:val="ListParagraph"/>
        <w:numPr>
          <w:ilvl w:val="0"/>
          <w:numId w:val="2"/>
        </w:numPr>
        <w:spacing w:after="80"/>
      </w:pPr>
      <w:r>
        <w:t xml:space="preserve">A short written record (even a simple table) of each test question, the answer received, and pass/fail — useful both for your own confidence and as evidence to show reviewers that the system was validated, not just demoed once and hoped for.</w:t>
      </w:r>
    </w:p>
    <w:p>
      <w:r>
        <w:br w:type="page"/>
      </w:r>
    </w:p>
    <w:p>
      <w:pPr>
        <w:pStyle w:val="Heading1"/>
      </w:pPr>
      <w:r>
        <w:t xml:space="preserve">9. Additional Considerations Not Covered Above</w:t>
      </w:r>
    </w:p>
    <w:p>
      <w:pPr>
        <w:pStyle w:val="Heading2"/>
      </w:pPr>
      <w:r>
        <w:t xml:space="preserve">9.1 Project folder structure</w:t>
      </w:r>
    </w:p>
    <w:p>
      <w:pPr>
        <w:spacing w:after="160"/>
      </w:pPr>
      <w:r>
        <w:t xml:space="preserve">A consistent folder layout avoids path confusion across phases. Suggested structure:</w:t>
      </w:r>
    </w:p>
    <w:p>
      <w:pPr>
        <w:pBdr>
          <w:top w:val="single" w:color="BFBFBF" w:sz="4"/>
          <w:left w:val="single" w:color="BFBFBF" w:sz="4"/>
          <w:bottom w:val="single" w:color="BFBFBF" w:sz="4"/>
          <w:right w:val="single" w:color="BFBFBF" w:sz="4"/>
        </w:pBdr>
        <w:shd w:fill="F5F5F5" w:val="clear"/>
        <w:spacing w:after="160" w:before="80"/>
      </w:pPr>
      <w:r>
        <w:rPr>
          <w:rFonts w:ascii="Consolas" w:cs="Consolas" w:eastAsia="Consolas" w:hAnsi="Consolas"/>
          <w:color w:val="2D2D2D"/>
          <w:sz w:val="19"/>
          <w:szCs w:val="19"/>
        </w:rPr>
        <w:t xml:space="preserve">tableau-rag-poc/</w:t>
        <w:br/>
        <w:t xml:space="preserve">├── raw_workbooks/        # Phase 1 — downloaded .twbx files</w:t>
        <w:br/>
        <w:t xml:space="preserve">├── extracted/             # Phase 2 — unzipped .twb + .hyper contents</w:t>
        <w:br/>
        <w:t xml:space="preserve">├── data/</w:t>
        <w:br/>
        <w:t xml:space="preserve">│   ├── superstore.csv</w:t>
        <w:br/>
        <w:t xml:space="preserve">│   ├── covid19.csv</w:t>
        <w:br/>
        <w:t xml:space="preserve">│   ├── workbooks.db</w:t>
        <w:br/>
        <w:t xml:space="preserve">│   ├── metadata.json</w:t>
        <w:br/>
        <w:t xml:space="preserve">│   └── vector_store/      # Phase 3 — Chroma's persisted files</w:t>
        <w:br/>
        <w:t xml:space="preserve">├── pipeline.py            # Phase 4 + 5 — query_metric, search_dashboard_metadata, ask()</w:t>
        <w:br/>
        <w:t xml:space="preserve">├── app.py                 # Phase 6 — Streamlit chat UI</w:t>
        <w:br/>
        <w:t xml:space="preserve">├── eval_questions.csv     # Phase 7 — test question set and results</w:t>
        <w:br/>
        <w:t xml:space="preserve">└── requirements.txt</w:t>
      </w:r>
    </w:p>
    <w:p>
      <w:pPr>
        <w:pStyle w:val="Heading2"/>
      </w:pPr>
      <w:r>
        <w:t xml:space="preserve">9.2 requirements.txt (full dependency list)</w:t>
      </w:r>
    </w:p>
    <w:p>
      <w:pPr>
        <w:pBdr>
          <w:top w:val="single" w:color="BFBFBF" w:sz="4"/>
          <w:left w:val="single" w:color="BFBFBF" w:sz="4"/>
          <w:bottom w:val="single" w:color="BFBFBF" w:sz="4"/>
          <w:right w:val="single" w:color="BFBFBF" w:sz="4"/>
        </w:pBdr>
        <w:shd w:fill="F5F5F5" w:val="clear"/>
        <w:spacing w:after="160" w:before="80"/>
      </w:pPr>
      <w:r>
        <w:rPr>
          <w:rFonts w:ascii="Consolas" w:cs="Consolas" w:eastAsia="Consolas" w:hAnsi="Consolas"/>
          <w:color w:val="2D2D2D"/>
          <w:sz w:val="19"/>
          <w:szCs w:val="19"/>
        </w:rPr>
        <w:t xml:space="preserve">pandas</w:t>
        <w:br/>
        <w:t xml:space="preserve">tableauhyperapi</w:t>
        <w:br/>
        <w:t xml:space="preserve">sentence-transformers</w:t>
        <w:br/>
        <w:t xml:space="preserve">chromadb</w:t>
        <w:br/>
        <w:t xml:space="preserve">google-generativeai</w:t>
        <w:br/>
        <w:t xml:space="preserve">streamlit</w:t>
      </w:r>
    </w:p>
    <w:p>
      <w:pPr>
        <w:pStyle w:val="Heading2"/>
      </w:pPr>
      <w:r>
        <w:t xml:space="preserve">9.3 Known limitations of this POC, and how to caveat them honestly</w:t>
      </w:r>
    </w:p>
    <w:p>
      <w:pPr>
        <w:pStyle w:val="ListParagraph"/>
        <w:numPr>
          <w:ilvl w:val="0"/>
          <w:numId w:val="2"/>
        </w:numPr>
        <w:spacing w:after="80"/>
      </w:pPr>
      <w:r>
        <w:t xml:space="preserve">Two workbooks are public dummy data, not real strategy dashboards — frame the POC as validating the architecture and pipeline, not as validating performance against production-scale or production-sensitive data.</w:t>
      </w:r>
    </w:p>
    <w:p>
      <w:pPr>
        <w:pStyle w:val="ListParagraph"/>
        <w:numPr>
          <w:ilvl w:val="0"/>
          <w:numId w:val="2"/>
        </w:numPr>
        <w:spacing w:after="80"/>
      </w:pPr>
      <w:r>
        <w:t xml:space="preserve">The Gemini free tier is rate-limited (1,500 requests/day) — fine for development and a live demo, but explicitly not a production capacity plan. State this plainly if asked.</w:t>
      </w:r>
    </w:p>
    <w:p>
      <w:pPr>
        <w:pStyle w:val="ListParagraph"/>
        <w:numPr>
          <w:ilvl w:val="0"/>
          <w:numId w:val="2"/>
        </w:numPr>
        <w:spacing w:after="80"/>
      </w:pPr>
      <w:r>
        <w:t xml:space="preserve">Google's free tier terms permit using prompts for model training — not a concern for public dummy data, but worth flagging proactively if/when this is discussed for use with real internal data, since a production version would likely need a paid tier or a different provider with stricter data handling terms.</w:t>
      </w:r>
    </w:p>
    <w:p>
      <w:pPr>
        <w:pStyle w:val="ListParagraph"/>
        <w:numPr>
          <w:ilvl w:val="0"/>
          <w:numId w:val="2"/>
        </w:numPr>
        <w:spacing w:after="80"/>
      </w:pPr>
      <w:r>
        <w:t xml:space="preserve">Calculated fields inside Tableau workbooks can have complex, non-obvious formulas. The XML parsing in Phase 2 extracts the formula text but does not interpret it — any calculated field whose business meaning matters should be manually annotated rather than relying on the LLM to infer it from the raw formula.</w:t>
      </w:r>
    </w:p>
    <w:p>
      <w:pPr>
        <w:pStyle w:val="Heading2"/>
      </w:pPr>
      <w:r>
        <w:t xml:space="preserve">9.4 Path to production (for when real internal Tableau access is available)</w:t>
      </w:r>
    </w:p>
    <w:p>
      <w:pPr>
        <w:spacing w:after="160"/>
      </w:pPr>
      <w:r>
        <w:t xml:space="preserve">Because the architecture treats Tableau access as an interchangeable data source rather than something baked into the logic, moving from this POC to real internal strategy workbooks involves replacing two specific pieces, not rebuilding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POC component</w:t>
            </w:r>
          </w:p>
        </w:tc>
        <w:tc>
          <w:tcPr>
            <w:tcW w:type="dxa" w:w="4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Production replacement</w:t>
            </w:r>
          </w:p>
        </w:tc>
      </w:tr>
      <w:tr>
        <w:tc>
          <w:tcPr>
            <w:tcW w:type="dxa" w:w="4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Manual .twbx download + tableauhyperapi extraction (Phase 2)</w:t>
            </w:r>
          </w:p>
        </w:tc>
        <w:tc>
          <w:tcPr>
            <w:tcW w:type="dxa" w:w="49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Tableau Metadata API (GraphQL) for field/worksheet metadata, called against the internal Tableau Server</w:t>
            </w:r>
          </w:p>
        </w:tc>
      </w:tr>
      <w:tr>
        <w:tc>
          <w:tcPr>
            <w:tcW w:type="dxa" w:w="44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query_metric() reading local CSV/SQLite (Phase 4)</w:t>
            </w:r>
          </w:p>
        </w:tc>
        <w:tc>
          <w:tcPr>
            <w:tcW w:type="dxa" w:w="496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Tableau VizQL Data Service — live queries against the published internal data source, same function signature</w:t>
            </w:r>
          </w:p>
        </w:tc>
      </w:tr>
      <w:tr>
        <w:tc>
          <w:tcPr>
            <w:tcW w:type="dxa" w:w="4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Gemini free tier (Phase 5)</w:t>
            </w:r>
          </w:p>
        </w:tc>
        <w:tc>
          <w:tcPr>
            <w:tcW w:type="dxa" w:w="49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Re-evaluate provider based on the organization's data handling and compliance requirements — a paid tier (Gemini, Claude, or another provider) with no training-data usage would be the production-appropriate choice</w:t>
            </w:r>
          </w:p>
        </w:tc>
      </w:tr>
    </w:tbl>
    <w:p>
      <w:pPr>
        <w:pStyle w:val="Heading2"/>
      </w:pPr>
      <w:r>
        <w:t xml:space="preserve">9.5 A note on scope discipline</w:t>
      </w:r>
    </w:p>
    <w:p>
      <w:pPr>
        <w:spacing w:after="160"/>
      </w:pPr>
      <w:r>
        <w:t xml:space="preserve">It is tempting, once the basic pipeline works, to keep adding workbooks, fields, or question types before showing anyone the result. For a POC whose purpose is to demonstrate feasibility, the two-workbook, dual-path version described in this document is sufficient to make the case. Additional breadth is easier to justify and prioritize once stakeholders have seen this version work.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tabs>
        <w:tab w:val="right" w:pos="9026"/>
      </w:tabs>
    </w:pPr>
    <w:r>
      <w:rPr>
        <w:color w:val="595959"/>
        <w:sz w:val="16"/>
        <w:szCs w:val="16"/>
      </w:rPr>
      <w:t xml:space="preserve">RAG over Tableau Workbooks — Implementation Guide</w:t>
    </w:r>
    <w:r>
      <w:rPr>
        <w:color w:val="595959"/>
        <w:sz w:val="16"/>
        <w:szCs w:val="16"/>
      </w:rPr>
      <w:t xml:space="preserve">	Confidential / Internal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75A87"/>
      <w:sz w:val="23"/>
      <w:szCs w:val="23"/>
    </w:rPr>
  </w:style>
  <w:style w:type="paragraph" w:styleId="Hyperlink">
    <w:name w:val="Hyperlink"/>
    <w:basedOn w:val="Normal"/>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0h3xq2bt15togngtzwh9" Type="http://schemas.openxmlformats.org/officeDocument/2006/relationships/hyperlink" Target="https://www.tableau.com/products/public/download" TargetMode="External"/><Relationship Id="rIdmk1r4fwryskuze_e5wqbo" Type="http://schemas.openxmlformats.org/officeDocument/2006/relationships/hyperlink" Target="https://public.tableau.com/profile/pradeepkumar.g#!/vizhome/SampleSuperstore-SalesPerformance/viz_" TargetMode="External"/><Relationship Id="rIdxjxe1dfm95puyhwb7tslz" Type="http://schemas.openxmlformats.org/officeDocument/2006/relationships/hyperlink" Target="https://public.tableau.com/profile/covid.19.data.resource.hub#!/vizhome/COVID-19Cases_15840488375320/COVID-19GlobalView" TargetMode="External"/><Relationship Id="rIdquc3iepdedm8uszbsomrz" Type="http://schemas.openxmlformats.org/officeDocument/2006/relationships/hyperlink" Target="https://www.ecdc.europa.eu/en/publications-data/download-todays-data-geographic-distribution-covid-19-cases-worldwide" TargetMode="External"/><Relationship Id="rIdyx4tvgmxcwqga9qj8ab7v" Type="http://schemas.openxmlformats.org/officeDocument/2006/relationships/hyperlink" Target="https://github.com/nytimes/covid-19-data" TargetMode="External"/><Relationship Id="rIdeaekybugoul93ka_ua6xi" Type="http://schemas.openxmlformats.org/officeDocument/2006/relationships/hyperlink" Target="https://www.tableau.com/blog/ten-most-favorited-vizzes-celebrate-ten-viz-tastic-years-tableau-public" TargetMode="External"/><Relationship Id="rIdpcvmelnfebhsbrwzpxwip" Type="http://schemas.openxmlformats.org/officeDocument/2006/relationships/hyperlink" Target="https://huggingface.co/sentence-transformers/all-MiniLM-L6-v2" TargetMode="External"/><Relationship Id="rIdl2fkbt_0zv1lczn1ad8qq" Type="http://schemas.openxmlformats.org/officeDocument/2006/relationships/hyperlink" Target="https://aistudio.google.com/"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over Tableau Workbooks - Technical Implementation Guide</dc:title>
  <dc:creator>Claude</dc:creator>
  <cp:lastModifiedBy>Un-named</cp:lastModifiedBy>
  <cp:revision>1</cp:revision>
  <dcterms:created xsi:type="dcterms:W3CDTF">2026-06-21T13:20:08.323Z</dcterms:created>
  <dcterms:modified xsi:type="dcterms:W3CDTF">2026-06-21T13:20:08.323Z</dcterms:modified>
</cp:coreProperties>
</file>

<file path=docProps/custom.xml><?xml version="1.0" encoding="utf-8"?>
<Properties xmlns="http://schemas.openxmlformats.org/officeDocument/2006/custom-properties" xmlns:vt="http://schemas.openxmlformats.org/officeDocument/2006/docPropsVTypes"/>
</file>