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0F2A43"/>
          <w:sz w:val="40"/>
        </w:rPr>
        <w:t>Slide A — Correlation (copy-paste formulas)</w:t>
      </w:r>
    </w:p>
    <w:p>
      <w:pPr>
        <w:spacing w:after="160" w:before="0"/>
      </w:pPr>
      <w:r>
        <w:rPr>
          <w:rFonts w:ascii="Calibri" w:hAnsi="Calibri" w:eastAsia="Calibri"/>
          <w:b w:val="0"/>
          <w:color w:val="4A4A4A"/>
          <w:sz w:val="22"/>
        </w:rPr>
        <w:t>The grey blocks are real Word equations (Insert → Equation objects). Copy a whole block into PowerPoint or another Word file; the square root is a radical bar, not the √ character.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32"/>
        </w:rPr>
        <w:t>Formulas to copy</w:t>
      </w:r>
    </w:p>
    <w:p>
      <w:pPr>
        <w:spacing w:after="0" w:before="160"/>
      </w:pPr>
      <w:r>
        <w:rPr>
          <w:rFonts w:ascii="Calibri" w:hAnsi="Calibri" w:eastAsia="Calibri"/>
          <w:b/>
          <w:color w:val="0F2A43"/>
          <w:sz w:val="24"/>
        </w:rPr>
        <w:t>Log return</w:t>
      </w:r>
    </w:p>
    <w:p>
      <w:pPr>
        <w:spacing w:before="120" w:after="200"/>
        <w:shd w:val="clear" w:color="auto" w:fill="F4F1EA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m:t xml:space="preserve">r</m:t>
              </m:r>
            </m:e>
            <m:sub>
              <m:r>
                <m:rPr>
                  <m:sty m:val="p"/>
                </m:rPr>
                <m:t xml:space="preserve">i,t</m:t>
              </m:r>
            </m:sub>
          </m:sSub>
          <m:r>
            <m:rPr>
              <m:sty m:val="p"/>
            </m:rPr>
            <m:t xml:space="preserve"> = </m:t>
          </m:r>
          <m:func>
            <m:funcPr/>
            <m:fName>
              <m:r>
                <m:rPr>
                  <m:sty m:val="p"/>
                </m:rPr>
                <m:t xml:space="preserve">ln</m:t>
              </m:r>
            </m:fName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 xml:space="preserve">P</m:t>
                      </m:r>
                    </m:e>
                    <m:sub>
                      <m:r>
                        <m:rPr>
                          <m:sty m:val="p"/>
                        </m:rPr>
                        <m:t xml:space="preserve">i,t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p"/>
                        </m:rPr>
                        <m:t xml:space="preserve">P</m:t>
                      </m:r>
                    </m:e>
                    <m:sub>
                      <m:r>
                        <m:rPr>
                          <m:sty m:val="p"/>
                        </m:rPr>
                        <m:t xml:space="preserve">i,t−1</m:t>
                      </m:r>
                    </m:sub>
                  </m:sSub>
                </m:den>
              </m:f>
            </m:e>
          </m:func>
        </m:oMath>
      </m:oMathPara>
    </w:p>
    <w:p>
      <w:pPr>
        <w:spacing w:after="80" w:before="0"/>
      </w:pPr>
      <w:r>
        <w:rPr>
          <w:rFonts w:ascii="Calibri" w:hAnsi="Calibri" w:eastAsia="Calibri"/>
          <w:b w:val="0"/>
          <w:color w:val="4A4A4A"/>
          <w:sz w:val="22"/>
        </w:rPr>
        <w:t>P = adjusted close of stock i on day t.</w:t>
      </w:r>
    </w:p>
    <w:p>
      <w:pPr>
        <w:spacing w:after="0" w:before="160"/>
      </w:pPr>
      <w:r>
        <w:rPr>
          <w:rFonts w:ascii="Calibri" w:hAnsi="Calibri" w:eastAsia="Calibri"/>
          <w:b/>
          <w:color w:val="0F2A43"/>
          <w:sz w:val="24"/>
        </w:rPr>
        <w:t>Pearson correlation</w:t>
      </w:r>
    </w:p>
    <w:p>
      <w:pPr>
        <w:spacing w:before="120" w:after="200"/>
        <w:shd w:val="clear" w:color="auto" w:fill="F4F1EA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m:t xml:space="preserve">ρ</m:t>
              </m:r>
            </m:e>
            <m:sub>
              <m:r>
                <m:rPr>
                  <m:sty m:val="p"/>
                </m:rPr>
                <m:t xml:space="preserve">ij</m:t>
              </m:r>
            </m:sub>
          </m:sSub>
          <m:r>
            <m:rPr>
              <m:sty m:val="p"/>
            </m:rPr>
            <m:t xml:space="preserve"> = Corr(</m:t>
          </m:r>
          <m:sSub>
            <m:e>
              <m:r>
                <m:rPr>
                  <m:sty m:val="p"/>
                </m:rPr>
                <m:t xml:space="preserve">r</m:t>
              </m:r>
            </m:e>
            <m:sub>
              <m:r>
                <m:rPr>
                  <m:sty m:val="p"/>
                </m:rPr>
                <m:t xml:space="preserve">i</m:t>
              </m:r>
            </m:sub>
          </m:sSub>
          <m:r>
            <m:rPr>
              <m:sty m:val="p"/>
            </m:rPr>
            <m:t xml:space="preserve">, </m:t>
          </m:r>
          <m:sSub>
            <m:e>
              <m:r>
                <m:rPr>
                  <m:sty m:val="p"/>
                </m:rPr>
                <m:t xml:space="preserve">r</m:t>
              </m:r>
            </m:e>
            <m:sub>
              <m:r>
                <m:rPr>
                  <m:sty m:val="p"/>
                </m:rPr>
                <m:t xml:space="preserve">j</m:t>
              </m:r>
            </m:sub>
          </m:sSub>
          <m:r>
            <m:rPr>
              <m:sty m:val="p"/>
            </m:rPr>
            <m:t xml:space="preserve">)</m:t>
          </m:r>
        </m:oMath>
      </m:oMathPara>
    </w:p>
    <w:p>
      <w:pPr>
        <w:spacing w:after="80" w:before="0"/>
      </w:pPr>
      <w:r>
        <w:rPr>
          <w:rFonts w:ascii="Calibri" w:hAnsi="Calibri" w:eastAsia="Calibri"/>
          <w:b w:val="0"/>
          <w:color w:val="4A4A4A"/>
          <w:sz w:val="22"/>
        </w:rPr>
        <w:t>Measured over T = 252 overlapping trading days (one formation window).</w:t>
      </w:r>
    </w:p>
    <w:p>
      <w:pPr>
        <w:spacing w:after="0" w:before="160"/>
      </w:pPr>
      <w:r>
        <w:rPr>
          <w:rFonts w:ascii="Calibri" w:hAnsi="Calibri" w:eastAsia="Calibri"/>
          <w:b/>
          <w:color w:val="0F2A43"/>
          <w:sz w:val="24"/>
        </w:rPr>
        <w:t>Mantegna distance</w:t>
      </w:r>
    </w:p>
    <w:p>
      <w:pPr>
        <w:spacing w:before="120" w:after="200"/>
        <w:shd w:val="clear" w:color="auto" w:fill="F4F1EA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ij</m:t>
              </m:r>
            </m:sub>
          </m:sSub>
          <m:r>
            <m:rPr>
              <m:sty m:val="p"/>
            </m:rPr>
            <m:t xml:space="preserve"> =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2(1 − </m:t>
              </m:r>
              <m:sSub>
                <m:e>
                  <m:r>
                    <m:rPr>
                      <m:sty m:val="p"/>
                    </m:rPr>
                    <m:t xml:space="preserve">ρ</m:t>
                  </m:r>
                </m:e>
                <m:sub>
                  <m:r>
                    <m:rPr>
                      <m:sty m:val="p"/>
                    </m:rPr>
                    <m:t xml:space="preserve">ij</m:t>
                  </m:r>
                </m:sub>
              </m:sSub>
              <m:r>
                <m:rPr>
                  <m:sty m:val="p"/>
                </m:rPr>
                <m:t xml:space="preserve">)</m:t>
              </m:r>
            </m:e>
          </m:rad>
        </m:oMath>
      </m:oMathPara>
    </w:p>
    <w:p>
      <w:pPr>
        <w:spacing w:before="120" w:after="200"/>
        <w:shd w:val="clear" w:color="auto" w:fill="F4F1EA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ii</m:t>
              </m:r>
            </m:sub>
          </m:sSub>
          <m:r>
            <m:rPr>
              <m:sty m:val="p"/>
            </m:rPr>
            <m:t xml:space="preserve"> = 0</m:t>
          </m:r>
        </m:oMath>
      </m:oMathPara>
    </w:p>
    <w:p>
      <w:pPr>
        <w:spacing w:after="80" w:before="0"/>
      </w:pPr>
      <w:r>
        <w:rPr>
          <w:rFonts w:ascii="Calibri" w:hAnsi="Calibri" w:eastAsia="Calibri"/>
          <w:b w:val="0"/>
          <w:color w:val="4A4A4A"/>
          <w:sz w:val="22"/>
        </w:rPr>
        <w:t>If ρ = 1 then d = 0. If ρ = 0 then d ≈ 1.41.</w:t>
      </w:r>
    </w:p>
    <w:p>
      <w:pPr>
        <w:spacing w:after="0" w:before="160"/>
      </w:pPr>
      <w:r>
        <w:rPr>
          <w:rFonts w:ascii="Calibri" w:hAnsi="Calibri" w:eastAsia="Calibri"/>
          <w:b/>
          <w:color w:val="0F2A43"/>
          <w:sz w:val="24"/>
        </w:rPr>
        <w:t>Worked example  (Ping An vs CPIC)</w:t>
      </w:r>
    </w:p>
    <w:p>
      <w:pPr>
        <w:spacing w:before="120" w:after="200"/>
        <w:shd w:val="clear" w:color="auto" w:fill="F4F1EA"/>
      </w:pPr>
      <m:oMathPara>
        <m:oMathParaPr>
          <m:jc m:val="left"/>
        </m:oMathParaPr>
        <m:oMath>
          <m:r>
            <m:rPr>
              <m:sty m:val="p"/>
            </m:rPr>
            <m:t xml:space="preserve">ρ = 0.844</m:t>
          </m:r>
          <m:r>
            <m:rPr>
              <m:sty m:val="p"/>
            </m:rPr>
            <m:t xml:space="preserve">   ⇒   </m:t>
          </m:r>
          <m:r>
            <m:rPr>
              <m:sty m:val="p"/>
            </m:rPr>
            <m:t xml:space="preserve">d =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2(1 − 0.844)</m:t>
              </m:r>
            </m:e>
          </m:rad>
          <m:r>
            <m:rPr>
              <m:sty m:val="p"/>
            </m:rPr>
            <m:t xml:space="preserve"> =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0.312</m:t>
              </m:r>
            </m:e>
          </m:rad>
          <m:r>
            <m:rPr>
              <m:sty m:val="p"/>
            </m:rPr>
            <m:t xml:space="preserve"> ≈ 0.56</m:t>
          </m:r>
        </m:oMath>
      </m:oMathPara>
    </w:p>
    <w:p>
      <w:pPr>
        <w:spacing w:after="120"/>
      </w:pPr>
      <w:r>
        <w:rPr>
          <w:rFonts w:ascii="Calibri" w:hAnsi="Calibri" w:eastAsia="Calibri"/>
          <w:b/>
          <w:color w:val="0F2A43"/>
          <w:sz w:val="32"/>
        </w:rPr>
        <w:t>What the slide is saying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Subtask A. We need a number that says how similarly two stocks move. We do not compare raw prices (Moutai at ¥1,350 vs a bank at ¥8). We compare daily percentage moves.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1. Log return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Turn yesterday’s and today’s adjusted close into one daily move.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Example: 10.00 → 10.20  ⇒  r = ln(1.02) ≈ +1.98%.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One number per stock per day. This is the input to correlation.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2. Pearson ρ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How often stock i and stock j move together over T = 252 days.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ρ = 1 lockstep;  ρ = 0 unrelated;  ρ = −1 opposite.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This is a grouping feature, not a buy/sell signal.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3. Mantegna distance d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Clustering needs a distance, not a correlation. Close in distance ⇒ likely the same cluster.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The warning on the slide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High ρ only means they move together. The spread (gap between them) can still wander off and never come back. Use ρ to group names. The actual trade needs cointegration (later slides).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How to read the table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Highest-ρ pairs from the most recent 252-day window. They are economically related: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A4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Stock Y</w:t>
            </w:r>
          </w:p>
        </w:tc>
        <w:tc>
          <w:tcPr>
            <w:tcW w:type="dxa" w:w="3120"/>
            <w:shd w:fill="0F2A4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Stock X</w:t>
            </w:r>
          </w:p>
        </w:tc>
        <w:tc>
          <w:tcPr>
            <w:tcW w:type="dxa" w:w="3120"/>
            <w:shd w:fill="0F2A4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ρ (last formation)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Ping An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CPIC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0.844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CPIC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China Life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0.783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Sinopec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PetroChina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0.779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Minsheng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Everbright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0.764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CCB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BOC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0.764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BoComm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BOC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0.763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One-line story: turn prices into daily returns, measure how they co-move (ρ), turn that into a distance d, then cluster. Correlation is the filter; it is not the trade.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