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0F2A43"/>
          <w:sz w:val="40"/>
        </w:rPr>
        <w:t>Slide C — Pair selection (copy-paste formulas)</w:t>
      </w:r>
    </w:p>
    <w:p>
      <w:pPr>
        <w:spacing w:after="160" w:before="0"/>
      </w:pPr>
      <w:r>
        <w:rPr>
          <w:rFonts w:ascii="Calibri" w:hAnsi="Calibri" w:eastAsia="Calibri"/>
          <w:b w:val="0"/>
          <w:color w:val="4A4A4A"/>
          <w:sz w:val="22"/>
        </w:rPr>
        <w:t>Grey blocks are real Word equations. Copy the whole block into PowerPoint or another Word file.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32"/>
        </w:rPr>
        <w:t>Formulas to copy</w:t>
      </w:r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1. Engle–Granger hedge (OLS on log prices)</w:t>
      </w:r>
    </w:p>
    <w:p>
      <w:pPr>
        <w:spacing w:before="120" w:after="160"/>
        <w:shd w:val="clear" w:color="auto" w:fill="F4F1EA"/>
      </w:pPr>
      <m:oMathPara>
        <m:oMathParaPr>
          <m:jc m:val="left"/>
        </m:oMathParaPr>
        <m:oMath>
          <m:func>
            <m:funcPr/>
            <m:fName>
              <m:r>
                <m:rPr>
                  <m:sty m:val="p"/>
                </m:rPr>
                <m:t xml:space="preserve">ln</m:t>
              </m:r>
            </m:fName>
            <m:e>
              <m:sSub>
                <m:e>
                  <m:r>
                    <m:rPr>
                      <m:sty m:val="p"/>
                    </m:rP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Y,t</m:t>
                  </m:r>
                </m:sub>
              </m:sSub>
            </m:e>
          </m:func>
          <m:r>
            <m:rPr>
              <m:sty m:val="p"/>
            </m:rPr>
            <m:t xml:space="preserve"> = </m:t>
          </m:r>
          <m:r>
            <m:rPr>
              <m:sty m:val="p"/>
            </m:rPr>
            <m:t xml:space="preserve">α</m:t>
          </m:r>
          <m:r>
            <m:rPr>
              <m:sty m:val="p"/>
            </m:rPr>
            <m:t xml:space="preserve"> + </m:t>
          </m:r>
          <m:r>
            <m:rPr>
              <m:sty m:val="p"/>
            </m:rPr>
            <m:t xml:space="preserve">β</m:t>
          </m:r>
          <m:r>
            <m:rPr>
              <m:sty m:val="p"/>
            </m:rPr>
            <m:t xml:space="preserve"> </m:t>
          </m:r>
          <m:func>
            <m:funcPr/>
            <m:fName>
              <m:r>
                <m:rPr>
                  <m:sty m:val="p"/>
                </m:rPr>
                <m:t xml:space="preserve">ln</m:t>
              </m:r>
            </m:fName>
            <m:e>
              <m:sSub>
                <m:e>
                  <m:r>
                    <m:rPr>
                      <m:sty m:val="p"/>
                    </m:rP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X,t</m:t>
                  </m:r>
                </m:sub>
              </m:sSub>
            </m:e>
          </m:func>
          <m:r>
            <m:rPr>
              <m:sty m:val="p"/>
            </m:rPr>
            <m:t xml:space="preserve"> + </m:t>
          </m:r>
          <m:sSub>
            <m:e>
              <m:r>
                <m:rPr>
                  <m:sty m:val="p"/>
                </m:rPr>
                <m:t xml:space="preserve">ε</m:t>
              </m:r>
            </m:e>
            <m:sub>
              <m:r>
                <m:rPr>
                  <m:sty m:val="p"/>
                </m:rPr>
                <m:t xml:space="preserve">t</m:t>
              </m:r>
            </m:sub>
          </m:sSub>
        </m:oMath>
      </m:oMathPara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2. Spread (the leftover after the hedge)</w:t>
      </w:r>
    </w:p>
    <w:p>
      <w:pPr>
        <w:spacing w:before="120" w:after="160"/>
        <w:shd w:val="clear" w:color="auto" w:fill="F4F1EA"/>
      </w:pPr>
      <m:oMathPara>
        <m:oMathParaPr>
          <m:jc m:val="left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t</m:t>
              </m:r>
            </m:sub>
          </m:sSub>
          <m:r>
            <m:rPr>
              <m:sty m:val="p"/>
            </m:rPr>
            <m:t xml:space="preserve"> = </m:t>
          </m:r>
          <m:func>
            <m:funcPr/>
            <m:fName>
              <m:r>
                <m:rPr>
                  <m:sty m:val="p"/>
                </m:rPr>
                <m:t xml:space="preserve">ln</m:t>
              </m:r>
            </m:fName>
            <m:e>
              <m:sSub>
                <m:e>
                  <m:r>
                    <m:rPr>
                      <m:sty m:val="p"/>
                    </m:rP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Y,t</m:t>
                  </m:r>
                </m:sub>
              </m:sSub>
            </m:e>
          </m:func>
          <m:r>
            <m:rPr>
              <m:sty m:val="p"/>
            </m:rPr>
            <m:t xml:space="preserve"> − </m:t>
          </m:r>
          <m:acc>
            <m:accPr>
              <m:chr m:val="̂"/>
            </m:accPr>
            <m:e>
              <m:r>
                <m:rPr>
                  <m:sty m:val="p"/>
                </m:rPr>
                <m:t xml:space="preserve">α</m:t>
              </m:r>
            </m:e>
          </m:acc>
          <m:r>
            <m:rPr>
              <m:sty m:val="p"/>
            </m:rPr>
            <m:t xml:space="preserve"> − </m:t>
          </m:r>
          <m:acc>
            <m:accPr>
              <m:chr m:val="̂"/>
            </m:accPr>
            <m:e>
              <m:r>
                <m:rPr>
                  <m:sty m:val="p"/>
                </m:rPr>
                <m:t xml:space="preserve">β</m:t>
              </m:r>
            </m:e>
          </m:acc>
          <m:r>
            <m:rPr>
              <m:sty m:val="p"/>
            </m:rPr>
            <m:t xml:space="preserve"> </m:t>
          </m:r>
          <m:func>
            <m:funcPr/>
            <m:fName>
              <m:r>
                <m:rPr>
                  <m:sty m:val="p"/>
                </m:rPr>
                <m:t xml:space="preserve">ln</m:t>
              </m:r>
            </m:fName>
            <m:e>
              <m:sSub>
                <m:e>
                  <m:r>
                    <m:rPr>
                      <m:sty m:val="p"/>
                    </m:rP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X,t</m:t>
                  </m:r>
                </m:sub>
              </m:sSub>
            </m:e>
          </m:func>
        </m:oMath>
      </m:oMathPara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3. Mean-reversion speed</w:t>
      </w:r>
    </w:p>
    <w:p>
      <w:pPr>
        <w:spacing w:before="120" w:after="160"/>
        <w:shd w:val="clear" w:color="auto" w:fill="F4F1EA"/>
      </w:pPr>
      <m:oMathPara>
        <m:oMathParaPr>
          <m:jc m:val="left"/>
        </m:oMathParaPr>
        <m:oMath>
          <m:r>
            <m:rPr>
              <m:sty m:val="p"/>
            </m:rPr>
            <m:t xml:space="preserve">Δ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t</m:t>
              </m:r>
            </m:sub>
          </m:sSub>
          <m:r>
            <m:rPr>
              <m:sty m:val="p"/>
            </m:rPr>
            <m:t xml:space="preserve"> = </m:t>
          </m:r>
          <m:r>
            <m:rPr>
              <m:sty m:val="p"/>
            </m:rPr>
            <m:t xml:space="preserve">λ</m:t>
          </m:r>
          <m:r>
            <m:rPr>
              <m:sty m:val="p"/>
            </m:rPr>
            <m:t xml:space="preserve">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t−1</m:t>
              </m:r>
            </m:sub>
          </m:sSub>
          <m:r>
            <m:rPr>
              <m:sty m:val="p"/>
            </m:rPr>
            <m:t xml:space="preserve"> + </m:t>
          </m:r>
          <m:sSub>
            <m:e>
              <m:r>
                <m:rPr>
                  <m:sty m:val="p"/>
                </m:rPr>
                <m:t xml:space="preserve">u</m:t>
              </m:r>
            </m:e>
            <m:sub>
              <m:r>
                <m:rPr>
                  <m:sty m:val="p"/>
                </m:rPr>
                <m:t xml:space="preserve">t</m:t>
              </m:r>
            </m:sub>
          </m:sSub>
        </m:oMath>
      </m:oMathPara>
    </w:p>
    <w:p>
      <w:pPr>
        <w:spacing w:after="0" w:before="160"/>
      </w:pPr>
      <w:r>
        <w:rPr>
          <w:rFonts w:ascii="Calibri" w:hAnsi="Calibri" w:eastAsia="Calibri"/>
          <w:b/>
          <w:color w:val="0F2A43"/>
          <w:sz w:val="24"/>
        </w:rPr>
        <w:t>4. Half-life (need λ &lt; 0)</w:t>
      </w:r>
    </w:p>
    <w:p>
      <w:pPr>
        <w:spacing w:before="120" w:after="160"/>
        <w:shd w:val="clear" w:color="auto" w:fill="F4F1EA"/>
      </w:pPr>
      <m:oMathPara>
        <m:oMathParaPr>
          <m:jc m:val="left"/>
        </m:oMathParaPr>
        <m:oMath>
          <m:r>
            <m:rPr>
              <m:sty m:val="p"/>
            </m:rPr>
            <m:t xml:space="preserve">HL = </m:t>
          </m:r>
          <m:f>
            <m:fPr>
              <m:type m:val="bar"/>
            </m:fPr>
            <m:num>
              <m:func>
                <m:funcPr/>
                <m:fName>
                  <m:r>
                    <m:rPr>
                      <m:sty m:val="p"/>
                    </m:rPr>
                    <m:t xml:space="preserve">ln</m:t>
                  </m:r>
                </m:fName>
                <m:e>
                  <m:r>
                    <m:rPr>
                      <m:sty m:val="p"/>
                    </m:rPr>
                    <m:t xml:space="preserve">2</m:t>
                  </m:r>
                </m:e>
              </m:func>
            </m:num>
            <m:den>
              <m:r>
                <m:rPr>
                  <m:sty m:val="p"/>
                </m:rPr>
                <m:t xml:space="preserve">|</m:t>
              </m:r>
              <m:r>
                <m:rPr>
                  <m:sty m:val="p"/>
                </m:rPr>
                <m:t xml:space="preserve">λ</m:t>
              </m:r>
              <m:r>
                <m:rPr>
                  <m:sty m:val="p"/>
                </m:rPr>
                <m:t xml:space="preserve">|</m:t>
              </m:r>
            </m:den>
          </m:f>
        </m:oMath>
      </m:oMathPara>
    </w:p>
    <w:p>
      <w:pPr>
        <w:spacing w:after="120"/>
      </w:pPr>
      <w:r>
        <w:rPr>
          <w:rFonts w:ascii="Calibri" w:hAnsi="Calibri" w:eastAsia="Calibri"/>
          <w:b/>
          <w:color w:val="0F2A43"/>
          <w:sz w:val="32"/>
        </w:rPr>
        <w:t>What the slide is saying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Subtask C, first half. Correlation and clustering only found cousins. This slide asks: is there a stable linear combination of the two log prices whose leftover (the spread) snaps back? If yes, that leftover is what we trade. If no, fading the gap is fading a random walk.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Formula 1 — the hedge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Explain log price of Y using log price of X. β is the hedge ratio: how many units of X you hold against 1 unit of Y. α is the intercept. ε_t is whatever Y’s log price is not explained by X.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Formula 2 — the spread 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Plug in the fitted α̂ and β̂. s_t is “how rich or cheap is Y versus that hedge today?” If the two names are cointegrated, s wanders around 0 instead of wandering off forever.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Formulas 3–4 — half-life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Regress today’s change in the spread on yesterday’s level. Mean reversion needs λ &lt; 0 (when s is high, the next move tends to be down). HL = ln(2) / |λ| is how many trading days for a shock to s to shrink by half. Example: λ = −0.076 ⇒ HL ≈ 9 days.</w:t>
      </w:r>
    </w:p>
    <w:p>
      <w:pPr>
        <w:spacing w:after="120"/>
      </w:pPr>
      <w:r>
        <w:rPr>
          <w:rFonts w:ascii="Calibri" w:hAnsi="Calibri" w:eastAsia="Calibri"/>
          <w:b/>
          <w:color w:val="0F2A43"/>
          <w:sz w:val="28"/>
        </w:rPr>
        <w:t>The filter table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A pair is kept only if every row passes. Correlation is the first screen, not the last.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Filter</w:t>
            </w:r>
          </w:p>
        </w:tc>
        <w:tc>
          <w:tcPr>
            <w:tcW w:type="dxa" w:w="312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Rule</w:t>
            </w:r>
          </w:p>
        </w:tc>
        <w:tc>
          <w:tcPr>
            <w:tcW w:type="dxa" w:w="3120"/>
            <w:shd w:fill="0F2A43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|ρ|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≥ 0.50, same cluster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Only search economically similar names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Engle–Granger 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&lt; 0.05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Spread should be stationary, not a random walk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Hedge β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in [0.2, 3]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Negative β is a long–long bet, not a spread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Half-life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5–90 trading days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color w:val="1C1C1C"/>
                <w:sz w:val="22"/>
              </w:rPr>
              <w:t>Faster is noise at daily frequency; slower is a trend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Worked pair from the first window: CSCEC (601668) vs Zijin (601899): ρ = 0.53, β̂ = 0.89, p = 0.0006, half-life = 5.6 days. All four filters pass, so it can be traded.</w:t>
      </w:r>
    </w:p>
    <w:p>
      <w:pPr>
        <w:spacing w:after="160" w:before="0"/>
      </w:pPr>
      <w:r>
        <w:rPr>
          <w:rFonts w:ascii="Calibri" w:hAnsi="Calibri" w:eastAsia="Calibri"/>
          <w:b w:val="0"/>
          <w:color w:val="1C1C1C"/>
          <w:sz w:val="24"/>
        </w:rPr>
        <w:t>One-line story: cousins (ρ + cluster) become a trade only if the leftover after a hedge is stationary and mean-reverts in weeks, not years.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