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Times New Roman" w:hAnsi="Times New Roman"/>
          <w:b w:val="0"/>
          <w:sz w:val="24"/>
        </w:rPr>
        <w:t>Works Cited</w:t>
      </w:r>
    </w:p>
    <w:p>
      <w:pPr>
        <w:spacing w:line="480" w:lineRule="auto" w:after="0" w:before="0"/>
        <w:ind w:left="720" w:hanging="720"/>
      </w:pPr>
      <w:r>
        <w:rPr>
          <w:rFonts w:ascii="Times New Roman" w:hAnsi="Times New Roman"/>
          <w:sz w:val="24"/>
        </w:rPr>
        <w:t xml:space="preserve">Avellaneda, Marco, and Jeong-Hyun Lee. “Statistical Arbitrage in the US Equities Market.” Quantitative Finance, vol. 10, no. 7, 2010, pp. 761–82. New York University, </w:t>
      </w:r>
      <w:r>
        <w:rPr>
          <w:rFonts w:ascii="Times New Roman" w:hAnsi="Times New Roman"/>
          <w:color w:val="0563C1"/>
          <w:sz w:val="24"/>
          <w:u w:val="single"/>
        </w:rPr>
        <w:t>https://math.nyu.edu/inmemoriam/avellaneda/AvellanedaLeeStatArb20090616.pdf</w:t>
      </w:r>
      <w:r>
        <w:rPr>
          <w:rFonts w:ascii="Times New Roman" w:hAnsi="Times New Roman"/>
          <w:sz w:val="24"/>
        </w:rPr>
        <w:t>. Accessed 17 Aug. 2026.</w:t>
      </w:r>
    </w:p>
    <w:p>
      <w:pPr>
        <w:spacing w:line="480" w:lineRule="auto" w:after="0" w:before="0"/>
        <w:ind w:left="720" w:hanging="720"/>
      </w:pPr>
      <w:r>
        <w:rPr>
          <w:rFonts w:ascii="Times New Roman" w:hAnsi="Times New Roman"/>
          <w:sz w:val="24"/>
        </w:rPr>
        <w:t xml:space="preserve">East Money Information Co. “Shanghai A-Share Quotes.” East Money, </w:t>
      </w:r>
      <w:r>
        <w:rPr>
          <w:rFonts w:ascii="Times New Roman" w:hAnsi="Times New Roman"/>
          <w:color w:val="0563C1"/>
          <w:sz w:val="24"/>
          <w:u w:val="single"/>
        </w:rPr>
        <w:t>https://quote.eastmoney.com/center/gridlist.html#sh_a_board</w:t>
      </w:r>
      <w:r>
        <w:rPr>
          <w:rFonts w:ascii="Times New Roman" w:hAnsi="Times New Roman"/>
          <w:sz w:val="24"/>
        </w:rPr>
        <w:t>. Accessed 17 Aug. 2026.</w:t>
      </w:r>
    </w:p>
    <w:p>
      <w:pPr>
        <w:spacing w:line="480" w:lineRule="auto" w:after="0" w:before="0"/>
        <w:ind w:left="720" w:hanging="720"/>
      </w:pPr>
      <w:r>
        <w:rPr>
          <w:rFonts w:ascii="Times New Roman" w:hAnsi="Times New Roman"/>
          <w:sz w:val="24"/>
        </w:rPr>
        <w:t xml:space="preserve">Engle, Robert F., and C. W. J. Granger. “Co-Integration and Error Correction: Representation, Estimation, and Testing.” Econometrica, vol. 55, no. 2, Mar. 1987, pp. 251–76. JSTOR, </w:t>
      </w:r>
      <w:r>
        <w:rPr>
          <w:rFonts w:ascii="Times New Roman" w:hAnsi="Times New Roman"/>
          <w:color w:val="0563C1"/>
          <w:sz w:val="24"/>
          <w:u w:val="single"/>
        </w:rPr>
        <w:t>https://www.jstor.org/stable/1913236</w:t>
      </w:r>
      <w:r>
        <w:rPr>
          <w:rFonts w:ascii="Times New Roman" w:hAnsi="Times New Roman"/>
          <w:sz w:val="24"/>
        </w:rPr>
        <w:t>. Accessed 17 Aug. 2026.</w:t>
      </w:r>
    </w:p>
    <w:p>
      <w:pPr>
        <w:spacing w:line="480" w:lineRule="auto" w:after="0" w:before="0"/>
        <w:ind w:left="720" w:hanging="720"/>
      </w:pPr>
      <w:r>
        <w:rPr>
          <w:rFonts w:ascii="Times New Roman" w:hAnsi="Times New Roman"/>
          <w:sz w:val="24"/>
        </w:rPr>
        <w:t xml:space="preserve">Gatev, Evan, William N. Goetzmann, and K. Geert Rouwenhorst. “Pairs Trading: Performance of a Relative-Value Arbitrage Rule.” The Review of Financial Studies, vol. 19, no. 3, 2006, pp. 797–827. U of Pennsylvania, </w:t>
      </w:r>
      <w:r>
        <w:rPr>
          <w:rFonts w:ascii="Times New Roman" w:hAnsi="Times New Roman"/>
          <w:color w:val="0563C1"/>
          <w:sz w:val="24"/>
          <w:u w:val="single"/>
        </w:rPr>
        <w:t>http://www-stat.wharton.upenn.edu/~steele/Courses/434/434Context/PairsTrading/PairsTradingGGR.pdf</w:t>
      </w:r>
      <w:r>
        <w:rPr>
          <w:rFonts w:ascii="Times New Roman" w:hAnsi="Times New Roman"/>
          <w:sz w:val="24"/>
        </w:rPr>
        <w:t>. Accessed 17 Aug. 2026.</w:t>
      </w:r>
    </w:p>
    <w:p>
      <w:pPr>
        <w:spacing w:line="480" w:lineRule="auto" w:after="0" w:before="0"/>
        <w:ind w:left="720" w:hanging="720"/>
      </w:pPr>
      <w:r>
        <w:rPr>
          <w:rFonts w:ascii="Times New Roman" w:hAnsi="Times New Roman"/>
          <w:sz w:val="24"/>
        </w:rPr>
        <w:t xml:space="preserve">Mantegna, Rosario N. “Hierarchical Structure in Financial Markets.” The European Physical Journal B, vol. 11, no. 1, Sept. 1999, pp. 193–97. arXiv, </w:t>
      </w:r>
      <w:r>
        <w:rPr>
          <w:rFonts w:ascii="Times New Roman" w:hAnsi="Times New Roman"/>
          <w:color w:val="0563C1"/>
          <w:sz w:val="24"/>
          <w:u w:val="single"/>
        </w:rPr>
        <w:t>https://arxiv.org/abs/cond-mat/9802256</w:t>
      </w:r>
      <w:r>
        <w:rPr>
          <w:rFonts w:ascii="Times New Roman" w:hAnsi="Times New Roman"/>
          <w:sz w:val="24"/>
        </w:rPr>
        <w:t>. Accessed 17 Aug. 2026.</w:t>
      </w:r>
    </w:p>
    <w:p>
      <w:pPr>
        <w:spacing w:line="480" w:lineRule="auto" w:after="0" w:before="0"/>
        <w:ind w:left="720" w:hanging="720"/>
      </w:pPr>
      <w:r>
        <w:rPr>
          <w:rFonts w:ascii="Times New Roman" w:hAnsi="Times New Roman"/>
          <w:sz w:val="24"/>
        </w:rPr>
        <w:t xml:space="preserve">Ministry of Finance of the People’s Republic of China, and State Taxation Administration. “Announcement on Halving the Collection of Stamp Duty on Securities Transactions.” The State Council of the People’s Republic of China, 27 Aug. 2023, </w:t>
      </w:r>
      <w:r>
        <w:rPr>
          <w:rFonts w:ascii="Times New Roman" w:hAnsi="Times New Roman"/>
          <w:color w:val="0563C1"/>
          <w:sz w:val="24"/>
          <w:u w:val="single"/>
        </w:rPr>
        <w:t>https://www.gov.cn/zhengce/zhengceku/202308/content_6900443.htm</w:t>
      </w:r>
      <w:r>
        <w:rPr>
          <w:rFonts w:ascii="Times New Roman" w:hAnsi="Times New Roman"/>
          <w:sz w:val="24"/>
        </w:rPr>
        <w:t>. Accessed 17 Aug. 2026.</w:t>
      </w:r>
    </w:p>
    <w:p>
      <w:pPr>
        <w:spacing w:line="480" w:lineRule="auto" w:after="0" w:before="0"/>
        <w:ind w:left="720" w:hanging="720"/>
      </w:pPr>
      <w:r>
        <w:rPr>
          <w:rFonts w:ascii="Times New Roman" w:hAnsi="Times New Roman"/>
          <w:sz w:val="24"/>
        </w:rPr>
        <w:t xml:space="preserve">MongoDB, Inc. “What Is MongoDB?” MongoDB Manual, </w:t>
      </w:r>
      <w:r>
        <w:rPr>
          <w:rFonts w:ascii="Times New Roman" w:hAnsi="Times New Roman"/>
          <w:color w:val="0563C1"/>
          <w:sz w:val="24"/>
          <w:u w:val="single"/>
        </w:rPr>
        <w:t>https://www.mongodb.com/docs/manual/</w:t>
      </w:r>
      <w:r>
        <w:rPr>
          <w:rFonts w:ascii="Times New Roman" w:hAnsi="Times New Roman"/>
          <w:sz w:val="24"/>
        </w:rPr>
        <w:t>. Accessed 17 Aug. 2026.</w:t>
      </w:r>
    </w:p>
    <w:p>
      <w:pPr>
        <w:spacing w:line="480" w:lineRule="auto" w:after="0" w:before="0"/>
        <w:ind w:left="720" w:hanging="720"/>
      </w:pPr>
      <w:r>
        <w:rPr>
          <w:rFonts w:ascii="Times New Roman" w:hAnsi="Times New Roman"/>
          <w:sz w:val="24"/>
        </w:rPr>
        <w:t xml:space="preserve">Rousseeuw, Peter J. “Silhouettes: A Graphical Aid to the Interpretation and Validation of Cluster Analysis.” Journal of Computational and Applied Mathematics, vol. 20, Nov. 1987, pp. 53–65. KU Leuven, </w:t>
      </w:r>
      <w:r>
        <w:rPr>
          <w:rFonts w:ascii="Times New Roman" w:hAnsi="Times New Roman"/>
          <w:color w:val="0563C1"/>
          <w:sz w:val="24"/>
          <w:u w:val="single"/>
        </w:rPr>
        <w:t>https://wis.kuleuven.be/stat/robust/papers/publications-1987/rousseeuw-silhouettes-jcam-sciencedirectopenarchiv.pdf</w:t>
      </w:r>
      <w:r>
        <w:rPr>
          <w:rFonts w:ascii="Times New Roman" w:hAnsi="Times New Roman"/>
          <w:sz w:val="24"/>
        </w:rPr>
        <w:t>. Accessed 17 Aug. 2026.</w:t>
      </w:r>
    </w:p>
    <w:p>
      <w:pPr>
        <w:spacing w:line="480" w:lineRule="auto" w:after="0" w:before="0"/>
        <w:ind w:left="720" w:hanging="720"/>
      </w:pPr>
      <w:r>
        <w:rPr>
          <w:rFonts w:ascii="Times New Roman" w:hAnsi="Times New Roman"/>
          <w:sz w:val="24"/>
        </w:rPr>
        <w:t xml:space="preserve">scikit-learn developers. “sklearn.metrics.silhouette_score.” scikit-learn Documentation, </w:t>
      </w:r>
      <w:r>
        <w:rPr>
          <w:rFonts w:ascii="Times New Roman" w:hAnsi="Times New Roman"/>
          <w:color w:val="0563C1"/>
          <w:sz w:val="24"/>
          <w:u w:val="single"/>
        </w:rPr>
        <w:t>https://scikit-learn.org/stable/modules/generated/sklearn.metrics.silhouette_score.html</w:t>
      </w:r>
      <w:r>
        <w:rPr>
          <w:rFonts w:ascii="Times New Roman" w:hAnsi="Times New Roman"/>
          <w:sz w:val="24"/>
        </w:rPr>
        <w:t>. Accessed 17 Aug. 2026.</w:t>
      </w:r>
    </w:p>
    <w:p>
      <w:pPr>
        <w:spacing w:line="480" w:lineRule="auto" w:after="0" w:before="0"/>
        <w:ind w:left="720" w:hanging="720"/>
      </w:pPr>
      <w:r>
        <w:rPr>
          <w:rFonts w:ascii="Times New Roman" w:hAnsi="Times New Roman"/>
          <w:sz w:val="24"/>
        </w:rPr>
        <w:t xml:space="preserve">Seabold, Skipper, and Josef Perktold. “statsmodels.tsa.stattools.coint.” statsmodels 0.14 Documentation, </w:t>
      </w:r>
      <w:r>
        <w:rPr>
          <w:rFonts w:ascii="Times New Roman" w:hAnsi="Times New Roman"/>
          <w:color w:val="0563C1"/>
          <w:sz w:val="24"/>
          <w:u w:val="single"/>
        </w:rPr>
        <w:t>https://www.statsmodels.org/stable/generated/statsmodels.tsa.stattools.coint.html</w:t>
      </w:r>
      <w:r>
        <w:rPr>
          <w:rFonts w:ascii="Times New Roman" w:hAnsi="Times New Roman"/>
          <w:sz w:val="24"/>
        </w:rPr>
        <w:t>. Accessed 17 Aug. 2026.</w:t>
      </w:r>
    </w:p>
    <w:p>
      <w:pPr>
        <w:spacing w:line="480" w:lineRule="auto" w:after="0" w:before="0"/>
        <w:ind w:left="720" w:hanging="720"/>
      </w:pPr>
      <w:r>
        <w:rPr>
          <w:rFonts w:ascii="Times New Roman" w:hAnsi="Times New Roman"/>
          <w:sz w:val="24"/>
        </w:rPr>
        <w:t xml:space="preserve">Yahoo. “SPD Bank (600000.SS) Historical Data.” Yahoo Finance, </w:t>
      </w:r>
      <w:r>
        <w:rPr>
          <w:rFonts w:ascii="Times New Roman" w:hAnsi="Times New Roman"/>
          <w:color w:val="0563C1"/>
          <w:sz w:val="24"/>
          <w:u w:val="single"/>
        </w:rPr>
        <w:t>https://finance.yahoo.com/quote/600000.SS/history/</w:t>
      </w:r>
      <w:r>
        <w:rPr>
          <w:rFonts w:ascii="Times New Roman" w:hAnsi="Times New Roman"/>
          <w:sz w:val="24"/>
        </w:rPr>
        <w:t>. Accessed 17 Aug.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