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20181004a</w:t>
      </w:r>
      <w:r>
        <w:t xml:space="preserve"> </w:t>
      </w:r>
      <w:r>
        <w:t xml:space="preserve">independent</w:t>
      </w:r>
      <w:r>
        <w:t xml:space="preserve"> </w:t>
      </w:r>
      <w:r>
        <w:t xml:space="preserve">subgroups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4,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"/>
      <w:bookmarkEnd w:id="21"/>
    </w:p>
    <w:p>
      <w:pPr>
        <w:pStyle w:val="FirstParagraph"/>
      </w:pPr>
      <w:r>
        <w:t xml:space="preserve">Suppose we need to combine the results of two independent subgroups, e.g. treatment1 and treatment2 in a meta-analysis. e.g. in the OCD-TMS study they did a three arm experiment where both 1Hz, 10Hz and sham has been included</w:t>
      </w:r>
    </w:p>
    <w:p>
      <w:pPr>
        <w:pStyle w:val="Heading3"/>
      </w:pPr>
      <w:bookmarkStart w:id="22" w:name="section-1"/>
      <w:bookmarkEnd w:id="22"/>
    </w:p>
    <w:p>
      <w:pPr>
        <w:pStyle w:val="Heading3"/>
      </w:pPr>
      <w:bookmarkStart w:id="23" w:name="looking-at-the-data-ybocs-score"/>
      <w:bookmarkEnd w:id="23"/>
      <w:r>
        <w:t xml:space="preserve">Looking at the data (YBOCS score)</w:t>
      </w:r>
    </w:p>
    <w:p>
      <w:pPr>
        <w:pStyle w:val="FigureWithCaption"/>
      </w:pPr>
      <w:r>
        <w:drawing>
          <wp:inline>
            <wp:extent cx="3330341" cy="2127183"/>
            <wp:effectExtent b="0" l="0" r="0" t="0"/>
            <wp:docPr descr="Y-BOCS for different groups" title="" id="1" name="Picture"/>
            <a:graphic>
              <a:graphicData uri="http://schemas.openxmlformats.org/drawingml/2006/picture">
                <pic:pic>
                  <pic:nvPicPr>
                    <pic:cNvPr descr="OCD-T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Y-BOCS for different groups</w:t>
      </w:r>
    </w:p>
    <w:p>
      <w:pPr>
        <w:pStyle w:val="Heading3"/>
      </w:pPr>
      <w:bookmarkStart w:id="25" w:name="section-2"/>
      <w:bookmarkEnd w:id="25"/>
    </w:p>
    <w:p>
      <w:pPr>
        <w:pStyle w:val="Heading3"/>
      </w:pPr>
      <w:bookmarkStart w:id="26" w:name="constructing-the-functions"/>
      <w:bookmarkEnd w:id="26"/>
      <w:r>
        <w:t xml:space="preserve">Constructing the functions</w:t>
      </w:r>
    </w:p>
    <w:p>
      <w:pPr>
        <w:pStyle w:val="SourceCode"/>
      </w:pPr>
      <w:r>
        <w:rPr>
          <w:rStyle w:val="NormalTok"/>
        </w:rPr>
        <w:t xml:space="preserve">m_ind_group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(n1,n2,m1,m2) {</w:t>
      </w:r>
      <w:r>
        <w:br w:type="textWrapping"/>
      </w:r>
      <w:r>
        <w:rPr>
          <w:rStyle w:val="NormalTok"/>
        </w:rPr>
        <w:t xml:space="preserve">  (n1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7" w:name="section-3"/>
      <w:bookmarkEnd w:id="27"/>
    </w:p>
    <w:p>
      <w:pPr>
        <w:pStyle w:val="SourceCode"/>
      </w:pPr>
      <w:r>
        <w:rPr>
          <w:rStyle w:val="NormalTok"/>
        </w:rPr>
        <w:t xml:space="preserve">sd_ind_group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(n1,n2,m1,m2,s1,s2)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8" w:name="section-4"/>
      <w:bookmarkEnd w:id="28"/>
    </w:p>
    <w:p>
      <w:pPr>
        <w:pStyle w:val="Heading3"/>
      </w:pPr>
      <w:bookmarkStart w:id="29" w:name="calculation-of-the-pre-combined-10hz-and-1hz-score"/>
      <w:bookmarkEnd w:id="29"/>
      <w:r>
        <w:t xml:space="preserve">Calculation of the</w:t>
      </w:r>
      <w:r>
        <w:t xml:space="preserve"> </w:t>
      </w:r>
      <w:r>
        <w:t xml:space="preserve">‘</w:t>
      </w:r>
      <w:r>
        <w:t xml:space="preserve">pre</w:t>
      </w:r>
      <w:r>
        <w:t xml:space="preserve">’</w:t>
      </w:r>
      <w:r>
        <w:t xml:space="preserve"> </w:t>
      </w:r>
      <w:r>
        <w:t xml:space="preserve">combined (10Hz and 1Hz) score</w:t>
      </w:r>
    </w:p>
    <w:p>
      <w:pPr>
        <w:pStyle w:val="SourceCode"/>
      </w:pPr>
      <w:r>
        <w:rPr>
          <w:rStyle w:val="NormalTok"/>
        </w:rPr>
        <w:t xml:space="preserve">pre_m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m_ind_group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sd_ind_group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(pre_m,pre_sd))</w:t>
      </w:r>
    </w:p>
    <w:p>
      <w:pPr>
        <w:pStyle w:val="SourceCode"/>
      </w:pPr>
      <w:r>
        <w:rPr>
          <w:rStyle w:val="VerbatimChar"/>
        </w:rPr>
        <w:t xml:space="preserve">## [1] 26.000000  5.618504</w:t>
      </w:r>
    </w:p>
    <w:p>
      <w:pPr>
        <w:pStyle w:val="Heading3"/>
      </w:pPr>
      <w:bookmarkStart w:id="30" w:name="section-5"/>
      <w:bookmarkEnd w:id="30"/>
    </w:p>
    <w:p>
      <w:pPr>
        <w:pStyle w:val="Heading3"/>
      </w:pPr>
      <w:bookmarkStart w:id="31" w:name="calculation-of-the-post-0-months-combined-10hz-and-1hz-score"/>
      <w:bookmarkEnd w:id="31"/>
      <w:r>
        <w:t xml:space="preserve">Calculation of the</w:t>
      </w:r>
      <w:r>
        <w:t xml:space="preserve"> </w:t>
      </w:r>
      <w:r>
        <w:t xml:space="preserve">‘</w:t>
      </w:r>
      <w:r>
        <w:t xml:space="preserve">post</w:t>
      </w:r>
      <w:r>
        <w:t xml:space="preserve">’</w:t>
      </w:r>
      <w:r>
        <w:t xml:space="preserve"> </w:t>
      </w:r>
      <w:r>
        <w:t xml:space="preserve">(0 months) combined (10Hz and 1Hz) score</w:t>
      </w:r>
    </w:p>
    <w:p>
      <w:pPr>
        <w:pStyle w:val="SourceCode"/>
      </w:pPr>
      <w:r>
        <w:rPr>
          <w:rStyle w:val="NormalTok"/>
        </w:rPr>
        <w:t xml:space="preserve">post_m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m_ind_group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sd_ind_group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(post_m,post_sd))</w:t>
      </w:r>
    </w:p>
    <w:p>
      <w:pPr>
        <w:pStyle w:val="SourceCode"/>
      </w:pPr>
      <w:r>
        <w:rPr>
          <w:rStyle w:val="VerbatimChar"/>
        </w:rPr>
        <w:t xml:space="preserve">## [1] 16.600000  7.444368</w:t>
      </w:r>
    </w:p>
    <w:p>
      <w:pPr>
        <w:pStyle w:val="Heading3"/>
      </w:pPr>
      <w:bookmarkStart w:id="32" w:name="section-6"/>
      <w:bookmarkEnd w:id="32"/>
    </w:p>
    <w:p>
      <w:pPr>
        <w:pStyle w:val="Heading3"/>
      </w:pPr>
      <w:bookmarkStart w:id="33" w:name="the-rest-would-be-left-to-the-second-part-difference-of-outcome-within-study"/>
      <w:bookmarkEnd w:id="33"/>
      <w:r>
        <w:t xml:space="preserve">The rest would be left to the second part: difference of outcome within study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4d80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20181004a independent subgroups in a study</dc:title>
  <dc:creator>cheungngo</dc:creator>
  <dcterms:created xsi:type="dcterms:W3CDTF">2018-10-03T17:58:48Z</dcterms:created>
  <dcterms:modified xsi:type="dcterms:W3CDTF">2018-10-03T17:58:48Z</dcterms:modified>
</cp:coreProperties>
</file>