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76" w:lineRule="auto"/>
        <w:jc w:val="center"/>
        <w:rPr>
          <w:rFonts w:ascii="Calibri" w:cs="Calibri" w:eastAsia="Calibri" w:hAnsi="Calibri"/>
          <w:b w:val="1"/>
          <w:color w:val="2759aa"/>
          <w:sz w:val="28"/>
          <w:szCs w:val="28"/>
          <w:u w:val="single"/>
        </w:rPr>
      </w:pPr>
      <w:r w:rsidDel="00000000" w:rsidR="00000000" w:rsidRPr="00000000">
        <w:rPr>
          <w:rFonts w:ascii="Calibri" w:cs="Calibri" w:eastAsia="Calibri" w:hAnsi="Calibri"/>
          <w:b w:val="1"/>
          <w:color w:val="2759aa"/>
          <w:sz w:val="28"/>
          <w:szCs w:val="28"/>
          <w:u w:val="single"/>
          <w:rtl w:val="0"/>
        </w:rPr>
        <w:t xml:space="preserve">Documentation du PPE 2</w:t>
      </w:r>
    </w:p>
    <w:p w:rsidR="00000000" w:rsidDel="00000000" w:rsidP="00000000" w:rsidRDefault="00000000" w:rsidRPr="00000000" w14:paraId="00000002">
      <w:pPr>
        <w:spacing w:after="200" w:line="276"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Note Utilisateurs</w:t>
      </w:r>
    </w:p>
    <w:p w:rsidR="00000000" w:rsidDel="00000000" w:rsidP="00000000" w:rsidRDefault="00000000" w:rsidRPr="00000000" w14:paraId="00000003">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Pour un utilisateur, l’utilisation d’un serveur RDS, il lui suffit de posséder un ordinateur joint au domaine,  ensuite il doit renseigner son nom d’utilisateur ainsi que son mot de passe associé. L’utilisation côté utilisateur du RDS a été pensé pour une utilisation simple, décorrélé des actions d’administrations, ne nécessitant aucune compétence technique. </w:t>
      </w:r>
    </w:p>
    <w:p w:rsidR="00000000" w:rsidDel="00000000" w:rsidP="00000000" w:rsidRDefault="00000000" w:rsidRPr="00000000" w14:paraId="00000004">
      <w:pPr>
        <w:spacing w:after="200" w:line="276" w:lineRule="auto"/>
        <w:rPr>
          <w:rFonts w:ascii="Calibri" w:cs="Calibri" w:eastAsia="Calibri" w:hAnsi="Calibri"/>
          <w:b w:val="1"/>
          <w:color w:val="00b050"/>
          <w:sz w:val="24"/>
          <w:szCs w:val="24"/>
          <w:u w:val="single"/>
        </w:rPr>
      </w:pPr>
      <w:r w:rsidDel="00000000" w:rsidR="00000000" w:rsidRPr="00000000">
        <w:rPr>
          <w:rtl w:val="0"/>
        </w:rPr>
      </w:r>
    </w:p>
    <w:p w:rsidR="00000000" w:rsidDel="00000000" w:rsidP="00000000" w:rsidRDefault="00000000" w:rsidRPr="00000000" w14:paraId="00000005">
      <w:pPr>
        <w:spacing w:after="200" w:line="276"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Aspects Juridique</w:t>
      </w:r>
    </w:p>
    <w:p w:rsidR="00000000" w:rsidDel="00000000" w:rsidP="00000000" w:rsidRDefault="00000000" w:rsidRPr="00000000" w14:paraId="00000006">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L’Exploitation d’un serveur RDS implique la collecte de données des utilisateurs (Identifiant LDAP, Adresse IP), de ce fait, la mise en oeuvre du contrôle et de l’application de la règlementation des données personnelles.</w:t>
      </w:r>
    </w:p>
    <w:p w:rsidR="00000000" w:rsidDel="00000000" w:rsidP="00000000" w:rsidRDefault="00000000" w:rsidRPr="00000000" w14:paraId="00000007">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Du point de vue de la CNIL :</w:t>
      </w:r>
    </w:p>
    <w:p w:rsidR="00000000" w:rsidDel="00000000" w:rsidP="00000000" w:rsidRDefault="00000000" w:rsidRPr="00000000" w14:paraId="00000008">
      <w:pPr>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 Les données sont considérées "à caractère personnel" dès lors qu’elles concernent des personnes physiques identifiées directement ou indirectement.</w:t>
      </w:r>
    </w:p>
    <w:p w:rsidR="00000000" w:rsidDel="00000000" w:rsidP="00000000" w:rsidRDefault="00000000" w:rsidRPr="00000000" w14:paraId="00000009">
      <w:pPr>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Une personne est identifiable lorsqu’un fichier comporte des informations permettant indirectement son identification. ”</w:t>
      </w:r>
    </w:p>
    <w:p w:rsidR="00000000" w:rsidDel="00000000" w:rsidP="00000000" w:rsidRDefault="00000000" w:rsidRPr="00000000" w14:paraId="0000000A">
      <w:pPr>
        <w:spacing w:after="200" w:line="276"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B">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Un registre qui permet de visualiser le traitement de données et de définir vis-à-vis de ces dernières doit être tenu et mis à jours :</w:t>
      </w:r>
    </w:p>
    <w:p w:rsidR="00000000" w:rsidDel="00000000" w:rsidP="00000000" w:rsidRDefault="00000000" w:rsidRPr="00000000" w14:paraId="0000000C">
      <w:pPr>
        <w:numPr>
          <w:ilvl w:val="0"/>
          <w:numId w:val="1"/>
        </w:numPr>
        <w:spacing w:after="0" w:afterAutospacing="0" w:before="24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leur </w:t>
      </w:r>
      <w:r w:rsidDel="00000000" w:rsidR="00000000" w:rsidRPr="00000000">
        <w:rPr>
          <w:rFonts w:ascii="Calibri" w:cs="Calibri" w:eastAsia="Calibri" w:hAnsi="Calibri"/>
          <w:b w:val="1"/>
          <w:color w:val="595959"/>
          <w:sz w:val="24"/>
          <w:szCs w:val="24"/>
          <w:rtl w:val="0"/>
        </w:rPr>
        <w:t xml:space="preserve">finalité</w:t>
      </w:r>
      <w:r w:rsidDel="00000000" w:rsidR="00000000" w:rsidRPr="00000000">
        <w:rPr>
          <w:rFonts w:ascii="Calibri" w:cs="Calibri" w:eastAsia="Calibri" w:hAnsi="Calibri"/>
          <w:color w:val="595959"/>
          <w:sz w:val="24"/>
          <w:szCs w:val="24"/>
          <w:rtl w:val="0"/>
        </w:rPr>
        <w:t xml:space="preserve">, l’utilisation faite de ces données (marketing, gestion RH, mailing…)</w:t>
      </w:r>
    </w:p>
    <w:p w:rsidR="00000000" w:rsidDel="00000000" w:rsidP="00000000" w:rsidRDefault="00000000" w:rsidRPr="00000000" w14:paraId="0000000D">
      <w:pPr>
        <w:numPr>
          <w:ilvl w:val="0"/>
          <w:numId w:val="1"/>
        </w:numPr>
        <w:spacing w:after="0" w:afterAutospacing="0" w:before="0" w:beforeAutospacing="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leur </w:t>
      </w:r>
      <w:r w:rsidDel="00000000" w:rsidR="00000000" w:rsidRPr="00000000">
        <w:rPr>
          <w:rFonts w:ascii="Calibri" w:cs="Calibri" w:eastAsia="Calibri" w:hAnsi="Calibri"/>
          <w:b w:val="1"/>
          <w:color w:val="595959"/>
          <w:sz w:val="24"/>
          <w:szCs w:val="24"/>
          <w:rtl w:val="0"/>
        </w:rPr>
        <w:t xml:space="preserve">sensibilité</w:t>
      </w:r>
      <w:r w:rsidDel="00000000" w:rsidR="00000000" w:rsidRPr="00000000">
        <w:rPr>
          <w:rFonts w:ascii="Calibri" w:cs="Calibri" w:eastAsia="Calibri" w:hAnsi="Calibri"/>
          <w:color w:val="595959"/>
          <w:sz w:val="24"/>
          <w:szCs w:val="24"/>
          <w:rtl w:val="0"/>
        </w:rPr>
        <w:t xml:space="preserve"> (biométriques, politiques, ethniques…)</w:t>
      </w:r>
    </w:p>
    <w:p w:rsidR="00000000" w:rsidDel="00000000" w:rsidP="00000000" w:rsidRDefault="00000000" w:rsidRPr="00000000" w14:paraId="0000000E">
      <w:pPr>
        <w:numPr>
          <w:ilvl w:val="0"/>
          <w:numId w:val="1"/>
        </w:numPr>
        <w:spacing w:after="0" w:afterAutospacing="0" w:before="0" w:beforeAutospacing="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leur </w:t>
      </w:r>
      <w:r w:rsidDel="00000000" w:rsidR="00000000" w:rsidRPr="00000000">
        <w:rPr>
          <w:rFonts w:ascii="Calibri" w:cs="Calibri" w:eastAsia="Calibri" w:hAnsi="Calibri"/>
          <w:b w:val="1"/>
          <w:color w:val="595959"/>
          <w:sz w:val="24"/>
          <w:szCs w:val="24"/>
          <w:rtl w:val="0"/>
        </w:rPr>
        <w:t xml:space="preserve">catégorie</w:t>
      </w:r>
      <w:r w:rsidDel="00000000" w:rsidR="00000000" w:rsidRPr="00000000">
        <w:rPr>
          <w:rFonts w:ascii="Calibri" w:cs="Calibri" w:eastAsia="Calibri" w:hAnsi="Calibri"/>
          <w:color w:val="595959"/>
          <w:sz w:val="24"/>
          <w:szCs w:val="24"/>
          <w:rtl w:val="0"/>
        </w:rPr>
        <w:t xml:space="preserve"> (localisation, connexion, identité…)</w:t>
      </w:r>
    </w:p>
    <w:p w:rsidR="00000000" w:rsidDel="00000000" w:rsidP="00000000" w:rsidRDefault="00000000" w:rsidRPr="00000000" w14:paraId="0000000F">
      <w:pPr>
        <w:numPr>
          <w:ilvl w:val="0"/>
          <w:numId w:val="1"/>
        </w:numPr>
        <w:spacing w:after="0" w:afterAutospacing="0" w:before="0" w:beforeAutospacing="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les </w:t>
      </w:r>
      <w:r w:rsidDel="00000000" w:rsidR="00000000" w:rsidRPr="00000000">
        <w:rPr>
          <w:rFonts w:ascii="Calibri" w:cs="Calibri" w:eastAsia="Calibri" w:hAnsi="Calibri"/>
          <w:b w:val="1"/>
          <w:color w:val="595959"/>
          <w:sz w:val="24"/>
          <w:szCs w:val="24"/>
          <w:rtl w:val="0"/>
        </w:rPr>
        <w:t xml:space="preserve">personnes physiques ou morales qui traitent ces données</w:t>
      </w:r>
      <w:r w:rsidDel="00000000" w:rsidR="00000000" w:rsidRPr="00000000">
        <w:rPr>
          <w:rFonts w:ascii="Calibri" w:cs="Calibri" w:eastAsia="Calibri" w:hAnsi="Calibri"/>
          <w:color w:val="595959"/>
          <w:sz w:val="24"/>
          <w:szCs w:val="24"/>
          <w:rtl w:val="0"/>
        </w:rPr>
        <w:t xml:space="preserve"> (lieu d’hébergement, transfert vers des payes hors UE…)</w:t>
      </w:r>
    </w:p>
    <w:p w:rsidR="00000000" w:rsidDel="00000000" w:rsidP="00000000" w:rsidRDefault="00000000" w:rsidRPr="00000000" w14:paraId="00000010">
      <w:pPr>
        <w:numPr>
          <w:ilvl w:val="0"/>
          <w:numId w:val="1"/>
        </w:numPr>
        <w:spacing w:after="0" w:afterAutospacing="0" w:before="0" w:beforeAutospacing="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leur </w:t>
      </w:r>
      <w:r w:rsidDel="00000000" w:rsidR="00000000" w:rsidRPr="00000000">
        <w:rPr>
          <w:rFonts w:ascii="Calibri" w:cs="Calibri" w:eastAsia="Calibri" w:hAnsi="Calibri"/>
          <w:b w:val="1"/>
          <w:color w:val="595959"/>
          <w:sz w:val="24"/>
          <w:szCs w:val="24"/>
          <w:rtl w:val="0"/>
        </w:rPr>
        <w:t xml:space="preserve">durée de vie</w:t>
      </w:r>
      <w:r w:rsidDel="00000000" w:rsidR="00000000" w:rsidRPr="00000000">
        <w:rPr>
          <w:rFonts w:ascii="Calibri" w:cs="Calibri" w:eastAsia="Calibri" w:hAnsi="Calibri"/>
          <w:color w:val="595959"/>
          <w:sz w:val="24"/>
          <w:szCs w:val="24"/>
          <w:rtl w:val="0"/>
        </w:rPr>
        <w:t xml:space="preserve"> (combien de temps sont-elles conservées)</w:t>
      </w:r>
    </w:p>
    <w:p w:rsidR="00000000" w:rsidDel="00000000" w:rsidP="00000000" w:rsidRDefault="00000000" w:rsidRPr="00000000" w14:paraId="00000011">
      <w:pPr>
        <w:numPr>
          <w:ilvl w:val="0"/>
          <w:numId w:val="1"/>
        </w:numPr>
        <w:spacing w:after="240" w:before="0" w:beforeAutospacing="0" w:line="276"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leur </w:t>
      </w:r>
      <w:r w:rsidDel="00000000" w:rsidR="00000000" w:rsidRPr="00000000">
        <w:rPr>
          <w:rFonts w:ascii="Calibri" w:cs="Calibri" w:eastAsia="Calibri" w:hAnsi="Calibri"/>
          <w:b w:val="1"/>
          <w:color w:val="595959"/>
          <w:sz w:val="24"/>
          <w:szCs w:val="24"/>
          <w:rtl w:val="0"/>
        </w:rPr>
        <w:t xml:space="preserve">degré de protection</w:t>
      </w:r>
      <w:r w:rsidDel="00000000" w:rsidR="00000000" w:rsidRPr="00000000">
        <w:rPr>
          <w:rFonts w:ascii="Calibri" w:cs="Calibri" w:eastAsia="Calibri" w:hAnsi="Calibri"/>
          <w:color w:val="595959"/>
          <w:sz w:val="24"/>
          <w:szCs w:val="24"/>
          <w:rtl w:val="0"/>
        </w:rPr>
        <w:t xml:space="preserve"> (mesures de sécurité mises en place)</w:t>
      </w:r>
    </w:p>
    <w:p w:rsidR="00000000" w:rsidDel="00000000" w:rsidP="00000000" w:rsidRDefault="00000000" w:rsidRPr="00000000" w14:paraId="00000012">
      <w:pPr>
        <w:spacing w:after="200" w:line="276"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3">
      <w:pPr>
        <w:spacing w:after="200" w:line="276" w:lineRule="auto"/>
        <w:rPr>
          <w:rFonts w:ascii="Calibri" w:cs="Calibri" w:eastAsia="Calibri" w:hAnsi="Calibri"/>
          <w:color w:val="1f487c"/>
          <w:sz w:val="24"/>
          <w:szCs w:val="24"/>
        </w:rPr>
      </w:pPr>
      <w:r w:rsidDel="00000000" w:rsidR="00000000" w:rsidRPr="00000000">
        <w:rPr>
          <w:rFonts w:ascii="Calibri" w:cs="Calibri" w:eastAsia="Calibri" w:hAnsi="Calibri"/>
          <w:b w:val="1"/>
          <w:color w:val="c00000"/>
          <w:sz w:val="24"/>
          <w:szCs w:val="24"/>
          <w:rtl w:val="0"/>
        </w:rPr>
        <w:t xml:space="preserve">Un DPO (Délégué à la Protection des Données) doit être désigné, cependant, la réglementation est encore floue à propos de l'obligation pour une entreprise d'avoir un DPO dans son équipe.</w:t>
      </w:r>
      <w:r w:rsidDel="00000000" w:rsidR="00000000" w:rsidRPr="00000000">
        <w:rPr>
          <w:rtl w:val="0"/>
        </w:rPr>
      </w:r>
    </w:p>
    <w:p w:rsidR="00000000" w:rsidDel="00000000" w:rsidP="00000000" w:rsidRDefault="00000000" w:rsidRPr="00000000" w14:paraId="00000014">
      <w:pPr>
        <w:spacing w:after="200" w:line="276" w:lineRule="auto"/>
        <w:rPr>
          <w:rFonts w:ascii="Calibri" w:cs="Calibri" w:eastAsia="Calibri" w:hAnsi="Calibri"/>
          <w:color w:val="8db3e2"/>
          <w:sz w:val="24"/>
          <w:szCs w:val="24"/>
        </w:rPr>
      </w:pPr>
      <w:r w:rsidDel="00000000" w:rsidR="00000000" w:rsidRPr="00000000">
        <w:rPr>
          <w:rtl w:val="0"/>
        </w:rPr>
      </w:r>
    </w:p>
    <w:p w:rsidR="00000000" w:rsidDel="00000000" w:rsidP="00000000" w:rsidRDefault="00000000" w:rsidRPr="00000000" w14:paraId="00000015">
      <w:pPr>
        <w:spacing w:after="200" w:line="276" w:lineRule="auto"/>
        <w:rPr>
          <w:rFonts w:ascii="Calibri" w:cs="Calibri" w:eastAsia="Calibri" w:hAnsi="Calibri"/>
          <w:color w:val="8db3e2"/>
          <w:sz w:val="24"/>
          <w:szCs w:val="24"/>
        </w:rPr>
      </w:pPr>
      <w:r w:rsidDel="00000000" w:rsidR="00000000" w:rsidRPr="00000000">
        <w:rPr>
          <w:rtl w:val="0"/>
        </w:rPr>
      </w:r>
    </w:p>
    <w:p w:rsidR="00000000" w:rsidDel="00000000" w:rsidP="00000000" w:rsidRDefault="00000000" w:rsidRPr="00000000" w14:paraId="00000016">
      <w:pPr>
        <w:spacing w:after="200" w:line="276"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Aspects Financier</w:t>
      </w:r>
    </w:p>
    <w:p w:rsidR="00000000" w:rsidDel="00000000" w:rsidP="00000000" w:rsidRDefault="00000000" w:rsidRPr="00000000" w14:paraId="00000017">
      <w:pPr>
        <w:spacing w:after="200" w:line="276" w:lineRule="auto"/>
        <w:rPr>
          <w:rFonts w:ascii="Calibri" w:cs="Calibri" w:eastAsia="Calibri" w:hAnsi="Calibri"/>
          <w:color w:val="4a514e"/>
          <w:sz w:val="24"/>
          <w:szCs w:val="24"/>
        </w:rPr>
      </w:pPr>
      <w:r w:rsidDel="00000000" w:rsidR="00000000" w:rsidRPr="00000000">
        <w:rPr>
          <w:rtl w:val="0"/>
        </w:rPr>
      </w:r>
    </w:p>
    <w:p w:rsidR="00000000" w:rsidDel="00000000" w:rsidP="00000000" w:rsidRDefault="00000000" w:rsidRPr="00000000" w14:paraId="00000018">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Concernant l’exploitation d’un serveur RDS, il est nécessaire d’attribuer, aussi bien sur le serveur de production, que les clients joints au domaine, une licence d’utilisation Bureau à distance pour le serveur.</w:t>
      </w:r>
    </w:p>
    <w:p w:rsidR="00000000" w:rsidDel="00000000" w:rsidP="00000000" w:rsidRDefault="00000000" w:rsidRPr="00000000" w14:paraId="00000019">
      <w:pPr>
        <w:spacing w:after="20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A">
      <w:pPr>
        <w:spacing w:after="200" w:line="276"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La tarification des licences côté Serveur varie en fonction du nombres de coeur, pour la version 2016, il existe actuellement deux types de licences pour cette édition :</w:t>
      </w:r>
    </w:p>
    <w:p w:rsidR="00000000" w:rsidDel="00000000" w:rsidP="00000000" w:rsidRDefault="00000000" w:rsidRPr="00000000" w14:paraId="0000001B">
      <w:pPr>
        <w:numPr>
          <w:ilvl w:val="0"/>
          <w:numId w:val="2"/>
        </w:numPr>
        <w:spacing w:after="200" w:line="360" w:lineRule="auto"/>
        <w:ind w:left="720" w:hanging="360"/>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La version “RDS User Cal”, qui est au prix approximatif de 550€ pour 10 utilisateurs.</w:t>
      </w:r>
    </w:p>
    <w:p w:rsidR="00000000" w:rsidDel="00000000" w:rsidP="00000000" w:rsidRDefault="00000000" w:rsidRPr="00000000" w14:paraId="0000001C">
      <w:pPr>
        <w:spacing w:after="20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Ce mode de tarification se développe de plus en plus et se base sur l’utilisation des ressources de l’équipement accueillant le système d'exploitation.</w:t>
      </w:r>
    </w:p>
    <w:p w:rsidR="00000000" w:rsidDel="00000000" w:rsidP="00000000" w:rsidRDefault="00000000" w:rsidRPr="00000000" w14:paraId="0000001D">
      <w:pPr>
        <w:spacing w:after="20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E">
      <w:pPr>
        <w:spacing w:after="200" w:line="276"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Incidents rencontrés</w:t>
      </w:r>
    </w:p>
    <w:p w:rsidR="00000000" w:rsidDel="00000000" w:rsidP="00000000" w:rsidRDefault="00000000" w:rsidRPr="00000000" w14:paraId="0000001F">
      <w:pPr>
        <w:spacing w:after="200" w:line="276" w:lineRule="auto"/>
        <w:rPr>
          <w:rFonts w:ascii="Calibri" w:cs="Calibri" w:eastAsia="Calibri" w:hAnsi="Calibri"/>
          <w:color w:val="00b05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RAS</w:t>
      </w:r>
    </w:p>
    <w:p w:rsidR="00000000" w:rsidDel="00000000" w:rsidP="00000000" w:rsidRDefault="00000000" w:rsidRPr="00000000" w14:paraId="00000021">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