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/>
    <w:p/>
    <w:p/>
    <w:p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F3864"/>
          <w:sz w:val="52"/>
        </w:rPr>
        <w:t>淘酒馆（多乎哉）项目</w:t>
      </w:r>
    </w:p>
    <w:p>
      <w:pPr>
        <w:spacing w:after="400"/>
        <w:jc w:val="center"/>
      </w:pPr>
      <w:r>
        <w:rPr>
          <w:rFonts w:ascii="Calibri" w:hAnsi="Calibri" w:eastAsia="微软雅黑"/>
          <w:b/>
          <w:i w:val="0"/>
          <w:color w:val="1F3864"/>
          <w:sz w:val="52"/>
        </w:rPr>
        <w:t>整体技术方案</w:t>
      </w:r>
    </w:p>
    <w:p>
      <w:pPr>
        <w:spacing w:after="800"/>
        <w:jc w:val="center"/>
      </w:pPr>
      <w:r>
        <w:rPr>
          <w:rFonts w:ascii="Calibri" w:hAnsi="Calibri" w:eastAsia="微软雅黑"/>
          <w:b w:val="0"/>
          <w:i w:val="0"/>
          <w:color w:val="595959"/>
          <w:sz w:val="24"/>
        </w:rPr>
        <w:t>Physical Retail Operating System · 经营OS + 智能出液 + AI决策层 + 可信账本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sz w:val="24"/>
        </w:rPr>
        <w:t>版本：V1.0（技术方案整合稿）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sz w:val="24"/>
        </w:rPr>
        <w:t>编制日期：2026年9月26日</w:t>
      </w:r>
    </w:p>
    <w:p>
      <w:pPr>
        <w:spacing w:after="600"/>
        <w:jc w:val="center"/>
      </w:pPr>
      <w:r>
        <w:rPr>
          <w:rFonts w:ascii="Calibri" w:hAnsi="Calibri" w:eastAsia="微软雅黑"/>
          <w:b w:val="0"/>
          <w:i w:val="0"/>
          <w:sz w:val="24"/>
        </w:rPr>
        <w:t>密级：内部资料 · 仅供技术评审与项目决策使用</w:t>
      </w:r>
    </w:p>
    <w:p>
      <w:pPr>
        <w:spacing w:after="40"/>
        <w:jc w:val="center"/>
      </w:pPr>
      <w:r>
        <w:rPr>
          <w:rFonts w:ascii="Calibri" w:hAnsi="Calibri" w:eastAsia="微软雅黑"/>
          <w:b/>
          <w:i w:val="0"/>
          <w:sz w:val="21"/>
        </w:rPr>
        <w:t>编制依据：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i w:val="0"/>
          <w:sz w:val="21"/>
        </w:rPr>
        <w:t>①《多乎哉-项目计划书（老窖养生酒）0718》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i w:val="0"/>
          <w:sz w:val="21"/>
        </w:rPr>
        <w:t>②《淘酒馆 OS PRD V2.0 经营与资产化就绪版》（2026-08-23）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i w:val="0"/>
          <w:sz w:val="21"/>
        </w:rPr>
        <w:t>③《淘酒馆 数字化经营与智能硬件 技术同步总版 V3.0》（2026-09-20）</w:t>
      </w:r>
    </w:p>
    <w:p>
      <w:r>
        <w:br w:type="page"/>
      </w:r>
    </w:p>
    <w:p>
      <w:pPr>
        <w:pStyle w:val="Heading1"/>
      </w:pPr>
      <w:r>
        <w:t>一、项目概述与技术定位</w:t>
      </w:r>
    </w:p>
    <w:p>
      <w:pPr>
        <w:pStyle w:val="Heading2"/>
      </w:pPr>
      <w:r>
        <w:t>1.1 业务背景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多乎哉·淘酒馆是为泸州老窖露酒（养生酒）板块构建的直面C端经营系统，定位"中国青年情绪化即饮酒服务系统——全酒类集合店·现打酒铺·情绪第三空间"。业务采用"直营验证、加盟复制"路径：以成都为首站样板市场，3–6个月定型单店模型，12–24个月开启加盟，5年目标5,000+终端、百亿营收、冲刺"新酒饮零售第一股"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近期业务里程碑：2026年9月成都首店选址落地；2026年9–11月成都10–20家网格化布局；2026年12月重庆/深圳第二批城市启动；2027年Q1开放城市合伙人。初期投资1亿元，其中技术开发预算700万元（数字化运营中台1.0），总部核心团队38人。</w:t>
      </w:r>
    </w:p>
    <w:p>
      <w:pPr>
        <w:pStyle w:val="Heading2"/>
      </w:pPr>
      <w:r>
        <w:t>1.2 技术定位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淘酒馆OS不是POS拼装，而是一套 Physical Retail Operating System，统一管理 </w:t>
      </w:r>
      <w:r>
        <w:rPr>
          <w:rFonts w:ascii="Calibri" w:hAnsi="Calibri" w:eastAsia="微软雅黑"/>
          <w:b/>
          <w:sz w:val="21"/>
        </w:rPr>
        <w:t>People / Product / Recipe / Place / Device / Event / Money / Contract</w:t>
      </w:r>
      <w:r>
        <w:rPr>
          <w:rFonts w:ascii="Calibri" w:hAnsi="Calibri" w:eastAsia="微软雅黑"/>
          <w:b w:val="0"/>
          <w:sz w:val="21"/>
        </w:rPr>
        <w:t xml:space="preserve"> 八类经营对象。其技术本质是：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一套底座、多类终端：标准店、旗舰店、店中店、CART、快闪露营车、云店共享同一套设备与数据底座；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一条全链：Order → Recipe → Channel → Batch → Dispense → Inventory → Payment/Settlement → Ledger，"一杯酒"全程可追溯；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三层智能分工：规则（Rules）负责确定性执行，JEV类System One模型负责高频结构化决策，LLM/Vision负责复杂推理与感知；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硬件本地安全优先：物理执行必须确定、可追踪、可本地安全停止，任何外部AI不得绕过硬件安全逻辑直接控制泵阀；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经营先于金融：不做Token/NFT/订单上链，优先把真实交易、设备、财务与合同链做扎实，资产化能力分阶段启用。</w:t>
      </w:r>
    </w:p>
    <w:p>
      <w:pPr>
        <w:pStyle w:val="Heading2"/>
      </w:pPr>
      <w:r>
        <w:t>1.3 物理终端矩阵与系统边界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终端形态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面积/配置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建议Tap数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系统能力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旗舰店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150–300㎡ / 5–10人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12–24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完整POS/会员/设备/库存/AI督导/即时零售/活动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品牌高地、文化体验道场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标准店</w:t>
            </w:r>
          </w:p>
        </w:tc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40–80㎡ / 3–5人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12–24</w:t>
            </w:r>
          </w:p>
        </w:tc>
        <w:tc>
          <w:tcPr>
            <w:tcW w:type="dxa" w:w="351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完整POS/会员/设备/库存/AI督导/即时零售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盈利核心、标准化复制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店中店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10–30㎡ / 1–2人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6–12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精简POS/会员/库存/设备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低成本截流、合作场景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CART</w:t>
            </w:r>
          </w:p>
        </w:tc>
        <w:tc>
          <w:tcPr>
            <w:tcW w:type="dxa" w:w="158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移动点位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6–8</w:t>
            </w:r>
          </w:p>
        </w:tc>
        <w:tc>
          <w:tcPr>
            <w:tcW w:type="dxa" w:w="351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移动Place ID、扫码/POS、设备、位置与热力图采集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7–14天市场测试、活动快闪、低密度补点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快闪露营车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改装车/拖挂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12–16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移动经营、独立能源/水/制冷、离线缓存、活动营销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露营/音乐节/城市事件、派对套餐、品牌展示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云店</w:t>
            </w:r>
          </w:p>
        </w:tc>
        <w:tc>
          <w:tcPr>
            <w:tcW w:type="dxa" w:w="158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无物理Tap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351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即时零售、商品同步、订单路由、履约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3公里外线上触达（美团/饿了么/抖音）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首店P0范围边界（V3.0已冻结建议）：</w:t>
      </w:r>
      <w:r>
        <w:rPr>
          <w:rFonts w:ascii="Calibri" w:hAnsi="Calibri" w:eastAsia="微软雅黑"/>
          <w:b w:val="0"/>
          <w:sz w:val="21"/>
        </w:rPr>
        <w:t>首店只做标准店MVP；CART、快闪露营车不进入首店P0；不做证券化/区块链；AI自动动作首店默认Shadow或人工复核。</w:t>
      </w:r>
    </w:p>
    <w:p>
      <w:pPr>
        <w:pStyle w:val="Heading1"/>
      </w:pPr>
      <w:r>
        <w:t>二、项目模块规划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系统按"体验层—业务OS—决策层—设备/边缘层—数据与可信账本层"五层规划，另设安全合规、可观测性、AI治理三条横向能力贯穿全层。</w:t>
      </w:r>
    </w:p>
    <w:p>
      <w:pPr>
        <w:pStyle w:val="Heading2"/>
      </w:pPr>
      <w:r>
        <w:t>2.1 五层模块总览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核心模块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体验层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消费者小程序/H5、POS收银、店员端、店长端（Store Console）、加盟商门户、总部Console（HQ）、即时零售入口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人机交互与经营入口；品牌仅在前端视觉/CMF层映射，底层品牌中立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业务OS</w:t>
            </w:r>
          </w:p>
        </w:tc>
        <w:tc>
          <w:tcPr>
            <w:tcW w:type="dxa" w:w="408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组织权限、商品/Recipe、订单交易、会员增长、库存供应链、设备运营、风控工单、HR/培训/加盟、CRM/选址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确定性业务状态与流程；支付、库存、安全联锁只接受规则/代码裁决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决策层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Rules Engine、Decision Service（JEV/Model Adapter）、LLM/Copilot、Vision Adapter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高频结构化判断、复杂推理生成、视觉理解；决策全部事件化可审计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设备/边缘层</w:t>
            </w:r>
          </w:p>
        </w:tc>
        <w:tc>
          <w:tcPr>
            <w:tcW w:type="dxa" w:w="408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Smart Tap/Font、Fluid Engine（FE-L/H/C/W）、Dock、Gateway、摄像头、称重、温控、压力/流量、移动能源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物理感知与确定性执行；本地状态机+离线缓存+安全截止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数据层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Event Bus、Operational DB、Analytics/BI、Feature Store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统一事件流、经营指标、模型输入与回放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可信账本层</w:t>
            </w:r>
          </w:p>
        </w:tc>
        <w:tc>
          <w:tcPr>
            <w:tcW w:type="dxa" w:w="408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Operational Ledger、Financial Ledger、Asset Ledger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经营事实、支付结算与对账、合同/应收/证据包（审计与未来资本化）</w:t>
            </w:r>
          </w:p>
        </w:tc>
      </w:tr>
    </w:tbl>
    <w:p>
      <w:pPr>
        <w:spacing w:after="40"/>
      </w:pPr>
    </w:p>
    <w:p>
      <w:pPr>
        <w:pStyle w:val="Heading2"/>
      </w:pPr>
      <w:r>
        <w:t>2.2 体验层模块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消费者端：</w:t>
      </w:r>
      <w:r>
        <w:rPr>
          <w:rFonts w:ascii="Calibri" w:hAnsi="Calibri" w:eastAsia="微软雅黑"/>
        </w:rPr>
        <w:t>消费者小程序/H5：菜单下单、微信/支付宝支付、会员钱包（券/余额/礼品券）、Taste偏好、集卡成就（配方卡/情绪卡）、裂变邀请、AI人格测试与推荐、微醺值/微醺日记；APP双端为后续预留。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POS收银：</w:t>
      </w:r>
      <w:r>
        <w:rPr>
          <w:rFonts w:ascii="Calibri" w:hAnsi="Calibri" w:eastAsia="微软雅黑"/>
        </w:rPr>
        <w:t>门店下单与退款、现金/扫码、年龄与权限校验硬规则、交接班、异常队列处理；出酒授权低延迟。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店员端：</w:t>
      </w:r>
      <w:r>
        <w:rPr>
          <w:rFonts w:ascii="Calibri" w:hAnsi="Calibri" w:eastAsia="微软雅黑"/>
        </w:rPr>
        <w:t>库存盘点与ml调整、换桶/换袋（BATCH_BIND）、清洗（Cleaning）、校准（Calibration）、工单执行与证据回传、每日开/闭档28项SOP。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店长端：</w:t>
      </w:r>
      <w:r>
        <w:rPr>
          <w:rFonts w:ascii="Calibri" w:hAnsi="Calibri" w:eastAsia="微软雅黑"/>
        </w:rPr>
        <w:t>GMV/订单/杯数/客单/损耗/库存/新客/复购/异常看板；审批（退款、补单、库存调整）。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加盟商门户：</w:t>
      </w:r>
      <w:r>
        <w:rPr>
          <w:rFonts w:ascii="Calibri" w:hAnsi="Calibri" w:eastAsia="微软雅黑"/>
        </w:rPr>
        <w:t>经营、库存、设备、活动、工单、培训、总部任务；总部对加盟店采用事件+证据管理而非大规模人工督导。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总部Console：</w:t>
      </w:r>
      <w:r>
        <w:rPr>
          <w:rFonts w:ascii="Calibri" w:hAnsi="Calibri" w:eastAsia="微软雅黑"/>
        </w:rPr>
        <w:t>商品/配方/价格版本管理、组织与RBAC、加盟合同与费率、营销Campaign/KOC/二维码归因、全国/城市经营驾驶舱、财务对账、资本化指标（仅内部）。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即时零售：</w:t>
      </w:r>
      <w:r>
        <w:rPr>
          <w:rFonts w:ascii="Calibri" w:hAnsi="Calibri" w:eastAsia="微软雅黑"/>
        </w:rPr>
        <w:t>美团/饿了么/抖音本地生活：保留平台订单ID、实付、费用与结算批次映射；订单路由至就近门店履约。</w:t>
      </w:r>
    </w:p>
    <w:p>
      <w:pPr>
        <w:pStyle w:val="Heading2"/>
      </w:pPr>
      <w:r>
        <w:t>2.3 业务OS模块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业务域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关键能力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组织/权限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LegalEntity, Organization, Region, Store/Place, Staff, Role, Scope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总部—城市—门店多级RBAC；人员属店、总部统管权限/培训/排班/绩效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商品/配方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Ingredient, FluidComponent, Batch, Recipe, SKU, Menu, PriceRule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Ingredient→Batch→Recipe→SKU四层模型；库存ml最小单位；配方与物理Channel解耦、版本化（effective_from/to）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交易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Order, OrderItem, Payment, Refund, Settlement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订单状态机（不覆盖删除）；支付回调驱动；退款/撤销独立事件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用户/增长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User, TasteProfile, UserTag, Coupon, Campaign, Referral, KOC, Attribution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统一User ID与唯一Source ID归因；事件驱动营销（新客首杯、72h召回、7日召回、消费5次、节气新品）；核心指标New Buyer/CAC/30D·90D GMV/LTV/复购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库存/供应链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Batch, Container, Inventory, InventoryEvent, Purchase, Transfer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基于幂等DispenseEvent扣减；理论vs实际差异校验；Adjustment事件纠错，禁止静默覆盖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设备运营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Gateway, FluidEngine, Channel, Tap, Sensor, Calibration, Firmware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换桶Batch→Component→Channel绑定写Audit Log；设备监控、清洗、校准、OTA、唯一身份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运营风控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RiskEvent, WorkOrder, Inspection, CleaningEvent, StoreHealthScore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Sense→Normalize→Decide→RiskEvent→WorkOrder→Correct→Verify→Learn闭环；SLA管理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HR/培训/加盟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Employee, Certification, TrainingRecord, Franchisee, Contract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品牌/产品/设备/食品安全/SOP/数字工具认证；新品或固件变化触发再培训；加盟商全周期扶持线上化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CRM/选址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User, TasteProfile, Heatmap, SiteScore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热力图数据源：到店、配送地址、CART/快闪订单、活动报名、裂变来源、时段品类；CART作7–14天低成本Market Probe；Site Score保留可解释业务公式</w:t>
            </w:r>
          </w:p>
        </w:tc>
      </w:tr>
    </w:tbl>
    <w:p>
      <w:pPr>
        <w:spacing w:after="40"/>
      </w:pPr>
    </w:p>
    <w:p>
      <w:pPr>
        <w:pStyle w:val="Heading2"/>
      </w:pPr>
      <w:r>
        <w:t>2.4 决策层（Decision Layer）模块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智能类型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禁止/限制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确定性规则/代码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必须正确且可验证的动作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支付、库存记账、安全联锁、年龄/权限硬规则、设备截止、日终对账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不得由概率模型替代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JEV / System One决策模型（经Adapter）</w:t>
            </w:r>
          </w:p>
        </w:tc>
        <w:tc>
          <w:tcPr>
            <w:tcW w:type="dxa" w:w="181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快速结构化判断、评分、分类、路由、验证</w:t>
            </w:r>
          </w:p>
        </w:tc>
        <w:tc>
          <w:tcPr>
            <w:tcW w:type="dxa" w:w="408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门店异常分级、损耗异常分类、AI督导归一、工单路由、Health Score解释、Next Best Action、SKU/Recipe候选排序、LLM输出Guardrail</w:t>
            </w:r>
          </w:p>
        </w:tc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不直接驱动泵阀；Early Access须Adapter隔离、timeout/fallback/quota/降级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LLM / Copilot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复杂理解、解释、总结、规划、生成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经营诊断、SOP问答、报告生成、营销内容、复杂异常分析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不承担高频实时判断；输出经规则/Guardrail校验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Vision Model</w:t>
            </w:r>
          </w:p>
        </w:tc>
        <w:tc>
          <w:tcPr>
            <w:tcW w:type="dxa" w:w="181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视频/图像理解</w:t>
            </w:r>
          </w:p>
        </w:tc>
        <w:tc>
          <w:tcPr>
            <w:tcW w:type="dxa" w:w="408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巡店、卫生、人员/场景识别、货架/设备状态</w:t>
            </w:r>
          </w:p>
        </w:tc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结果先结构化为VisionEvent再入决策层；不直接上传长视频给外部模型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Calibri" w:hAnsi="Calibri" w:eastAsia="微软雅黑"/>
        </w:rPr>
        <w:t>Decision Service统一收口：应用代码不得散落调用任何模型SDK；接口含 decide / health / estimateCost / getCapabilities / fallback。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决策可审计对象：DecisionRequest、DecisionEvent（provider、model_version、概率、置信度、阈值结果、延迟、成本、人工override）、ThresholdPolicy、HumanReview、ModelPolicy。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试点三决策（低安全风险、高价值）：RiskEvent优先级、WorkOrder路由、库存/损耗异常分类；先建500–1,000条人工复核样本，Rules/JEV/LLM对照评估。</w:t>
      </w:r>
    </w:p>
    <w:p>
      <w:pPr>
        <w:pStyle w:val="Heading2"/>
      </w:pPr>
      <w:r>
        <w:t>2.5 设备/边缘层模块（Smart Tap / Fluid Architecture V2.0）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基线要点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Smart Tap / Font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前台统一出液口、状态提示；可选杯检/按键/小显示，后续扩展Load Cell/ToF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前台只暴露最少必要部件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FE-L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0–25°母液/果汁/草本/无醇/低度液体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优先蠕动/隔膜泵（Kamoer/Lead Fluid/国产双源）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FE-H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25–53°基酒/高度酒通道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耐乙醇材料（须提交Wetted Parts List，0–53%相容性说明）、密封防漏、独立安全验证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FE-C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啤酒/Highball/碳酸通道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KEG + CO₂/N₂ + 冷却 + 压力/流量控制（Micro Matic/Amed候选）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FE-W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净水/冰水/气泡水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稀释、Recipe基础液与CIP清洗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Dock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台下设备舱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承载FE、冷却、BIB/KEG、水/废液、电源、快拆维修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Gateway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本地总线、状态机、缓存、OTA、安全联网、设备证据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RS485优先/CAN可选；MQTT+HTTPS/TLS上云；缓存≥10,000事件；仅执行已授权未过期任务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移动能源/环境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48V LiFePO4（基础10–15kWh+5kWh扩展，预留25–30kWh）、约6kW双向逆变、220V岸电优先、1.2–1.8kWp光伏辅助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半封闭恒温工作舱；负载分级，低电优先保障交易/冷链/安全；EnergyEvent记录SOC/功率/岸电/光伏/负载</w:t>
            </w:r>
          </w:p>
        </w:tc>
      </w:tr>
    </w:tbl>
    <w:p>
      <w:pPr>
        <w:spacing w:after="40"/>
      </w:pPr>
    </w:p>
    <w:p>
      <w:pPr>
        <w:pStyle w:val="Heading2"/>
      </w:pPr>
      <w:r>
        <w:t>2.6 数据与可信账本模块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数据平台：</w:t>
      </w:r>
      <w:r>
        <w:rPr>
          <w:rFonts w:ascii="Calibri" w:hAnsi="Calibri" w:eastAsia="微软雅黑"/>
        </w:rPr>
        <w:t>Event Bus（统一事件总线）、Operational DB（幂等+事务边界）、Analytics/BI（总部实时报表延迟≤15分钟）、Feature Store（模型特征与回放）。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Operational Ledger：</w:t>
      </w:r>
      <w:r>
        <w:rPr>
          <w:rFonts w:ascii="Calibri" w:hAnsi="Calibri" w:eastAsia="微软雅黑"/>
        </w:rPr>
        <w:t>订单、出液、库存、会员行为、设备、营销、工单事实；Append-only，Reversal/Correction/Adjustment纠错。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Financial Ledger：</w:t>
      </w:r>
      <w:r>
        <w:rPr>
          <w:rFonts w:ascii="Calibri" w:hAnsi="Calibri" w:eastAsia="微软雅黑"/>
        </w:rPr>
        <w:t>Payment → Settlement → Bank Receipt → Accounting Entry；每日对账，差异不自动抹平，生成Reconciliation Exception并闭环；预留ERP/总账接口。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Asset Ledger：</w:t>
      </w:r>
      <w:r>
        <w:rPr>
          <w:rFonts w:ascii="Calibri" w:hAnsi="Calibri" w:eastAsia="微软雅黑"/>
        </w:rPr>
        <w:t>LegalEntity、ContractVersion、Receivable（引用contract_id+version+计费期间，禁止用当前费率重算历史）、EvidenceBundle（L1法律/L2财务/L3经营/L4物理/L5审计五层证据，快照Hash）、AssetPoolSnapshot。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资产化就绪（分阶段启用）：</w:t>
      </w:r>
      <w:r>
        <w:rPr>
          <w:rFonts w:ascii="Calibri" w:hAnsi="Calibri" w:eastAsia="微软雅黑"/>
        </w:rPr>
        <w:t>Eligibility规则、Pool Snapshot、集中度、Vintage、现金流历史、数据质量、Data Room脱敏导出（记录export_id/导出人/版本）。</w:t>
      </w:r>
    </w:p>
    <w:p>
      <w:pPr>
        <w:pStyle w:val="Heading2"/>
      </w:pPr>
      <w:r>
        <w:t>2.7 核心交易与出液闭环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</w:tcPr>
          <w:p>
            <w:pPr>
              <w:spacing w:after="20" w:before="20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用户下单 → Order(+Source/User) → Payment授权/完成 → DISPENSE_AUTHORIZE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Recipe → Fluid Plan → Place级 Channel Mapping（Recipe不绑定物理Tap）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Dispense Job（只描述目标与允许范围）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Smart Tap / Fluid Engine 确定性执行（Gateway本地状态机+安全联锁）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Dispense Event（target/actual、Batch、校准、固件hash、时序、错误、设备证据）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Inventory Event 幂等扣减（异常入Exception Queue，Adjustment补正）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Order Completed → 会员/Taste更新 → 营销归因 → Analytics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日终 Payment/Bank/Order 对账 → 合同规则计算 Royalty/供货/系统费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→ Settlement / Receivable（满足合同与业务规则后生成）→ Evidence Bundle</w:t>
            </w:r>
          </w:p>
        </w:tc>
      </w:tr>
    </w:tbl>
    <w:p>
      <w:pPr>
        <w:spacing w:after="40"/>
      </w:pPr>
    </w:p>
    <w:p>
      <w:pPr>
        <w:pStyle w:val="Heading2"/>
      </w:pPr>
      <w:r>
        <w:t>2.8 外部系统集成边界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外部系统</w:t>
            </w:r>
          </w:p>
        </w:tc>
        <w:tc>
          <w:tcPr>
            <w:tcW w:type="dxa" w:w="759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集成策略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微信/支付宝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支付与退款；provider_ref必留；支付回调驱动状态</w:t>
            </w:r>
          </w:p>
        </w:tc>
      </w:tr>
      <w:tr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美团/饿了么/抖音</w:t>
            </w:r>
          </w:p>
        </w:tc>
        <w:tc>
          <w:tcPr>
            <w:tcW w:type="dxa" w:w="759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平台订单ID、实付、费用、结算批次映射；订单路由履约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企业微信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会员/社群触达，不作为财务事实源</w:t>
            </w:r>
          </w:p>
        </w:tc>
      </w:tr>
      <w:tr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银行/支付机构对账单</w:t>
            </w:r>
          </w:p>
        </w:tc>
        <w:tc>
          <w:tcPr>
            <w:tcW w:type="dxa" w:w="759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文件/API导入，生成ReconciliationRecord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ERP/会计系统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V1.5起预留总账/凭证接口；财务账本不替代法定会计系统</w:t>
            </w:r>
          </w:p>
        </w:tc>
      </w:tr>
      <w:tr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电子签/合同系统</w:t>
            </w:r>
          </w:p>
        </w:tc>
        <w:tc>
          <w:tcPr>
            <w:tcW w:type="dxa" w:w="759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后续接入；contract_id保持淘酒馆内部主键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Smart Tap设备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Device API/事件流；设备事件只写可信交易层；开放协议、禁止绑定供应商SaaS</w:t>
            </w:r>
          </w:p>
        </w:tc>
      </w:tr>
    </w:tbl>
    <w:p>
      <w:pPr>
        <w:spacing w:after="40"/>
      </w:pPr>
    </w:p>
    <w:p>
      <w:pPr>
        <w:pStyle w:val="Heading1"/>
      </w:pPr>
      <w:r>
        <w:t>三、总体技术架构</w:t>
      </w:r>
    </w:p>
    <w:p>
      <w:pPr>
        <w:pStyle w:val="Heading2"/>
      </w:pPr>
      <w:r>
        <w:t>3.1 五层逻辑架构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</w:tcPr>
          <w:p>
            <w:pPr>
              <w:spacing w:after="20" w:before="20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体验层  消费者小程序/H5 · POS · 店员/店长端 · 加盟商门户 · 总部Console · 即时零售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业务OS  组织权限 │ 商品配方 │ 订单交易 │ 会员增长 │ 库存供应链 │ 设备运营 │ 风控工单 │ HR培训加盟 │ CRM选址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决策层  Rules Engine(确定性) │ Decision Service + JEV/Model Adapter │ LLM/Copilot │ Vision Adapter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边缘层  Smart Tap/Font │ FE-L │ FE-H │ FE-C │ FE-W │ Dock │ Gateway │ 摄像头/称重/温控/能源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        本地：RS485/CAN + 本地状态机 + ≥10k事件缓存 + 安全截止        云端：MQTT + HTTPS/TLS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数据层   Event Bus · Operational DB · Analytics/BI · Feature Store                   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│ 账本层   Operational Ledger │ Financial Ledger │ Asset Ledger（合同/应收/证据/资产池）       │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横向贯穿：安全合规（RBAC/审计/设备身份/加密/酒精售卖合规） · 可观测性 · AI治理（阈值/人工复核/降级）</w:t>
            </w:r>
          </w:p>
        </w:tc>
      </w:tr>
    </w:tbl>
    <w:p>
      <w:pPr>
        <w:spacing w:after="40"/>
      </w:pPr>
    </w:p>
    <w:p>
      <w:pPr>
        <w:pStyle w:val="Heading2"/>
      </w:pPr>
      <w:r>
        <w:t>3.2 通信协议 V0.4（设备链路）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16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基线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本地链路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RS485优先 / CAN可选；Tap/FE/Gateway唯一地址与唯一设备凭据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云端链路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MQTT + HTTPS/TLS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命令集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DISPENSE_AUTHORIZE / START / STOP / CLEAN / CALIBRATE / BIND_BATCH / LOCK / GET_STATUS / OTA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通用字段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message_id, protocol_version, timestamp, local_sequence, clock_status, payload_hash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可靠性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ACK、message_id+idempotency_key幂等（库存只扣一次）、缓存、local_sequence补传、超时、本地状态机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离线策略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仅执行已授权且未过期任务；断网/模型故障不影响已授权安全执行；危险状态本地截止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设备证据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firmware_hash, calibration_id, payload_hash, device_signature(P1), clock_status, offline_flag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AI边界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设备协议不直接调用JEV/LLM；AI决策经OS Decision Service，下发的仍是受约束业务命令</w:t>
            </w:r>
          </w:p>
        </w:tc>
      </w:tr>
    </w:tbl>
    <w:p>
      <w:pPr>
        <w:spacing w:after="40"/>
      </w:pPr>
    </w:p>
    <w:p>
      <w:pPr>
        <w:pStyle w:val="Heading2"/>
      </w:pPr>
      <w:r>
        <w:t>3.3 事件数据标准 V3.0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725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DispenseEvent V1.4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次真实物理出液事实；关联event_id/job_id/order/order_item/place/tap/engine/recipe/sku；计量target/actual/error_pct/calibration_id/weight(P1)；通道channel/component/batch；设备证据；时间四戳（started/ended/gateway_received/cloud_received）；库存theoretical_before/delta/after/actual_snapshot/variance</w:t>
            </w:r>
          </w:p>
        </w:tc>
      </w:tr>
      <w:tr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DecisionEvent V0.1</w:t>
            </w:r>
          </w:p>
        </w:tc>
        <w:tc>
          <w:tcPr>
            <w:tcW w:type="dxa" w:w="725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一次AI/规则结构化判断；decision_type、provider(RULES/JEV/LLM)、model_version、input_snapshot_ref、typed_output、probabilities、confidence、threshold_policy_id、action(AUTO/REVIEW/NO_ACTION)、latency/cost、human_override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VisionEvent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视觉模型抽取的结构化事实，不直接等于风险结论</w:t>
            </w:r>
          </w:p>
        </w:tc>
      </w:tr>
      <w:tr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RiskEvent / WorkOrderEvent</w:t>
            </w:r>
          </w:p>
        </w:tc>
        <w:tc>
          <w:tcPr>
            <w:tcW w:type="dxa" w:w="725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归一后的经营风险；派单/接单/整改/超时/复核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CleaningEvent / InventoryEvent / EnergyEvent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清洗事实；入库/转移/出液扣减/盘点/调整；移动终端SOC/功率/岸电/光伏/关键负载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 w:val="0"/>
          <w:i w:val="0"/>
          <w:sz w:val="19"/>
        </w:rPr>
        <w:t>事件治理原则：原始事件不物理覆盖；纠错一律采用Correction/Adjustment/Reversal；时间双轨（业务发生时间+服务器接收时间），UTC存储、业务时区展示。</w:t>
      </w:r>
    </w:p>
    <w:p>
      <w:pPr>
        <w:pStyle w:val="Heading2"/>
      </w:pPr>
      <w:r>
        <w:t>3.4 非功能性指标与产品Gate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16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可用性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核心交易≥99.9%；门店断网受控离线营业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性能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消费者下单主接口≤2s；出酒授权低延迟；总部实时报表延迟≤15分钟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计量精度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单次定量≤±2%；累计误差≤3%；10,000次耐久；安全停止/断网/断电测试通过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数据完整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Dispense Event完整率≥99.5%且异常可解释；订单识别率≥98%；会员订单识别率≥90%；酒液库存误差≤3%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对账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支付订单对账率≥99.9%；银行/结算差异100%进入异常队列并闭环；人工调整留痕率100%</w:t>
            </w:r>
          </w:p>
        </w:tc>
      </w:tr>
      <w:tr>
        <w:tc>
          <w:tcPr>
            <w:tcW w:type="dxa" w:w="147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一致性/审计</w:t>
            </w:r>
          </w:p>
        </w:tc>
        <w:tc>
          <w:tcPr>
            <w:tcW w:type="dxa" w:w="81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关键写入幂等+事务边界；Append-only；价格/退款/补单/库存/合同/Receivable调整全留痕；PITR备份恢复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安全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TLS、密钥管理、最小权限分层、敏感字段加密/脱敏、RBAC/Scope、设备身份、OTA签名、PII最小化</w:t>
            </w:r>
          </w:p>
        </w:tc>
      </w:tr>
    </w:tbl>
    <w:p>
      <w:pPr>
        <w:spacing w:after="40"/>
      </w:pPr>
    </w:p>
    <w:p>
      <w:pPr>
        <w:pStyle w:val="Heading2"/>
      </w:pPr>
      <w:r>
        <w:t>3.5 安全、隐私与AI治理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支付、酒精售卖合规、设备安全、库存账务不得依赖概率模型作最终裁决；涉及处罚/食品安全停业/危险动作保留规则与人工硬门槛。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个人数据最小化：送外部模型的state仅含当前决策所需字段，敏感标识tokenize/伪名化；视频先结构化再决策。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所有自动化设置auto-action threshold；低置信度进Human Review；记录模型版本、阈值版本与人工override。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外部模型必须可降级（timeout/fallback/quota/供应商宕机策略）；JEV/LLM不得成为门店无法营业的单点。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AI督导只判断经营事件与流程风险，不评价员工人格、态度等主观品质。</w:t>
      </w:r>
    </w:p>
    <w:p>
      <w:pPr>
        <w:pStyle w:val="Heading2"/>
      </w:pPr>
      <w:r>
        <w:t>3.6 技术选型建议（待架构评审冻结）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源文件未指定具体技术栈，以下为与上述架构相匹配的建议选型，原则：成熟优先、供应商可替换、团队可招聘。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建议选型（可替换）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后端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模块化单体优先（Java/Kotlin Spring 或 Go），按业务域拆模块；加盟扩张期再拆微服务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小团队先保交付与事务边界，避免过早微服务化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数据存储</w:t>
            </w:r>
          </w:p>
        </w:tc>
        <w:tc>
          <w:tcPr>
            <w:tcW w:type="dxa" w:w="430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PostgreSQL（主库+版本化/审计）、Redis（缓存/幂等）、对象存储（证据/快照）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Append-only通过事件表+签名实现，不引入区块链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消息/流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Kafka或云MQ（Event Bus、MQTT Broker）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事件驱动、补传、回放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前端</w:t>
            </w:r>
          </w:p>
        </w:tc>
        <w:tc>
          <w:tcPr>
            <w:tcW w:type="dxa" w:w="430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微信小程序+uni-app/Taro（H5同源）；POS与Console用Vue/React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一套人力覆盖多端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边缘Gateway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工业级网关（Linux）或MCU+RTOS双方案；C/Rust固件；OTA签名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本地状态机、RS485/CAN、≥10k缓存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</w:t>
            </w:r>
          </w:p>
        </w:tc>
        <w:tc>
          <w:tcPr>
            <w:tcW w:type="dxa" w:w="430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统一Decision Service（Python/Go Adapter）；JEV经供应商API；LLM/Vision接国内主流商用模型+自托管备选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Adapter隔离、配额与降级；评测集驱动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云/部署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国内主流公有云（成都region）+门店网关；V1托管为主，预留私有化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加盟门店零运维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可观测/DevOps</w:t>
            </w:r>
          </w:p>
        </w:tc>
        <w:tc>
          <w:tcPr>
            <w:tcW w:type="dxa" w:w="430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日志/指标/链路三件套、CI/CD、IaC、灰度发布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现场Pilot可远程诊断</w:t>
            </w:r>
          </w:p>
        </w:tc>
      </w:tr>
    </w:tbl>
    <w:p>
      <w:pPr>
        <w:spacing w:after="40"/>
      </w:pPr>
    </w:p>
    <w:p>
      <w:pPr>
        <w:pStyle w:val="Heading2"/>
      </w:pPr>
      <w:r>
        <w:t>3.7 必须冻结的架构决策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决策1：</w:t>
      </w:r>
      <w:r>
        <w:rPr>
          <w:rFonts w:ascii="Calibri" w:hAnsi="Calibri" w:eastAsia="微软雅黑"/>
        </w:rPr>
        <w:t>品牌中立：底层系统与硬件工程只称"淘酒馆"，品牌不进入核心Schema或协议命名。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决策2：</w:t>
      </w:r>
      <w:r>
        <w:rPr>
          <w:rFonts w:ascii="Calibri" w:hAnsi="Calibri" w:eastAsia="微软雅黑"/>
        </w:rPr>
        <w:t>事件驱动：交易、设备、AI、工单、库存全部事件留痕，Append-only可审计。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决策3：</w:t>
      </w:r>
      <w:r>
        <w:rPr>
          <w:rFonts w:ascii="Calibri" w:hAnsi="Calibri" w:eastAsia="微软雅黑"/>
        </w:rPr>
        <w:t>Recipe与Channel解耦：配方跨终端复用，Place维护FluidComponent→Channel映射。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决策4：</w:t>
      </w:r>
      <w:r>
        <w:rPr>
          <w:rFonts w:ascii="Calibri" w:hAnsi="Calibri" w:eastAsia="微软雅黑"/>
        </w:rPr>
        <w:t>AI分层：规则负责确定性；JEV类负责System One决策；LLM负责生成/推理；Vision负责感知。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决策5：</w:t>
      </w:r>
      <w:r>
        <w:rPr>
          <w:rFonts w:ascii="Calibri" w:hAnsi="Calibri" w:eastAsia="微软雅黑"/>
        </w:rPr>
        <w:t>AI Adapter：任何外部模型不得散落进业务代码。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决策6：</w:t>
      </w:r>
      <w:r>
        <w:rPr>
          <w:rFonts w:ascii="Calibri" w:hAnsi="Calibri" w:eastAsia="微软雅黑"/>
        </w:rPr>
        <w:t>硬件本地安全：断网/模型故障不影响已授权安全执行，危险状态本地截止。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决策7：</w:t>
      </w:r>
      <w:r>
        <w:rPr>
          <w:rFonts w:ascii="Calibri" w:hAnsi="Calibri" w:eastAsia="微软雅黑"/>
        </w:rPr>
        <w:t>供应商可替换：协议、数据、设备身份、事件字典、核心软件与专有结构掌握在淘酒馆侧。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决策8：</w:t>
      </w:r>
      <w:r>
        <w:rPr>
          <w:rFonts w:ascii="Calibri" w:hAnsi="Calibri" w:eastAsia="微软雅黑"/>
        </w:rPr>
        <w:t>可信经营：不做噱头式上链；先把真实交易、设备、财务与合同链做扎实。</w:t>
      </w:r>
    </w:p>
    <w:p>
      <w:pPr>
        <w:pStyle w:val="Heading1"/>
      </w:pPr>
      <w:r>
        <w:t>四、技术实施方案：模块实现先后顺序</w:t>
      </w:r>
    </w:p>
    <w:p>
      <w:pPr>
        <w:pStyle w:val="Heading2"/>
      </w:pPr>
      <w:r>
        <w:t>4.1 实施总策略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按"底座先行 → 软件闭环 → 硬件闭环 → 首店MVP → 运营自动化 → 移动扩展 → 资产化"的顺序推进；软件、硬件液路、供应商RFQ三条泳道并行，关键路径在硬件（样机→Fluid Lab→EVT→量产）。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P0 开工底座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不具备则无法开发/无法开门店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统一ID/Identity、核心Schema与事件字典、Place/组织权限、Recipe/Channel解耦、Decision Service接口、协议V0.4冻结、供应商RFQ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P1 首店MVP</w:t>
            </w:r>
          </w:p>
        </w:tc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标准店可营业、可追溯</w:t>
            </w:r>
          </w:p>
        </w:tc>
        <w:tc>
          <w:tcPr>
            <w:tcW w:type="dxa" w:w="589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商品/配方/订单/支付、ml库存、Dispense模拟器→真机闭环、Gateway、小程序/POS、会员、设备监控、清洗/校准、基础BI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P2 经营可信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30天Pilot通过后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Append-only可信账本、支付/银行对账、设备证据、RiskEvent/WorkOrder、AI督导基础、JEV Shadow Mode、合同主数据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P3 网格与跨城</w:t>
            </w:r>
          </w:p>
        </w:tc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10–50店、加盟试点</w:t>
            </w:r>
          </w:p>
        </w:tc>
        <w:tc>
          <w:tcPr>
            <w:tcW w:type="dxa" w:w="589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CART接入、热力图、营销归因、加盟商门户、培训认证、加盟合同版本/Royalty、Receivable、Evidence Bundle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P4 移动与资产化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移动经营与资本化准备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露营车能源/环境、离线压测、Eligibility/Pool Snapshot/Vintage/Data Room；V4再接ABS/WBS外部结构</w:t>
            </w:r>
          </w:p>
        </w:tc>
      </w:tr>
      <w:tr>
        <w:tc>
          <w:tcPr>
            <w:tcW w:type="dxa" w:w="136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明确不做</w:t>
            </w:r>
          </w:p>
        </w:tc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V1/V2禁止项</w:t>
            </w:r>
          </w:p>
        </w:tc>
        <w:tc>
          <w:tcPr>
            <w:tcW w:type="dxa" w:w="589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Token/NFT/订单上链、自动判定法律资产属性、AI直接控泵阀、把融资结构写进经营核心、储值当企业资产、未来订单预测生成应收</w:t>
            </w:r>
          </w:p>
        </w:tc>
      </w:tr>
    </w:tbl>
    <w:p>
      <w:pPr>
        <w:spacing w:after="40"/>
      </w:pPr>
    </w:p>
    <w:p>
      <w:pPr>
        <w:pStyle w:val="Heading2"/>
      </w:pPr>
      <w:r>
        <w:t>4.2 Sprint 0–6 实施计划（每Sprint 3–6周）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准出条件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S0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架构基线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3–4周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统一Schema/Event/Identity；Place、Recipe/Channel；Decision Service接口；协议V0.4与事件字典冻结；启动Micro Matic/Amed/Kamoer/Lead Fluid/国产IoT/车体厂统一RFQ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Architecture Baseline；9个核心对象Schema冻结；RFQ包发出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架构评审通过；核心Schema冻结；供应商技术交流排期确认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S1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软件闭环</w:t>
            </w:r>
          </w:p>
        </w:tc>
        <w:tc>
          <w:tcPr>
            <w:tcW w:type="dxa" w:w="107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4–5周</w:t>
            </w:r>
          </w:p>
        </w:tc>
        <w:tc>
          <w:tcPr>
            <w:tcW w:type="dxa" w:w="36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商品/Recipe、订单、支付、ml库存；Dispense模拟器与Gateway mock；小程序最小下单链路</w:t>
            </w:r>
          </w:p>
        </w:tc>
        <w:tc>
          <w:tcPr>
            <w:tcW w:type="dxa" w:w="187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软件闭环（模拟器全链路）</w:t>
            </w:r>
          </w:p>
        </w:tc>
        <w:tc>
          <w:tcPr>
            <w:tcW w:type="dxa" w:w="19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下单→模拟出液→扣库存→支付→BI Demo跑通；幂等/退款验证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S2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硬件闭环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5–6周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（与S1后段并行）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搭建8路Fluid Lab；真实泵阀/计量接入；协议V0.4落地；DispenseEvent V1.4；校准流程；FE-H耐乙醇介质寿命测试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硬件闭环（Fluid Lab）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单次定量≤±2%、累计≤3%初步达标；安全停止/断网/断电通过；开放协议验证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S3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首店MVP</w:t>
            </w:r>
          </w:p>
        </w:tc>
        <w:tc>
          <w:tcPr>
            <w:tcW w:type="dxa" w:w="107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5–6周</w:t>
            </w:r>
          </w:p>
        </w:tc>
        <w:tc>
          <w:tcPr>
            <w:tcW w:type="dxa" w:w="36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小程序/POS、会员、设备监控、Cleaning/Calibration；成都首店设备进场、集成调试；安全/RBAC/备份</w:t>
            </w:r>
          </w:p>
        </w:tc>
        <w:tc>
          <w:tcPr>
            <w:tcW w:type="dxa" w:w="187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首店MVP + 30天Pilot</w:t>
            </w:r>
          </w:p>
        </w:tc>
        <w:tc>
          <w:tcPr>
            <w:tcW w:type="dxa" w:w="19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OS Gate（核心链路30天稳定）、Hardware Gate、Security Gate通过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S4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运营自动化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4–5周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RiskEvent/WorkOrder、AI督导基础（Vision结构化）、JEV Shadow Mode（3决策+标注集）、LLM Copilot试点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运营自动化MVP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Workflow Gate闭环；AI Decision Gate离线评测（准确率/校准/延迟/成本/一致性）达标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S5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移动测试</w:t>
            </w:r>
          </w:p>
        </w:tc>
        <w:tc>
          <w:tcPr>
            <w:tcW w:type="dxa" w:w="107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3–4周</w:t>
            </w:r>
          </w:p>
        </w:tc>
        <w:tc>
          <w:tcPr>
            <w:tcW w:type="dxa" w:w="36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CART接入（移动Place ID/扫码/位置）、热力图、Campaign/Referral唯一Source ID归因</w:t>
            </w:r>
          </w:p>
        </w:tc>
        <w:tc>
          <w:tcPr>
            <w:tcW w:type="dxa" w:w="187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移动市场测试能力</w:t>
            </w:r>
          </w:p>
        </w:tc>
        <w:tc>
          <w:tcPr>
            <w:tcW w:type="dxa" w:w="19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CART 7–14天Market Probe数据回流完整；选址报表可用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S6</w:t>
            </w:r>
          </w:p>
          <w:p>
            <w:pPr>
              <w:spacing w:after="20" w:before="0"/>
            </w:pPr>
            <w:r>
              <w:rPr>
                <w:rFonts w:ascii="Calibri" w:hAnsi="Calibri" w:eastAsia="微软雅黑"/>
                <w:b w:val="0"/>
                <w:sz w:val="17"/>
              </w:rPr>
              <w:t>移动经营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4–6周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快闪露营车能源/设备接入、EnergyEvent、离线缓存补传；成都夏季开窗工况空调/冷链压测</w:t>
            </w:r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移动经营闭环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Mobile Gate：岸电/电池/空调/冷链/网络真实营业压力测试通过</w:t>
            </w:r>
          </w:p>
        </w:tc>
      </w:tr>
    </w:tbl>
    <w:p>
      <w:pPr>
        <w:spacing w:after="40"/>
      </w:pPr>
    </w:p>
    <w:p>
      <w:pPr>
        <w:pStyle w:val="Heading2"/>
      </w:pPr>
      <w:r>
        <w:t>4.3 中长期版本路线（与PRD V2.0对齐）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门店/业务状态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必须上线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明确不做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0–3月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1–3家直营店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商品/配方/POS/会员/ml库存/Tap事件/基础BI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资产池、区块链、复杂应收</w:t>
            </w:r>
          </w:p>
        </w:tc>
      </w:tr>
      <w:tr>
        <w:tc>
          <w:tcPr>
            <w:tcW w:type="dxa" w:w="90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V1.5</w:t>
            </w:r>
          </w:p>
        </w:tc>
        <w:tc>
          <w:tcPr>
            <w:tcW w:type="dxa" w:w="124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3–9月</w:t>
            </w:r>
          </w:p>
        </w:tc>
        <w:tc>
          <w:tcPr>
            <w:tcW w:type="dxa" w:w="19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成都10–50店</w:t>
            </w:r>
          </w:p>
        </w:tc>
        <w:tc>
          <w:tcPr>
            <w:tcW w:type="dxa" w:w="374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可信交易账本、支付对账、设备证据、合同主数据</w:t>
            </w:r>
          </w:p>
        </w:tc>
        <w:tc>
          <w:tcPr>
            <w:tcW w:type="dxa" w:w="1814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证券化系统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V2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9–24月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100–500店/加盟试点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加盟合同版本、Royalty规则、Receivable、Evidence Bundle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公开RWA发行</w:t>
            </w:r>
          </w:p>
        </w:tc>
      </w:tr>
      <w:tr>
        <w:tc>
          <w:tcPr>
            <w:tcW w:type="dxa" w:w="90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V3</w:t>
            </w:r>
          </w:p>
        </w:tc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500–2,000店</w:t>
            </w:r>
          </w:p>
        </w:tc>
        <w:tc>
          <w:tcPr>
            <w:tcW w:type="dxa" w:w="1928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加盟稳定</w:t>
            </w:r>
          </w:p>
        </w:tc>
        <w:tc>
          <w:tcPr>
            <w:tcW w:type="dxa" w:w="374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Eligibility、Pool Snapshot、Vintage、Data Room</w:t>
            </w:r>
          </w:p>
        </w:tc>
        <w:tc>
          <w:tcPr>
            <w:tcW w:type="dxa" w:w="181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自动判定法律资产属性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2,000+店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成熟网络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按融资项目接入ABS/WBS/Tokenised Security外部结构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把融资结构写死在经营系统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 w:val="0"/>
          <w:i w:val="0"/>
          <w:sz w:val="19"/>
        </w:rPr>
        <w:t>开发优先级原则：资产化就绪不是提前开发金融平台，而是从第一天把ID、版本、对账、审计、证据留好；应收与资产池功能等加盟现金流出现后再启用。</w:t>
      </w:r>
    </w:p>
    <w:p>
      <w:pPr>
        <w:pStyle w:val="Heading2"/>
      </w:pPr>
      <w:r>
        <w:t>4.4 硬件供应商与RFQ策略（并行关键路径）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Draft/饮料分配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Micro Matic（天津）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第一轮技术交流；重点FE-C与可定制Font/under-counter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自助酒/冷却</w:t>
            </w:r>
          </w:p>
        </w:tc>
        <w:tc>
          <w:tcPr>
            <w:tcW w:type="dxa" w:w="2948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青岛Amed</w:t>
            </w:r>
          </w:p>
        </w:tc>
        <w:tc>
          <w:tcPr>
            <w:tcW w:type="dxa" w:w="51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取模块样机，验证开放接口与计量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流体核心件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Kamoer / Lead Fluid / 申辰等国产泵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FE-L主泵候选+第二源；介质寿命与成本验证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国内IoT整机</w:t>
            </w:r>
          </w:p>
        </w:tc>
        <w:tc>
          <w:tcPr>
            <w:tcW w:type="dxa" w:w="29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鼎铉/云成等ODM</w:t>
            </w:r>
          </w:p>
        </w:tc>
        <w:tc>
          <w:tcPr>
            <w:tcW w:type="dxa" w:w="51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仅做开放协议PoC，避免SaaS锁定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移动车体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Shandong Trailblazer RV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露营车结构RFQ、验厂、样车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Decision</w:t>
            </w:r>
          </w:p>
        </w:tc>
        <w:tc>
          <w:tcPr>
            <w:tcW w:type="dxa" w:w="29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TypeSafe AI / JEV</w:t>
            </w:r>
          </w:p>
        </w:tc>
        <w:tc>
          <w:tcPr>
            <w:tcW w:type="dxa" w:w="51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仅Decision Layer试点，不作为P0单点依赖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 w:val="0"/>
          <w:i w:val="0"/>
          <w:sz w:val="19"/>
        </w:rPr>
        <w:t>供应商一票否决项：①必须开放通信协议、错误码与原始事件，不接受绑定供应商SaaS；②提交Wetted Parts List及0–53%乙醇相容性说明；③关键设备唯一身份、固件版本/OTA/校准记录、单通道故障隔离；④BOM/NRE/EVT/模具/100-1,000-10,000量级报价拆分；⑤AI供应商提供API边界、数据使用保留边界、SLA/可观测性并支持降级；⑥数据归属、协议、Recipe、事件字典不得被锁定。</w:t>
      </w:r>
    </w:p>
    <w:p>
      <w:pPr>
        <w:pStyle w:val="Heading1"/>
      </w:pPr>
      <w:r>
        <w:t>五、时间规划（与业务里程碑对齐）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排期基准：T0 = 2026年10月初（S0架构冻结与统一RFQ启动）。软件/硬件/供应商三泳道并行，日历排期如下。</w:t>
      </w:r>
    </w:p>
    <w:p>
      <w:pPr>
        <w:pStyle w:val="Heading2"/>
      </w:pPr>
      <w:r>
        <w:t>5.1 总体甘特图（2026.10 – 2027.09）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3175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工作流 \ 月份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26/10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26/11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26/12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27/1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27/2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27/3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27/4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27/5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27/6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27/7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27/8</w:t>
            </w:r>
          </w:p>
        </w:tc>
        <w:tc>
          <w:tcPr>
            <w:tcW w:type="dxa" w:w="52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5"/>
              </w:rPr>
              <w:t>27/9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S0 架构基线/Schema/RFQ启动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S1 业务OS+Dispense模拟软件闭环</w:t>
            </w:r>
          </w:p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RFQ/样机/8路Fluid Lab(S2)</w:t>
            </w:r>
          </w:p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S3 小程序/POS/会员/设备监控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首店集成调试 → 30天Pilot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S4 Risk/WorkOrder/AI督导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JEV Shadow→评测→低风险灰度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S5 CART/热力图/营销归因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S6 露营车能源/离线环境压测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V1.5 可信账本/对账/合同主数据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8EAADB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▲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V2 加盟合同/Royalty/Receivable/Evidence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资产化就绪 Eligibility/Pool(V3启动)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门店网格与跨城扩张现场支持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  <w:tc>
          <w:tcPr>
            <w:tcW w:type="dxa" w:w="522"/>
            <w:shd w:val="clear" w:color="auto" w:fill="BDD7EE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6"/>
              </w:rPr>
              <w:t>█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b w:val="0"/>
          <w:i w:val="0"/>
          <w:color w:val="595959"/>
          <w:sz w:val="17"/>
        </w:rPr>
        <w:t>图例：█ 工作进行中　▲ 里程碑节点（RFQ样机到位、Fluid Lab闭环、首店设备进场、首店Pilot启动、JEV灰度评审、CART/露营车Gate）</w:t>
      </w:r>
    </w:p>
    <w:p>
      <w:pPr>
        <w:pStyle w:val="Heading2"/>
      </w:pPr>
      <w:r>
        <w:t>5.2 关键里程碑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技术里程碑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配套业务节点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2026/10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核心Schema/协议V0.4冻结；统一RFQ发出；Fluid Lab筹建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首店选址落地（9月）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2026/11</w:t>
            </w:r>
          </w:p>
        </w:tc>
        <w:tc>
          <w:tcPr>
            <w:tcW w:type="dxa" w:w="453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软件模拟器闭环；供应商样机到位并启动介质/计量测试</w:t>
            </w:r>
          </w:p>
        </w:tc>
        <w:tc>
          <w:tcPr>
            <w:tcW w:type="dxa" w:w="385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首批物料与产品准备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2026/12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8路Fluid Lab硬件闭环；首店设备进场、弱电/网络施工</w:t>
            </w:r>
          </w:p>
        </w:tc>
        <w:tc>
          <w:tcPr>
            <w:tcW w:type="dxa" w:w="3855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成都首店筹备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2027/1</w:t>
            </w:r>
          </w:p>
        </w:tc>
        <w:tc>
          <w:tcPr>
            <w:tcW w:type="dxa" w:w="453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首店MVP上线，集成调试完成，进入30天Pilot</w:t>
            </w:r>
          </w:p>
        </w:tc>
        <w:tc>
          <w:tcPr>
            <w:tcW w:type="dxa" w:w="385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成都首店试营业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2027/2–3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OS/Hardware/Security Gate评审；10–20店网格复制包定型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城市网格化（注：建议以Pilot过Gate为放量前提）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2027/4–5</w:t>
            </w:r>
          </w:p>
        </w:tc>
        <w:tc>
          <w:tcPr>
            <w:tcW w:type="dxa" w:w="453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运营自动化MVP；JEV Shadow评审；CART与热力图能力</w:t>
            </w:r>
          </w:p>
        </w:tc>
        <w:tc>
          <w:tcPr>
            <w:tcW w:type="dxa" w:w="385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重庆/深圳跨城复制、活动快闪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2027/6–7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露营车移动经营闭环；V1.5账本/对账/合同主数据上线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派对套餐/音乐节场景；加盟尽调数据可用</w:t>
            </w:r>
          </w:p>
        </w:tc>
      </w:tr>
      <w:tr>
        <w:tc>
          <w:tcPr>
            <w:tcW w:type="dxa" w:w="124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2027/Q3</w:t>
            </w:r>
          </w:p>
        </w:tc>
        <w:tc>
          <w:tcPr>
            <w:tcW w:type="dxa" w:w="453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V2加盟合同/Royalty/Receivable/Evidence Bundle就绪</w:t>
            </w:r>
          </w:p>
        </w:tc>
        <w:tc>
          <w:tcPr>
            <w:tcW w:type="dxa" w:w="3855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城市合伙人开放、加盟试点</w:t>
            </w:r>
          </w:p>
        </w:tc>
      </w:tr>
    </w:tbl>
    <w:p>
      <w:pPr>
        <w:spacing w:after="40"/>
      </w:pPr>
    </w:p>
    <w:p>
      <w:pPr>
        <w:pStyle w:val="Heading2"/>
      </w:pPr>
      <w:r>
        <w:t>5.3 排期对齐说明与应对（重要）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业务计划书提出"2026年9–11月成都10–20店、12月跨城、2027 Q1城市合伙人"，而技术侧S0–S6（每Sprint 3–6周）客观上需要约6–8个月才能完成全部能力建设。两者存在节奏差，建议按以下原则对齐：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① MVP先行：</w:t>
      </w:r>
      <w:r>
        <w:rPr>
          <w:rFonts w:ascii="Calibri" w:hAnsi="Calibri" w:eastAsia="微软雅黑"/>
        </w:rPr>
        <w:t>首店不等系统全量：以P0+P1"最小可营业闭环"（下单→支付→授权出酒→Dispense→扣库存→会员→基础BI）保障首店2026年底/2027年1月试营业；AI督导、CART、露营车、资产化均不阻塞首店。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② Gate闸门：</w:t>
      </w:r>
      <w:r>
        <w:rPr>
          <w:rFonts w:ascii="Calibri" w:hAnsi="Calibri" w:eastAsia="微软雅黑"/>
        </w:rPr>
        <w:t>10–20店网格以"首店30天Pilot通过OS/Hardware/Security Gate"为放量前提，避免带缺陷复制；若业务坚持2026年内多点开业，建议过渡期采用"标准版收银SaaS+人工盘点+Gateway先行"，后续滚动替换为淘酒馆OS，数据迁移纳入Sprint计划。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③ 跨城解耦：</w:t>
      </w:r>
      <w:r>
        <w:rPr>
          <w:rFonts w:ascii="Calibri" w:hAnsi="Calibri" w:eastAsia="微软雅黑"/>
        </w:rPr>
        <w:t>跨城（重庆/深圳）只依赖Place多租户与组织权限能力（S0已建），可在2027年Q1后随复制包输出；城市合伙人/加盟放量以V2合同与Receivable能力（2027 Q3）为准。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④ 季节因素：</w:t>
      </w:r>
      <w:r>
        <w:rPr>
          <w:rFonts w:ascii="Calibri" w:hAnsi="Calibri" w:eastAsia="微软雅黑"/>
        </w:rPr>
        <w:t>2027年春节为2月17日，装修、施工、招聘窗口受限，12月–1月排期已预留缓冲；硬件NRE/样机为长周期项，RFQ必须在T0当月发出。</w:t>
      </w:r>
    </w:p>
    <w:p>
      <w:pPr>
        <w:pStyle w:val="Heading1"/>
      </w:pPr>
      <w:r>
        <w:t>六、开发节奏与协同机制</w:t>
      </w:r>
    </w:p>
    <w:p>
      <w:pPr>
        <w:pStyle w:val="Heading2"/>
      </w:pPr>
      <w:r>
        <w:t>6.1 迭代节奏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3–6周一个Sprint（按硬件联调需要弹性），每Sprint必须有可演示产出（软件闭环→硬件闭环→首店MVP…）；双周内部Demo + 架构同步会。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每日站会（各泳道内）；每周跨泳道同步（依赖/风险/供应商）；Sprint末Gate评审，未过Gate不进入下一阶段放量。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三条并行泳道：①软件OS（业务+前端+数据AI）；②硬件液路&amp;IoT（Fluid Lab/Gateway固件）；③供应商RFQ/EVT（采购+质量+法务数据条款）。</w:t>
      </w:r>
    </w:p>
    <w:p>
      <w:pPr>
        <w:pStyle w:val="Heading2"/>
      </w:pPr>
      <w:r>
        <w:t>6.2 Product Gate体系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793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关键要求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OS Gate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订单、会员、库存、设备、事件、营销核心链路连续30天稳定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Hardware Gate</w:t>
            </w:r>
          </w:p>
        </w:tc>
        <w:tc>
          <w:tcPr>
            <w:tcW w:type="dxa" w:w="793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单次定量≤±2%；累计≤3%；10,000次耐久；安全停止/断网/断电通过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Decision Gate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每决策类型单独离线评测集；记录准确率/概率校准/覆盖率/自动动作误报率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Vision Gate</w:t>
            </w:r>
          </w:p>
        </w:tc>
        <w:tc>
          <w:tcPr>
            <w:tcW w:type="dxa" w:w="793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事件级Precision/Recall满足业务容忍度；敏感事件优先高Precision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Workflow Gate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Risk→WorkOrder→整改→复核闭环可追踪，SLA与人工覆盖正确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Mobile Gate</w:t>
            </w:r>
          </w:p>
        </w:tc>
        <w:tc>
          <w:tcPr>
            <w:tcW w:type="dxa" w:w="793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岸电/电池/空调/冷链/网络在真实开窗营业下完成压力测试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Security Gate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RBAC/Scope、Audit、设备身份、API鉴权、OTA签名、数据备份与恢复通过</w:t>
            </w:r>
          </w:p>
        </w:tc>
      </w:tr>
    </w:tbl>
    <w:p>
      <w:pPr>
        <w:spacing w:after="40"/>
      </w:pPr>
    </w:p>
    <w:p>
      <w:pPr>
        <w:pStyle w:val="Heading2"/>
      </w:pPr>
      <w:r>
        <w:t>6.3 AI上线节奏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历史事件构建≥500–1,000条人工复核样本 → Rules/JEV/LLM三方对照（准确性、概率校准、延迟、成本、稳定性、相似输入一致性）。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Shadow Mode（4–8周）：JEV输出不执行，只记DecisionEvent并与人工结果比对。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达阈值后仅开放低风险自动派单；处罚、食品安全停业、支付、设备危险动作永久保留规则/人工硬门槛。</w:t>
      </w:r>
    </w:p>
    <w:p>
      <w:pPr>
        <w:pStyle w:val="Heading2"/>
      </w:pPr>
      <w:r>
        <w:t>6.4 试点与复盘节奏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首店30天Pilot：每日复盘（异常订单、设备告警、计量偏差、网络与离线事件），每周复盘（损耗率、出杯效率、顾客转化、工单SLA）。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协议/事件版本独立演进：通信协议V0.4、DispenseEvent V1.4、DecisionEvent V0.1；固件、阈值策略、模型版本全部可追溯、可回滚。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门店侧交付与技术联动：开业前7天培训（Day4数字工具）、SOP 28项标准化动作数字化落地、季度复训与固件再培训联动。</w:t>
      </w:r>
    </w:p>
    <w:p>
      <w:pPr>
        <w:pStyle w:val="Heading2"/>
      </w:pPr>
      <w:r>
        <w:t>6.5 近期评审议程建议（T0后第一次技术评审）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确认V3.0总体架构及各团队责任边界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冻结核心Schema：Place / Recipe / FluidComponent / Channel / DispenseJob / DispenseEvent / DecisionEvent / RiskEvent / WorkOrder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确认Gateway与Fluid Engine接口、协议V0.4及8路Fluid Lab范围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确定JEV Shadow Mode的3个试点决策与人工标注集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确认首店MVP与"CART/露营车不进P0"的功能边界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启动供应商统一RFQ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确定首店30天Pilot的Product Gate与每日/每周复盘指标</w:t>
      </w:r>
    </w:p>
    <w:p>
      <w:pPr>
        <w:pStyle w:val="Heading1"/>
      </w:pPr>
      <w:r>
        <w:t>七、人员配置情况</w:t>
      </w:r>
    </w:p>
    <w:p>
      <w:pPr>
        <w:pStyle w:val="Heading2"/>
      </w:pPr>
      <w:r>
        <w:t>7.1 组织分工与编制建议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按技术总版V3.0的8类团队边界配置，分三阶段扩编：首期（S0–S3，约4个月，20人）→ Pilot与移动扩展（S4–S6，28人）→ 加盟/资产化（V2，36人）。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团队</w:t>
            </w:r>
          </w:p>
        </w:tc>
        <w:tc>
          <w:tcPr>
            <w:tcW w:type="dxa" w:w="4649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责任边界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首期S0–S3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S4–S6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V2扩张期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技术负责人/架构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技术总图、架构决策、Gate、跨团队边界、供应商技术终裁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产品/架构组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业务域、PRD、事件字典、接口边界、版本管理（业务PM+硬件/IoT PM）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90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Backend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订单、Recipe、库存、设备接入、Decision Service、Workflow、Ledger/对账/合同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6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8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Frontend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小程序、POS、Store Console、HQ Console、加盟门户/数据看板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90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  <w:tc>
          <w:tcPr>
            <w:tcW w:type="dxa" w:w="1134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5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Embedded/IoT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Gateway、总线、Fluid Engine固件、设备身份、OTA、安全状态机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Data/AI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Event Bus、特征、JEV/LLM/Vision Adapter、评测集、阈值与监控、BI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90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Hardware/ME/EE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液路、泵阀、结构、电气、冷却、移动能源、Fluid Lab、EVT/DVT/NPI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QA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软件/协议/硬件/AI评测、断网断电、回归自动化、现场Pilot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90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Ops/Store对接（业务侧编制）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SOP数字化、异常定义、人工标注、试点反馈、维修与培训标准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</w:tr>
      <w:tr>
        <w:tc>
          <w:tcPr>
            <w:tcW w:type="dxa" w:w="1587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合计（人）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20</w:t>
            </w:r>
          </w:p>
        </w:tc>
        <w:tc>
          <w:tcPr>
            <w:tcW w:type="dxa" w:w="907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28</w:t>
            </w:r>
          </w:p>
        </w:tc>
        <w:tc>
          <w:tcPr>
            <w:tcW w:type="dxa" w:w="1134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36</w:t>
            </w:r>
          </w:p>
        </w:tc>
      </w:tr>
    </w:tbl>
    <w:p>
      <w:pPr>
        <w:spacing w:after="40"/>
      </w:pPr>
    </w:p>
    <w:p>
      <w:pPr>
        <w:pStyle w:val="Heading2"/>
      </w:pPr>
      <w:r>
        <w:t>7.2 关键岗位到位时点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Day 1：</w:t>
      </w:r>
      <w:r>
        <w:rPr>
          <w:rFonts w:ascii="Calibri" w:hAnsi="Calibri" w:eastAsia="微软雅黑"/>
        </w:rPr>
        <w:t>T0前必须到位：技术负责人/架构师、硬件ME/EE与Embedded负责人（RFQ与Fluid Lab是关键路径）、后端负责人、业务PM。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S1–S2：</w:t>
      </w:r>
      <w:r>
        <w:rPr>
          <w:rFonts w:ascii="Calibri" w:hAnsi="Calibri" w:eastAsia="微软雅黑"/>
        </w:rPr>
        <w:t>S1启动前：后端4人、前端3人、Data 1人、QA 1人到岗；S2启动前：固件2人、硬件3人、QA硬件1人。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S3后：</w:t>
      </w:r>
      <w:r>
        <w:rPr>
          <w:rFonts w:ascii="Calibri" w:hAnsi="Calibri" w:eastAsia="微软雅黑"/>
        </w:rPr>
        <w:t>S4前到岗：Workflow/AI工程、Vision/标注评测；S5–S6前到岗：账本/对账、加盟门户、能源电气、现场QA。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V2前：</w:t>
      </w:r>
      <w:r>
        <w:rPr>
          <w:rFonts w:ascii="Calibri" w:hAnsi="Calibri" w:eastAsia="微软雅黑"/>
        </w:rPr>
        <w:t>V2启动前：财务系统/合同2人、SRE/运维1–2人、加盟平台与数据人员。</w:t>
      </w:r>
    </w:p>
    <w:p>
      <w:pPr>
        <w:pStyle w:val="Heading2"/>
      </w:pPr>
      <w:r>
        <w:t>7.3 与"1+6"专家团队及合作方的衔接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技术线对应创始人技术决策赞助；AI大模型专家对应Data/AI负责人（JEV/LLM/Vision选型与评测）；产品研发专家对接配方/节气组方的数据化（Recipe/FluidComponent建模）；数字营销对接Source ID归因/热力图/集卡；供应链对接Batch/BIB/KEG与采购；资本运营对接Ledger/Receivable/Evidence Bundle；新零售对接SOP数字化与门店Console。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泸州老窖（运营合作方）：品牌授权、产品研发、供应链与品质管控；技术侧需在首店前完成配方授权（60组节气组方）数据入库与柔性供应链接口约定。</w:t>
      </w:r>
    </w:p>
    <w:p>
      <w:pPr>
        <w:pStyle w:val="ListBullet"/>
        <w:spacing w:after="40"/>
      </w:pPr>
      <w:r>
        <w:rPr>
          <w:rFonts w:ascii="Calibri" w:hAnsi="Calibri" w:eastAsia="微软雅黑"/>
        </w:rPr>
        <w:t>外部协作：硬件ODM/OEM（泵阀/车体）、AI供应商（JEV托管API+国产LLM/Vision）、施工/弱电、第三方支付/电子签；均以开放协议与数据归属条款约束。</w:t>
      </w:r>
    </w:p>
    <w:p>
      <w:pPr>
        <w:pStyle w:val="Heading2"/>
      </w:pPr>
      <w:r>
        <w:t>7.4 预算配置建议（对应700万技术开发预算）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443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测算口径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年度估算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研发人力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年均约23–25人（首期20人、年末28人加权），年人均综合成本25–30万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约580–650万</w:t>
            </w:r>
          </w:p>
        </w:tc>
      </w:tr>
      <w:tr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云资源/中间件/SaaS/工具</w:t>
            </w:r>
          </w:p>
        </w:tc>
        <w:tc>
          <w:tcPr>
            <w:tcW w:type="dxa" w:w="5443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云主机、MQTT/消息、数据库、监控、CI/CD、小程序资质等</w:t>
            </w:r>
          </w:p>
        </w:tc>
        <w:tc>
          <w:tcPr>
            <w:tcW w:type="dxa" w:w="215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约40–60万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API与评测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JEV Early Access + LLM/Vision调用、标注（500–1,000样本/决策）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约20–40万</w:t>
            </w:r>
          </w:p>
        </w:tc>
      </w:tr>
      <w:tr>
        <w:tc>
          <w:tcPr>
            <w:tcW w:type="dxa" w:w="204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Fluid Lab与样机/测试物料</w:t>
            </w:r>
          </w:p>
        </w:tc>
        <w:tc>
          <w:tcPr>
            <w:tcW w:type="dxa" w:w="5443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8路Fluid Lab搭建、泵阀样件、计量与耐久测试耗材</w:t>
            </w:r>
          </w:p>
        </w:tc>
        <w:tc>
          <w:tcPr>
            <w:tcW w:type="dxa" w:w="215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约40–80万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合计（建议）</w:t>
            </w:r>
          </w:p>
        </w:tc>
        <w:tc>
          <w:tcPr>
            <w:tcW w:type="dxa" w:w="5443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约680–830万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 w:val="0"/>
          <w:i w:val="0"/>
          <w:color w:val="9C2D2D"/>
          <w:sz w:val="19"/>
        </w:rPr>
        <w:t>提示：700万预算在含硬件实验投入时偏紧。建议将硬件NRE、模具、首批设备BOM列为设备资本性开支（进入单店投资35万模型或供应商共担），不挤占中台软件预算；同时通过"核心岗自建+非核心外包（POS皮肤/施工/部分前端）+供应商FAE"控制编制。具体以财务细化为准。</w:t>
      </w:r>
    </w:p>
    <w:p>
      <w:pPr>
        <w:pStyle w:val="Heading1"/>
      </w:pPr>
      <w:r>
        <w:t>八、关键技术风险与应对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硬件长周期（FE-H耐乙醇、泵寿命、模具、车体）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阻塞首店与移动终端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T0当月发RFQ；双源（Kamoer/Lead Fluid/国产）；8路Fluid Lab提前验证；NRE/BOM合同拆分</w:t>
            </w:r>
          </w:p>
        </w:tc>
      </w:tr>
      <w:tr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业务节奏快于系统建设（10–20店 vs Gate）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带缺陷复制、数据不可信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最小可营业MVP先行；30天Pilot Gate硬性放量；必要时过渡SaaS+滚动替换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JEV Early Access不确定性（API变更/宕机/配额）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AI能力不可用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Adapter隔离+规则fallback；Shadow验证；自评估准确率/成本，不信厂商自报；不做单点依赖</w:t>
            </w:r>
          </w:p>
        </w:tc>
      </w:tr>
      <w:tr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断网/断电/误出酒/酒精合规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安全事故与监管风险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本地状态机+安全截止；授权未过期才执行；年龄/权限硬规则；P1设备签名证据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数据质量与对账失败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经营不可信、资产化无基础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幂等/Append-only；日终对账+异常队列；验收Gate（99.5%/99.9%）；主数据统一</w:t>
            </w:r>
          </w:p>
        </w:tc>
      </w:tr>
      <w:tr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供应商SaaS/数据锁定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丧失系统主权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一票否决条款；开放协议/错误码/原始事件；数据、设备身份、Recipe归属淘酒馆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移动场景环境极端（夏季开窗、能耗）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露营车无法营业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48V/岸电优先/负载分级；EnergyEvent；Mobile Gate真实工况压测</w:t>
            </w:r>
          </w:p>
        </w:tc>
      </w:tr>
      <w:tr>
        <w:tc>
          <w:tcPr>
            <w:tcW w:type="dxa" w:w="2381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团队复合能力稀缺（液路+软件+AI）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招聘与协作瓶颈</w:t>
            </w:r>
          </w:p>
        </w:tc>
        <w:tc>
          <w:tcPr>
            <w:tcW w:type="dxa" w:w="4989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Day1配齐架构/硬件/固件核心岗；供应商FAE补位；事件字典与接口冻结降耦合</w:t>
            </w:r>
          </w:p>
        </w:tc>
      </w:tr>
    </w:tbl>
    <w:p>
      <w:pPr>
        <w:spacing w:after="40"/>
      </w:pPr>
    </w:p>
    <w:p>
      <w:pPr>
        <w:pStyle w:val="Heading1"/>
      </w:pPr>
      <w:r>
        <w:t>附录：核心验收指标（数据质量Gate）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商品/配方数字化率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100%（关键项≥95%）</w:t>
            </w:r>
          </w:p>
        </w:tc>
      </w:tr>
      <w:tr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订单识别率</w:t>
            </w:r>
          </w:p>
        </w:tc>
        <w:tc>
          <w:tcPr>
            <w:tcW w:type="dxa" w:w="6236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≥98%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会员订单识别率</w:t>
            </w:r>
          </w:p>
        </w:tc>
        <w:tc>
          <w:tcPr>
            <w:tcW w:type="dxa" w:w="62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≥90%</w:t>
            </w:r>
          </w:p>
        </w:tc>
      </w:tr>
      <w:tr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酒液库存误差</w:t>
            </w:r>
          </w:p>
        </w:tc>
        <w:tc>
          <w:tcPr>
            <w:tcW w:type="dxa" w:w="6236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≤3%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Dispense Event完整率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≥99.5%，异常必须可解释</w:t>
            </w:r>
          </w:p>
        </w:tc>
      </w:tr>
      <w:tr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支付订单对账率</w:t>
            </w:r>
          </w:p>
        </w:tc>
        <w:tc>
          <w:tcPr>
            <w:tcW w:type="dxa" w:w="6236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≥99.9%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银行/支付结算差异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100%进入异常队列并可闭环</w:t>
            </w:r>
          </w:p>
        </w:tc>
      </w:tr>
      <w:tr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合同版本覆盖率</w:t>
            </w:r>
          </w:p>
        </w:tc>
        <w:tc>
          <w:tcPr>
            <w:tcW w:type="dxa" w:w="623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加盟计费记录100%引用有效合同版本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Receivable可追溯率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100%回溯contract + billing basis + evidence</w:t>
            </w:r>
          </w:p>
        </w:tc>
      </w:tr>
      <w:tr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人工调整留痕率</w:t>
            </w:r>
          </w:p>
        </w:tc>
        <w:tc>
          <w:tcPr>
            <w:tcW w:type="dxa" w:w="6236"/>
            <w:shd w:val="clear" w:color="auto" w:fill="EEF3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总部实时报表延迟</w:t>
            </w:r>
          </w:p>
        </w:tc>
        <w:tc>
          <w:tcPr>
            <w:tcW w:type="dxa" w:w="62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≤15分钟</w:t>
            </w:r>
          </w:p>
        </w:tc>
      </w:tr>
      <w:tr>
        <w:tc>
          <w:tcPr>
            <w:tcW w:type="dxa" w:w="340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资产池快照</w:t>
            </w:r>
          </w:p>
        </w:tc>
        <w:tc>
          <w:tcPr>
            <w:tcW w:type="dxa" w:w="623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可复现同一snapshot，不因后续数据变化失真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</w:r>
    </w:p>
    <w:p>
      <w:pPr>
        <w:spacing w:after="80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—— 本方案基于三份源文件整合编制，排期与人员为规划建议值，需在T0架构评审上冻结基线后按Sprint滚动校准。——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