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F59E0B"/>
          <w:sz w:val="20"/>
        </w:rPr>
        <w:t>TAOJIUGUAN OPERATING SYSTEM</w:t>
      </w:r>
    </w:p>
    <w:p>
      <w:pPr>
        <w:spacing w:before="240" w:after="160"/>
        <w:jc w:val="center"/>
      </w:pPr>
      <w:r>
        <w:rPr>
          <w:rFonts w:ascii="Noto Sans CJK SC" w:hAnsi="Noto Sans CJK SC" w:eastAsia="Noto Sans CJK SC"/>
          <w:b/>
          <w:color w:val="121827"/>
          <w:sz w:val="56"/>
        </w:rPr>
        <w:t>淘酒馆 OS PRD V2.0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color w:val="111827"/>
          <w:sz w:val="26"/>
        </w:rPr>
        <w:t>经营操作系统 + 可信交易账本 + 资产化就绪层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tcMar>
              <w:top w:w="180" w:type="dxa"/>
              <w:start w:w="260" w:type="dxa"/>
              <w:bottom w:w="180" w:type="dxa"/>
              <w:end w:w="2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1827"/>
                <w:sz w:val="22"/>
              </w:rPr>
              <w:t>版本 V2.0 · 2026-08-23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B7280"/>
                <w:sz w:val="19"/>
              </w:rPr>
              <w:t>适用阶段：1–3家直营验证 → 成都加密 → 加盟扩张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B7280"/>
                <w:sz w:val="19"/>
              </w:rPr>
              <w:t>更新重点：在V1经营闭环之上增加财务对账、合同、应收、资产池准备与审计架构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B7280"/>
                <w:sz w:val="19"/>
              </w:rPr>
              <w:t>原则：先证明真实经营，再形成合同现金流；不以“订单上链”替代法律确权</w:t>
            </w:r>
          </w:p>
        </w:tc>
      </w:tr>
    </w:tbl>
    <w:p>
      <w:pPr>
        <w:spacing w:before="720"/>
        <w:jc w:val="center"/>
      </w:pPr>
      <w:r>
        <w:rPr>
          <w:rFonts w:ascii="Noto Sans CJK SC" w:hAnsi="Noto Sans CJK SC" w:eastAsia="Noto Sans CJK SC"/>
          <w:color w:val="6B7280"/>
          <w:sz w:val="18"/>
        </w:rPr>
        <w:t>794 · 淘酒馆数字化经营系统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V2.0产品定义与战略边界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一句话定义｜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淘酒馆OS是一套以“一杯酒”为最小经营单元、以“可追溯交易”为数据基础、同时服务门店经营、加盟管理和未来资本化尽调的数字化操作系统。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984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4252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系统要回答的问题</w:t>
            </w:r>
          </w:p>
        </w:tc>
        <w:tc>
          <w:tcPr>
            <w:tcW w:type="dxa" w:w="2835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核心价值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经营OS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发生了什么？谁在哪里喝了什么？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效率、库存、复购、门店复制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可信交易账本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这笔交易是否真实、完整、可复核？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审计、反作弊、对账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财务账本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钱从哪里来、结算到哪里、收入如何确认？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财务一致性、加盟结算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资产化就绪层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哪些合同现金流已形成可识别的应收/收益权记录？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ABS/WBS准备、尽调降本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V2.0不做什么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不把每个订单Token化；V1/V2不要求公链、NFT或RWA发行。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不把“订单号”理解为资产确权；订单只是底层交易证据。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不在系统里自行认定证券、债权可转让性或法律资产属性；法律权利以合同、财税和适用法规为准。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不为了未来ABS/WBS牺牲首店经营效率；资产化能力采用分阶段启用。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2. 核心对象与统一ID体系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984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51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示例ID</w:t>
            </w:r>
          </w:p>
        </w:tc>
        <w:tc>
          <w:tcPr>
            <w:tcW w:type="dxa" w:w="4535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People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USR-...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消费者/员工/店长/运营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Drink/Recipe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RCP-...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配方与商品结构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Place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PLC-CD-001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门店/CART/BOX/TRIKE/云店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Tap/Device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TAP-... / DEV-...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物理执行终端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Order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ORD-...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消费交易主记录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Dispense Event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DSP-...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真实出酒事件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Legal Entity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LE-...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总部、加盟主体、门店经营主体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Contract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CTR-...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加盟/供货/设备/系统服务合同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Settlement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STL-...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支付或财务结算记录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Receivable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AR-...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满足业务与合同规则后生成的应收记录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Evidence Bundle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EVD-...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订单+支付+出酒+合同+结算的证据集合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Asset Pool Snapshot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APS-...</w:t>
            </w:r>
          </w:p>
        </w:tc>
        <w:tc>
          <w:tcPr>
            <w:tcW w:type="dxa" w:w="45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某一时点的资产池候选快照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ID原则｜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所有核心对象使用稳定、不可复用的内部ID；展示名称可以变，ID不变。跨系统对账通过映射表而不是人工文字匹配。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3. 总体信息架构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273142"/>
                <w:sz w:val="16"/>
              </w:rPr>
              <w:t>消费者小程序 / POS / Store OS / Smart Tap / 即时零售</w:t>
              <w:br/>
              <w:t xml:space="preserve">                 │</w:t>
              <w:br/>
              <w:t xml:space="preserve">                 ▼</w:t>
              <w:br/>
              <w:t xml:space="preserve">        Operational Services</w:t>
              <w:br/>
              <w:t xml:space="preserve"> 商品·配方·门店·库存·订单·会员·营销·设备</w:t>
              <w:br/>
              <w:t xml:space="preserve">                 │</w:t>
              <w:br/>
              <w:t xml:space="preserve">                 ▼</w:t>
              <w:br/>
              <w:t xml:space="preserve">       Trusted Transaction Ledger</w:t>
              <w:br/>
              <w:t xml:space="preserve"> Order + Payment + Dispense + Inventory + Audit</w:t>
              <w:br/>
              <w:t xml:space="preserve">                 │</w:t>
              <w:br/>
              <w:t xml:space="preserve">      ┌──────────┴──────────┐</w:t>
              <w:br/>
              <w:t xml:space="preserve">      ▼                     ▼</w:t>
              <w:br/>
              <w:t>Financial Ledger        Contract &amp; Entity Layer</w:t>
              <w:br/>
              <w:t>支付/结算/收入/应收       主体/加盟/供货/设备合同</w:t>
              <w:br/>
              <w:t xml:space="preserve">      └──────────┬──────────┘</w:t>
              <w:br/>
              <w:t xml:space="preserve">                 ▼</w:t>
              <w:br/>
              <w:t xml:space="preserve">          Asset Readiness Layer</w:t>
              <w:br/>
              <w:t xml:space="preserve"> Receivable / Evidence Bundle / Eligibility / Pool Snapshot</w:t>
              <w:br/>
              <w:t xml:space="preserve">                 │</w:t>
              <w:br/>
              <w:t xml:space="preserve">                 ▼</w:t>
              <w:br/>
              <w:t xml:space="preserve">        BI / Audit / Financing Data Room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三个账本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账本</w:t>
            </w:r>
          </w:p>
        </w:tc>
        <w:tc>
          <w:tcPr>
            <w:tcW w:type="dxa" w:w="3969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写入内容</w:t>
            </w:r>
          </w:p>
        </w:tc>
        <w:tc>
          <w:tcPr>
            <w:tcW w:type="dxa" w:w="2835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主要消费者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Operational Ledger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订单、出酒、库存、会员行为、设备事件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运营/产品/供应链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Financial Ledger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支付、退款、结算、收入拆分、应收、回款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财务/审计/管理层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Asset Ledger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合同版本、Receivable ID、权属状态、证据包、资产池快照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融资/法务/证券化尽调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4. V2.0核心经营闭环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273142"/>
                <w:sz w:val="16"/>
              </w:rPr>
              <w:t>用户下单 → Order</w:t>
              <w:br/>
              <w:t>→ Payment授权/完成</w:t>
              <w:br/>
              <w:t>→ Smart Tap授权 → Dispense Event</w:t>
              <w:br/>
              <w:t>→ Inventory Event</w:t>
              <w:br/>
              <w:t>→ Order Completed</w:t>
              <w:br/>
              <w:t>→ 会员/Taste更新</w:t>
              <w:br/>
              <w:t>→ 营销归因</w:t>
              <w:br/>
              <w:t>→ 日终Payment/Bank/Order对账</w:t>
              <w:br/>
              <w:t>→ 合同规则计算Royalty/供货/系统费</w:t>
              <w:br/>
              <w:t>→ 形成可核验的Settlement/Receivable记录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701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3969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必须形成的记录</w:t>
            </w:r>
          </w:p>
        </w:tc>
        <w:tc>
          <w:tcPr>
            <w:tcW w:type="dxa" w:w="3402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失败处理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下单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Order + Source + User/Anonymous ID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订单状态机，不直接覆盖删除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支付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Payment Transaction + Provider Ref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退款/撤销独立事件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出酒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Dispense Event + Device Evidence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异常出酒进入Exception Queue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库存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Inventory Event + Batch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理论/实际差异可追踪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结算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Settlement + Bank/Provider Ref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未对账进入待核验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应收</w:t>
            </w:r>
          </w:p>
        </w:tc>
        <w:tc>
          <w:tcPr>
            <w:tcW w:type="dxa" w:w="39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Receivable + Contract Version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仅在业务条件满足后生成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5. 商品、配方、批次与Smart Tap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Ingredient → Batch → Recipe → SKU四层模型保持不变；库存支持ml最小单位。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每个Recipe记录标准原料ml、目标酒精度、风味/场景标签、成本、售价与有效版本。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每个Tap绑定当前Batch；换桶必须产生BATCH_BIND事件。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Dispense Event必须记录 target/actual volume、calibration_id、firmware_version、device_id、measurement_method。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订单完成前后可做“理论配方消耗 vs 实际出酒”差异校验，异常进入经营风控。</w:t>
      </w:r>
    </w:p>
    <w:p>
      <w:pPr>
        <w:pStyle w:val="Heading2"/>
      </w:pPr>
      <w:r>
        <w:rPr>
          <w:rFonts w:ascii="Noto Sans CJK SC" w:hAnsi="Noto Sans CJK SC" w:eastAsia="Noto Sans CJK SC"/>
        </w:rPr>
        <w:t>新增：Evidence Grade 设备事件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设备身份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gateway_id, tap_id, node_device_id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完整性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event_id, local_sequence, payload_hash, device_auth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状态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firmware_hash, calibration_id, sensor_health, offline_mode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业务关联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order_id, sku_id, recipe_id, batch_id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计量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target_ml, actual_ml, measurement_method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时间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device_time, server_received_at, clock_status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6. 用户、Taste ID与会员增长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账户/档案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V2能力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Wallet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优惠券、余额、礼品券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Taste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偏好向量、常喝SKU、时段、场景、最近行为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Collection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酒卡、节气卡；V2仍不扩张过多收集线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Referral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邀请人/被邀请人/首单/奖励完整链路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Attribution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7"/>
              </w:rPr>
              <w:t>KOC、抖音、小红书、美团、社群、自然到店来源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营销原则｜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从“发券系统”升级为事件驱动增长系统，但所有营销归因都必须能够回到真实订单和实付金额，避免只追曝光。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V2保留的自动触发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新客首杯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首购72小时未复购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7日召回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累计消费5次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好友完成首单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特定节气/新品匹配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7. Trusted Transaction Ledger｜可信交易账本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新增核心模块｜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可信交易账本不是区块链产品，而是一个append-only、可审计、可对账的交易事实层。任何后续财务和资产化数据都必须引用它，而不能重新“解释”原始经营事实。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Append-only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关键交易事实不物理覆盖；更正采用Reversal/Correction事件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幂等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event_id/order_id/provider_ref设唯一约束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来源追踪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记录source_system/source_event_id/import_batch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完整性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设备事件校验hash/signature；API写入保留request trace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时间双轨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保留业务发生时间与服务器接收时间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版本化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商品、配方、合同、费率按effective_from/effective_to版本化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审计日志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价格、退款、人工补单、库存调整、合同变更、Receivable调整均留痕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纠错原则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273142"/>
                <w:sz w:val="16"/>
              </w:rPr>
              <w:t>错误记录 ≠ DELETE</w:t>
              <w:br/>
              <w:t>原记录 → reversal_event → corrected_event</w:t>
              <w:br/>
              <w:t>最终状态可以变化，但历史事实和谁做了什么必须保留。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8. 财务账本与三方对账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6690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Payment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payment_id, order_id, provider, provider_txn_id, paid_amount, status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Refund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refund_id, payment_id, amount, reason, approved_by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Settlement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settlement_id, provider_batch, gross, fees, net, settlement_date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Bank Receipt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bank_ref, account_id, amount, value_date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Revenue Split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store_revenue, royalty, supply_income, system_fee, tax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Reconciliation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order/payment/settlement/bank match status + difference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每日对账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273142"/>
                <w:sz w:val="16"/>
              </w:rPr>
              <w:t>Order实付合计</w:t>
              <w:br/>
              <w:t xml:space="preserve">  = Payment成功合计</w:t>
              <w:br/>
              <w:t xml:space="preserve">  ± Refund</w:t>
              <w:br/>
              <w:t xml:space="preserve">  ≈ Provider Settlement Gross</w:t>
              <w:br/>
              <w:t xml:space="preserve">  - Channel Fee</w:t>
              <w:br/>
              <w:t xml:space="preserve">  = Net Settlement</w:t>
              <w:br/>
              <w:t xml:space="preserve">  ≈ Bank Receipt</w:t>
            </w:r>
          </w:p>
        </w:tc>
      </w:tr>
    </w:tbl>
    <w:p>
      <w:pPr>
        <w:spacing w:after="20"/>
      </w:pP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差异不自动抹平；生成Reconciliation Exception。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财务人员可处理，但任何人工调整必须保留原因、证据附件和审批人。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资产化就绪数据只引用“已对账/已确认”的财务记录。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9. Legal Entity &amp; Contract Layer｜主体与合同层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必须结构化的内容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Legal Entity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统一社会信用代码/注册信息/角色/状态/收付款账户映射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Franchisee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经营主体、控制关系、门店列表、合作状态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Franchise Contract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签约主体、门店范围、Royalty费率、计费口径、有效期、版本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Supply Contract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供货主体、SKU/价格机制、账期、结算规则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Equipment Contract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Smart Tap租赁/购买、租金、期限、设备序列号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System Service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软件服务费、计费方式、服务期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关键原则｜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Receivable 的生成必须引用 contract_id + contract_version + 计费期间。不能用“当前费率”重算历史债权。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10. Receivable Engine｜应收生成引擎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273142"/>
                <w:sz w:val="16"/>
              </w:rPr>
              <w:t>已完成且已对账的底层交易</w:t>
              <w:br/>
              <w:t xml:space="preserve">      + 有效合同版本</w:t>
              <w:br/>
              <w:t xml:space="preserve">      + 计费规则</w:t>
              <w:br/>
              <w:t xml:space="preserve">      + 结算周期</w:t>
              <w:br/>
              <w:t xml:space="preserve">      ↓</w:t>
              <w:br/>
              <w:t>Receivable Candidate</w:t>
              <w:br/>
              <w:t xml:space="preserve">      ↓ 审核/规则校验</w:t>
              <w:br/>
              <w:t>Receivable ID</w:t>
              <w:br/>
              <w:t xml:space="preserve">      ↓</w:t>
              <w:br/>
              <w:t>Open → Partially Paid → Paid / Disputed / Written-off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551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520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receivable_id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全局唯一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legal_entity_id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债务/付款主体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contract_id/version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法律来源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period_start/end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计费期间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basis_amount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计费基础，如净销售额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rate/formula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Royalty/服务费规则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principal_amount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应收金额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due_date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到期日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status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open/paid/disputed等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evidence_bundle_id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可穿透到底层交易证据包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settlement_refs</w:t>
            </w:r>
          </w:p>
        </w:tc>
        <w:tc>
          <w:tcPr>
            <w:tcW w:type="dxa" w:w="6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实际回款/抵扣记录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V2边界｜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系统可以形成“可核验的应收记录”，但是否属于可转让、可证券化资产仍需法务、会计、税务及发行结构判断。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11. Evidence Bundle｜资产尽调证据包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每个Receivable可生成Evidence Bundle，包含合同版本、计费公式、底层订单范围、支付/结算、门店主体、异常调整记录。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若抽样到具体消费订单，可进一步穿透Order → Payment → Smart Tap Dispense → Batch → Inventory Event。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证据包支持生成不可变快照Hash，用于审计交换和第三方核验；不要求写入区块链。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所有导出必须记录export_id、导出人、时间、筛选条件和数据版本，避免同一资产池多版本无法解释。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证据层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典型内容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L1 法律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加盟/供货/设备合同、主体信息、版本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L2 财务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账单、应收、结算、银行回款、退款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L3 经营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订单、SKU、门店、用户匿名ID、营销来源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L4 物理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Tap/Device、Batch、Dispense、校准与固件状态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L5 审计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人工调整、异常、审批、导出快照Hash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12. Asset Readiness Layer｜资产化就绪层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定位｜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这是“融资数据室与资产池准备工具”，不是证券发行系统。它只做资产候选筛选、数据质量校验、现金流历史分析和可穿透证据导出。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690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V2/V3设计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Eligibility Rules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按合同状态、逾期、争议、主体、地区、集中度等配置候选规则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Pool Snapshot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生成某时点候选资产池，不回写改变底层Receivable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Concentration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加盟商/城市/门店/合同类型集中度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Vintage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按生成月份观察回款/逾期表现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Cashflow History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历史回款率、账期、提前/逾期分布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Data Quality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合同覆盖、对账率、证据完整率、异常率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Data Room Export</w:t>
            </w:r>
          </w:p>
        </w:tc>
        <w:tc>
          <w:tcPr>
            <w:tcW w:type="dxa" w:w="66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面向审计/券商/评级的脱敏数据与证据索引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严禁事项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V1阶段展示“可融资金额”作为确定承诺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把会员储值当作企业资产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用未来订单预测直接生成应收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通过技术字段替代法律权属判断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13. 门店、加盟商与总部经营驾驶舱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核心看板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店长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GMV/订单/杯数/客单/损耗/库存/新客/复购/异常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城市运营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门店排行/热区/活动/KOC/供货/异常门店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总部运营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全国GMV/产品/会员/营销/Smart Tap健康/库存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财务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支付对账/渠道费/退款/应收/回款/争议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加盟管理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合同状态/费率/账单/逾期/培训/经营健康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管理层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经营 + 现金流 + 加盟网络 + 资产就绪指标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新增资本化指标（仅内部）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Contract Coverage：加盟收入有有效合同版本覆盖的比例。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Transaction Reconciliation Rate：订单→支付→结算可核验比例。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Receivable Traceability：应收可穿透到合同与底层经营证据比例。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Evidence Completeness：证据包必填项完整率。</w:t>
      </w:r>
    </w:p>
    <w:p>
      <w:pPr>
        <w:pStyle w:val="ListBullet"/>
        <w:spacing w:after="36"/>
        <w:ind w:left="255" w:hanging="125"/>
      </w:pPr>
      <w:r>
        <w:rPr>
          <w:rFonts w:ascii="Noto Sans CJK SC" w:hAnsi="Noto Sans CJK SC" w:eastAsia="Noto Sans CJK SC"/>
          <w:color w:val="111827"/>
          <w:sz w:val="19"/>
        </w:rPr>
        <w:t>Dispute / Overdue Rate：争议和逾期表现。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14. 风控、权限与数据治理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职责分离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运营不能单独修改合同费率；财务不能删除经营事件；管理员操作需审计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审批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大额退款、人工补单、库存调整、Receivable调整、合同变更需工作流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最小权限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店员/店长/城市/总部/财务/法务/融资角色分层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PII隔离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融资/分析数据优先匿名化或脱敏，消费者敏感信息不进入不必要数据包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数据保留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按财税、审计、合同及适用法律配置保留策略；禁止随意清理关键交易历史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主数据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门店、主体、合同、SKU、设备均由主数据服务统一管理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异常队列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支付差异、设备异常、库存差异、合同缺失、应收争议均可追踪闭环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原则｜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未来融资尽调最大的敌人通常不是“没有区块链”，而是主数据不一致、合同版本丢失、人工Excel调整无法解释、支付与银行回款对不上。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15. 核心数据模型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984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087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核心表/对象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经营域</w:t>
            </w:r>
          </w:p>
        </w:tc>
        <w:tc>
          <w:tcPr>
            <w:tcW w:type="dxa" w:w="7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User, Store/Place, Ingredient, Batch, Recipe, SKU, Inventory, InventoryEvent, Order, OrderItem, Device, Tap, DispenseEvent, UserEvent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增长域</w:t>
            </w:r>
          </w:p>
        </w:tc>
        <w:tc>
          <w:tcPr>
            <w:tcW w:type="dxa" w:w="7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Coupon, Campaign, Referral, KOC, TasteProfile, Card, UserCard, Attribution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财务域</w:t>
            </w:r>
          </w:p>
        </w:tc>
        <w:tc>
          <w:tcPr>
            <w:tcW w:type="dxa" w:w="7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Payment, Refund, Settlement, BankReceipt, RevenueSplit, ReconciliationRecord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合同域</w:t>
            </w:r>
          </w:p>
        </w:tc>
        <w:tc>
          <w:tcPr>
            <w:tcW w:type="dxa" w:w="7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LegalEntity, Franchisee, Contract, ContractVersion, ContractPricingRule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资产就绪域</w:t>
            </w:r>
          </w:p>
        </w:tc>
        <w:tc>
          <w:tcPr>
            <w:tcW w:type="dxa" w:w="7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Receivable, ReceivableLineage, EvidenceBundle, AssetEligibilityRule, AssetPoolSnapshot, DataRoomExport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治理域</w:t>
            </w:r>
          </w:p>
        </w:tc>
        <w:tc>
          <w:tcPr>
            <w:tcW w:type="dxa" w:w="7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Staff, Role, Approval, AuditLog, MasterDataChange, Attachment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关键关系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273142"/>
                <w:sz w:val="16"/>
              </w:rPr>
              <w:t>Order → Payment → Settlement → BankReceipt</w:t>
              <w:br/>
              <w:t>Order → OrderItem → SKU → Recipe → Batch → DispenseEvent</w:t>
              <w:br/>
              <w:t>Franchisee → LegalEntity → ContractVersion → PricingRule</w:t>
              <w:br/>
              <w:t>Reconciled Transactions + ContractVersion → Receivable</w:t>
              <w:br/>
              <w:t>Receivable → EvidenceBundle → AssetPoolSnapshot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16. 外部系统与API边界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V2策略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微信/支付宝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支付与退款provider_ref必须留存；通过支付回调驱动状态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美团/饿了么/抖音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保留平台订单ID、实付、费用和结算批次映射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企业微信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会员/社群，不作为财务事实源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Smart Tap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Device API/事件流；设备事件只写可信交易层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ERP/会计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V2预留总账/凭证接口；财务账本不替代法定会计系统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银行/支付机构对账单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支持文件/API导入，生成ReconciliationRecord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电子签/合同系统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未来可接入，contract_id保持淘酒馆内部主键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17. V2.0非功能性与审计要求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6803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可用性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核心交易≥99.9%；断网门店支持受控离线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性能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消费者下单主要接口目标≤2s；出酒授权低延迟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一致性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支付/库存/应收等关键写入具备幂等和事务边界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时间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统一UTC存储+业务时区展示；设备端记录时间可信状态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审计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关键修改append-only；导出和人工调整可追溯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安全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TLS、密钥管理、最小权限、敏感字段加密/脱敏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备份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数据库持续备份；关键交易支持PITR或等效恢复能力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数据质量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核心主数据唯一、合同版本化、对账异常有闭环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18. 分阶段实施路线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361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984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门店/业务状态</w:t>
            </w:r>
          </w:p>
        </w:tc>
        <w:tc>
          <w:tcPr>
            <w:tcW w:type="dxa" w:w="4025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必须上线</w:t>
            </w:r>
          </w:p>
        </w:tc>
        <w:tc>
          <w:tcPr>
            <w:tcW w:type="dxa" w:w="1701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明确不做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V1 / 0–3月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1–3直营店</w:t>
            </w:r>
          </w:p>
        </w:tc>
        <w:tc>
          <w:tcPr>
            <w:tcW w:type="dxa" w:w="40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商品/配方/POS/会员/ml库存/Tap事件/基础BI</w:t>
            </w:r>
          </w:p>
        </w:tc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资产池、区块链、复杂应收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V1.5 / 3–9月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成都10–50店</w:t>
            </w:r>
          </w:p>
        </w:tc>
        <w:tc>
          <w:tcPr>
            <w:tcW w:type="dxa" w:w="40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可信交易账本、支付对账、设备证据、合同主数据</w:t>
            </w:r>
          </w:p>
        </w:tc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证券化系统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V2 / 9–24月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100–500店/加盟试点</w:t>
            </w:r>
          </w:p>
        </w:tc>
        <w:tc>
          <w:tcPr>
            <w:tcW w:type="dxa" w:w="40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加盟合同版本、Royalty规则、Receivable、Evidence Bundle</w:t>
            </w:r>
          </w:p>
        </w:tc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公开RWA发行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V3 / 500–2000店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加盟稳定</w:t>
            </w:r>
          </w:p>
        </w:tc>
        <w:tc>
          <w:tcPr>
            <w:tcW w:type="dxa" w:w="40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Eligibility、Pool Snapshot、Vintage、Data Room</w:t>
            </w:r>
          </w:p>
        </w:tc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自动判定法律资产属性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V4 / 2000+店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成熟网络</w:t>
            </w:r>
          </w:p>
        </w:tc>
        <w:tc>
          <w:tcPr>
            <w:tcW w:type="dxa" w:w="40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按融资项目接ABS/WBS/Tokenised Security外部结构</w:t>
            </w:r>
          </w:p>
        </w:tc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5"/>
              </w:rPr>
              <w:t>把融资结构写死在经营系统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开发优先级｜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资产化就绪不是提前开发一套金融平台，而是从第一天把ID、版本、对账、审计和证据留好；真正的应收和资产池功能等加盟现金流出现后再启用。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19. V2验收指标与数据质量Gate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236"/>
            <w:shd w:fill="1218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目标/原则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商品/配方数字化率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100% / ≥95%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订单识别率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≥98%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会员订单识别率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≥90%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酒液库存误差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≤3%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Dispense Event完整率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≥99.5%，异常必须可解释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支付订单对账率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目标≥99.9%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银行/支付结算差异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全部进入异常队列并可闭环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合同版本覆盖率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加盟计费记录100%引用有效合同版本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Receivable Traceability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100%可回溯contract + billing basis + evidence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人工调整留痕率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100%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总部实时报表延迟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≤15分钟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资产池导出</w:t>
            </w:r>
          </w:p>
        </w:tc>
        <w:tc>
          <w:tcPr>
            <w:tcW w:type="dxa" w:w="62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color w:val="111827"/>
                <w:sz w:val="16"/>
              </w:rPr>
              <w:t>可复现同一snapshot，不因后续数据变化而失真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20. 最终产品原则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经营先于金融｜</w:t>
            </w:r>
            <w:r>
              <w:rPr>
                <w:rFonts w:ascii="Noto Sans CJK SC" w:hAnsi="Noto Sans CJK SC" w:eastAsia="Noto Sans CJK SC"/>
                <w:color w:val="121827"/>
                <w:sz w:val="19"/>
              </w:rPr>
              <w:t>淘酒馆OS首先必须让门店更好经营。只有真实经营稳定、合同清晰、支付回款一致，资产化才有意义。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11827"/>
          <w:sz w:val="19"/>
        </w:rPr>
        <w:t>一杯酒必须可追溯，但一杯酒不是一项证券。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11827"/>
          <w:sz w:val="19"/>
        </w:rPr>
        <w:t>订单是真实交易证据，合同现金流才可能形成可识别的财产权利。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11827"/>
          <w:sz w:val="19"/>
        </w:rPr>
        <w:t>Smart Tap负责证明“物理动作真实发生”，财务账本证明“钱真实流转”，合同层证明“权利义务从哪里来”。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11827"/>
          <w:sz w:val="19"/>
        </w:rPr>
        <w:t>可信账本优先使用工程上简单、可审计的数据库与签名机制，不为了概念强行上链。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11827"/>
          <w:sz w:val="19"/>
        </w:rPr>
        <w:t>未来ABS/WBS/RWA结构应作为外部融资层接入，而不是侵入日常经营核心。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11827"/>
          <w:sz w:val="19"/>
        </w:rPr>
        <w:t>V2的真正资本价值，是把未来券商、审计、评级、投资人要做的大量穿透核验提前变成系统能力。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4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59E0B"/>
                <w:sz w:val="19"/>
              </w:rPr>
              <w:t>长期愿景｜</w:t>
            </w:r>
            <w:r>
              <w:rPr>
                <w:rFonts w:ascii="Noto Sans CJK SC" w:hAnsi="Noto Sans CJK SC" w:eastAsia="Noto Sans CJK SC"/>
                <w:color w:val="16794A"/>
                <w:sz w:val="19"/>
              </w:rPr>
              <w:t>淘酒馆不是“有一套软件的酒馆连锁”，而是一张由门店、移动终端、Smart Tap、用户、支付、合同和现金流共同组成的可计算经营网络。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淘酒馆 OS PRD V2.0｜经营与资产化就绪版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F59E0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2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