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UC-6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</w:t>
                </w:r>
                <w:r w:rsidR="00BA7B35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4F7E83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désire afficher les informations d’un autre utilisateur ou d’un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AA1690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 client affiche les informations que l’utilisateur désirait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C2173F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bookmarkStart w:id="0" w:name="_GoBack"/>
                <w:bookmarkEnd w:id="0"/>
                <w:r w:rsidR="00AA1690">
                  <w:t xml:space="preserve"> click sur le bouton des informations du serveur</w:t>
                </w:r>
              </w:p>
              <w:p w:rsidR="006A5D2F" w:rsidRPr="00AA1690" w:rsidRDefault="00AA169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retourne les informations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03219" w:rsidRPr="00AA1690" w:rsidRDefault="00AA1690" w:rsidP="00AA1690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F7E83"/>
    <w:rsid w:val="006A5D2F"/>
    <w:rsid w:val="00736CE6"/>
    <w:rsid w:val="009922C7"/>
    <w:rsid w:val="00AA1690"/>
    <w:rsid w:val="00AB3697"/>
    <w:rsid w:val="00B03219"/>
    <w:rsid w:val="00BA7B35"/>
    <w:rsid w:val="00C2173F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745F3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3</cp:revision>
  <dcterms:created xsi:type="dcterms:W3CDTF">2017-08-15T11:08:00Z</dcterms:created>
  <dcterms:modified xsi:type="dcterms:W3CDTF">2017-08-15T11:27:00Z</dcterms:modified>
</cp:coreProperties>
</file>