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Security Decisions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Why BFF over pure-SPA tokens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Backend-for-Frontend keeps OAuth/OIDC tokens off the browser entirely, shrinking the attack surface (no token leakage via XSS, extensions, or storage). The browser talks to your BFF with same-site cookies, while the BFF handles token acquisition/refresh and calls downstream APIs. You trade a small hop for stronger control, simpler client code, and consistent security policies.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Where tokens live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Access/refresh tokens live server-side only (in the BFF’s security context/session or token cache). The browser never sees them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—no localStorage, no JS-accessible storage. The only browser credential is a session cookie (and CSRF cookie).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How CSRF is handled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The BFF uses a cookie-based CSRF token (e.g., CookieCsrfTokenRepository). An eager filter forces the token to be created on first load and set as a cookie. The SPA reads that value and echoes it in a header (e.g., X-CSRF-TOKEN) on all state-changing requests; the server validates the match.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How the BFF authenticates to the Resource Server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Outbound calls use a WebClient wired with Spring Security’s OAuth client filter (e.g., ServletOAuth2AuthorizedClientExchangeFilterFunction). It resolves the current user’s OAuth2AuthorizedClient, automatically injects the Bearer access token, and refreshes it when needed—so your controller/service code just calls webClient without manual token handling.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How RBAC is enforced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365F91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At the API: (1) URL-level rules (e.g., /admin/**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hasRole("ADMIN")) block early, (2) @PreAuthorize enforces method-level checks for defense in depth, and (3) service-layer ownership checks ensure a user only accesses their own data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—returning 404 (not 403) to avoid leaking resource existence.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What to do differently in production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Use a distributed session store (e.g., Redis) for BFF scale-out; enforce HTTPS everywhere with secure, same-site cookies; add rate limiting (edge or gateway) and request size limits; centralize observability (logs/metrics/tracing); harden headers (CSP, HSTS); rotate keys and validate audiences; and use an outbox pattern for Kafka to guarantee reliable, transactional event publishing.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